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ALY6130: Risk Management Analytics</w:t>
      </w:r>
    </w:p>
    <w:p>
      <w:pPr>
        <w:spacing w:after="120"/>
        <w:jc w:val="center"/>
      </w:pPr>
      <w:r>
        <w:rPr>
          <w:rFonts w:ascii="Arial" w:cs="Arial" w:eastAsia="Arial" w:hAnsi="Arial"/>
          <w:sz w:val="24"/>
          <w:szCs w:val="24"/>
        </w:rPr>
        <w:t xml:space="preserve">Module 2 Assignment: Risk Identification</w:t>
      </w:r>
    </w:p>
    <w:p>
      <w:pPr>
        <w:spacing w:after="120"/>
        <w:jc w:val="center"/>
      </w:pPr>
      <w:r>
        <w:rPr>
          <w:rFonts w:ascii="Arial" w:cs="Arial" w:eastAsia="Arial" w:hAnsi="Arial"/>
          <w:b/>
          <w:bCs/>
          <w:sz w:val="24"/>
          <w:szCs w:val="24"/>
        </w:rPr>
        <w:t xml:space="preserve">CIBC: Acquisition of a Digital Insurance Platform</w:t>
      </w:r>
    </w:p>
    <w:p>
      <w:pPr>
        <w:spacing w:after="120"/>
      </w:pPr>
      <w:r>
        <w:t xml:space="preserve"/>
      </w:r>
    </w:p>
    <w:p>
      <w:pPr>
        <w:spacing w:after="80"/>
        <w:jc w:val="center"/>
      </w:pPr>
      <w:r>
        <w:rPr>
          <w:rFonts w:ascii="Arial" w:cs="Arial" w:eastAsia="Arial" w:hAnsi="Arial"/>
          <w:b/>
          <w:bCs/>
          <w:sz w:val="26"/>
          <w:szCs w:val="26"/>
        </w:rPr>
        <w:t xml:space="preserve">Individual Contribution Report</w:t>
      </w:r>
    </w:p>
    <w:p>
      <w:pPr>
        <w:spacing w:after="80"/>
        <w:jc w:val="center"/>
      </w:pPr>
      <w:r>
        <w:rPr>
          <w:rFonts w:ascii="Arial" w:cs="Arial" w:eastAsia="Arial" w:hAnsi="Arial"/>
          <w:b/>
          <w:bCs/>
          <w:sz w:val="26"/>
          <w:szCs w:val="26"/>
        </w:rPr>
        <w:t xml:space="preserve">Efemena Okpa</w:t>
      </w:r>
    </w:p>
    <w:p>
      <w:pPr>
        <w:spacing w:after="80"/>
        <w:jc w:val="center"/>
      </w:pPr>
      <w:r>
        <w:rPr>
          <w:rFonts w:ascii="Arial" w:cs="Arial" w:eastAsia="Arial" w:hAnsi="Arial"/>
          <w:b/>
          <w:bCs/>
          <w:sz w:val="22"/>
          <w:szCs w:val="22"/>
        </w:rPr>
        <w:t xml:space="preserve">Assigned Risk: Risk 2: Regulatory and Compliance Exposure</w:t>
      </w:r>
    </w:p>
    <w:p>
      <w:pPr>
        <w:spacing w:after="80"/>
        <w:jc w:val="center"/>
      </w:pPr>
      <w:r>
        <w:rPr>
          <w:rFonts w:ascii="Arial" w:cs="Arial" w:eastAsia="Arial" w:hAnsi="Arial"/>
          <w:sz w:val="20"/>
          <w:szCs w:val="20"/>
        </w:rPr>
        <w:t xml:space="preserve">Risk Type: Negative Risk</w:t>
      </w:r>
    </w:p>
    <w:p>
      <w:pPr>
        <w:spacing w:after="80"/>
        <w:jc w:val="center"/>
      </w:pPr>
      <w:r>
        <w:rPr>
          <w:rFonts w:ascii="Arial" w:cs="Arial" w:eastAsia="Arial" w:hAnsi="Arial"/>
          <w:sz w:val="20"/>
          <w:szCs w:val="20"/>
        </w:rPr>
        <w:t xml:space="preserve">Course: ALY6130 | Spring 2026 | Instructor: Abeba N. Turi  |  Group 7  |  June 2026</w:t>
      </w:r>
    </w:p>
    <w:p>
      <w:pPr>
        <w:spacing w:after="120" w:before="120"/>
      </w:pPr>
      <w:r>
        <w:t xml:space="preserve"/>
      </w:r>
    </w:p>
    <w:p>
      <w:pPr>
        <w:spacing w:after="120"/>
      </w:pPr>
      <w:r>
        <w:t xml:space="preserve"/>
      </w:r>
    </w:p>
    <w:p>
      <w:pPr>
        <w:spacing w:after="120" w:before="240"/>
      </w:pPr>
      <w:r>
        <w:rPr>
          <w:rFonts w:ascii="Arial" w:cs="Arial" w:eastAsia="Arial" w:hAnsi="Arial"/>
          <w:b/>
          <w:bCs/>
          <w:sz w:val="28"/>
          <w:szCs w:val="28"/>
        </w:rPr>
        <w:t xml:space="preserve">SECTION A: SWOT Foundation — Competitive Risks Identified</w:t>
      </w:r>
    </w:p>
    <w:p>
      <w:pPr>
        <w:spacing w:after="160"/>
        <w:jc w:val="left"/>
      </w:pPr>
      <w:r>
        <w:rPr>
          <w:rFonts w:ascii="Arial" w:cs="Arial" w:eastAsia="Arial" w:hAnsi="Arial"/>
          <w:b w:val="false"/>
          <w:bCs w:val="false"/>
          <w:sz w:val="20"/>
          <w:szCs w:val="20"/>
        </w:rPr>
        <w:t xml:space="preserve">The three competitive risks in this assignment are drawn directly from the SWOT analysis completed in Module 1. The table below summarises the relevant threats and opportunities that underpin all three risks in the group report.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left"/>
            </w:pPr>
            <w:r>
              <w:rPr>
                <w:rFonts w:ascii="Arial" w:cs="Arial" w:eastAsia="Arial" w:hAnsi="Arial"/>
                <w:b/>
                <w:bCs/>
                <w:sz w:val="20"/>
                <w:szCs w:val="20"/>
              </w:rPr>
              <w:t xml:space="preserve">THREATS (Source of Negative Risks)</w:t>
            </w:r>
          </w:p>
        </w:tc>
        <w:tc>
          <w:tcPr>
            <w:tcW w:type="dxa" w:w="468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left"/>
            </w:pPr>
            <w:r>
              <w:rPr>
                <w:rFonts w:ascii="Arial" w:cs="Arial" w:eastAsia="Arial" w:hAnsi="Arial"/>
                <w:b/>
                <w:bCs/>
                <w:sz w:val="20"/>
                <w:szCs w:val="20"/>
              </w:rPr>
              <w:t xml:space="preserve">OPPORTUNITY (Source of Positive Risk)</w:t>
            </w:r>
          </w:p>
        </w:tc>
      </w:tr>
      <w:tr>
        <w:tc>
          <w:tcPr>
            <w:tcW w:type="dxa" w:w="468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tcPr>
          <w:p>
            <w:r>
              <w:rPr>
                <w:rFonts w:ascii="Arial" w:cs="Arial" w:eastAsia="Arial" w:hAnsi="Arial"/>
                <w:b w:val="false"/>
                <w:bCs w:val="false"/>
                <w:sz w:val="20"/>
                <w:szCs w:val="20"/>
              </w:rPr>
              <w:t xml:space="preserve">Threat 1: Holding both banking and insurance data in a connected ecosystem makes CIBC a high-value target for cyberattacks — a level of exposure and reputational consequence it has not previously faced at this scale.</w:t>
            </w:r>
          </w:p>
          <w:p>
            <w:r>
              <w:rPr>
                <w:rFonts w:ascii="Arial" w:cs="Arial" w:eastAsia="Arial" w:hAnsi="Arial"/>
                <w:b w:val="false"/>
                <w:bCs w:val="false"/>
                <w:sz w:val="20"/>
                <w:szCs w:val="20"/>
              </w:rPr>
              <w:t xml:space="preserve"/>
            </w:r>
          </w:p>
          <w:p>
            <w:r>
              <w:rPr>
                <w:rFonts w:ascii="Arial" w:cs="Arial" w:eastAsia="Arial" w:hAnsi="Arial"/>
                <w:b w:val="false"/>
                <w:bCs w:val="false"/>
                <w:sz w:val="20"/>
                <w:szCs w:val="20"/>
              </w:rPr>
              <w:t xml:space="preserve">Threat 2: The regulatory landscape around digital insurance, data privacy (PIPEDA, Bill C-27), and consumer protection is shifting quickly, and new obligations could emerge after the acquisition is already underway.</w:t>
            </w:r>
          </w:p>
        </w:tc>
        <w:tc>
          <w:tcPr>
            <w:tcW w:type="dxa" w:w="468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Opportunity: Canada's digital insurance market is growing fast, and an early move by a trusted bank brand like CIBC could carve out a meaningful competitive position before the space gets crowded. CIBC already has established client relationships — adding insurance gives advisors a practical reason to deepen those conversations and boost revenue per household.</w:t>
            </w:r>
          </w:p>
        </w:tc>
      </w:tr>
    </w:tbl>
    <w:p>
      <w:pPr>
        <w:spacing w:after="120"/>
      </w:pPr>
      <w:r>
        <w:t xml:space="preserve"/>
      </w:r>
    </w:p>
    <w:p>
      <w:pPr>
        <w:spacing w:after="120" w:before="240"/>
      </w:pPr>
      <w:r>
        <w:rPr>
          <w:rFonts w:ascii="Arial" w:cs="Arial" w:eastAsia="Arial" w:hAnsi="Arial"/>
          <w:b/>
          <w:bCs/>
          <w:sz w:val="28"/>
          <w:szCs w:val="28"/>
        </w:rPr>
        <w:t xml:space="preserve">SECTION B: Problem Statement — Risk 2</w:t>
      </w:r>
    </w:p>
    <w:p>
      <w:pPr>
        <w:spacing w:after="60" w:before="160"/>
      </w:pPr>
      <w:r>
        <w:rPr>
          <w:rFonts w:ascii="Arial" w:cs="Arial" w:eastAsia="Arial" w:hAnsi="Arial"/>
          <w:b/>
          <w:bCs/>
          <w:sz w:val="20"/>
          <w:szCs w:val="20"/>
        </w:rPr>
        <w:t xml:space="preserve">SWOT Source:</w:t>
      </w:r>
    </w:p>
    <w:p>
      <w:pPr>
        <w:spacing w:after="160"/>
        <w:jc w:val="left"/>
      </w:pPr>
      <w:r>
        <w:rPr>
          <w:rFonts w:ascii="Arial" w:cs="Arial" w:eastAsia="Arial" w:hAnsi="Arial"/>
          <w:b w:val="false"/>
          <w:bCs w:val="false"/>
          <w:sz w:val="20"/>
          <w:szCs w:val="20"/>
        </w:rPr>
        <w:t xml:space="preserve">THREAT: "The regulatory landscape around digital insurance, data privacy (PIPEDA, Bill C-27), and consumer protection is shifting quickly, and new obligations could emerge after the acquisition is already underway."</w:t>
      </w:r>
    </w:p>
    <w:p>
      <w:pPr>
        <w:spacing w:after="120"/>
      </w:pPr>
      <w:r>
        <w:t xml:space="preserve"/>
      </w:r>
    </w:p>
    <w:p>
      <w:pPr>
        <w:spacing w:after="160"/>
        <w:jc w:val="left"/>
      </w:pPr>
      <w:r>
        <w:rPr>
          <w:rFonts w:ascii="Arial" w:cs="Arial" w:eastAsia="Arial" w:hAnsi="Arial"/>
          <w:b w:val="false"/>
          <w:bCs w:val="false"/>
          <w:sz w:val="20"/>
          <w:szCs w:val="20"/>
        </w:rPr>
        <w:t xml:space="preserve">In 2023, Canada's federal government tabled Bill C-27 which, when passed, will significantly strengthen PIPEDA obligations and introduce AI transparency requirements directly relevant to CIBC's planned AI-assisted underwriting processes. Simultaneously, provincial insurance regulators across Ontario, Quebec, and British Columbia have issued updated digital distribution guidelines that CIBC's new platform must comply with before selling insurance products in those provinces. The risk requires immediate monitoring because non-compliance identified after go-live — rather than before — would force CIBC to halt sales, refund premiums already collected, and potentially face enforcement action from multiple regulators simultaneously. Regulatory delays or a compliance-driven product halt could allow competitors such as Lemonade and PolicyMe to accelerate their Canadian market penetration while CIBC is sidelined, permanently reducing the bank's ability to establish market leadership in a window that is already closing.</w:t>
      </w:r>
    </w:p>
    <w:p>
      <w:pPr>
        <w:spacing w:after="120"/>
      </w:pPr>
      <w:r>
        <w:t xml:space="preserve"/>
      </w:r>
    </w:p>
    <w:p>
      <w:pPr>
        <w:spacing w:after="120" w:before="240"/>
      </w:pPr>
      <w:r>
        <w:rPr>
          <w:rFonts w:ascii="Arial" w:cs="Arial" w:eastAsia="Arial" w:hAnsi="Arial"/>
          <w:b/>
          <w:bCs/>
          <w:sz w:val="28"/>
          <w:szCs w:val="28"/>
        </w:rPr>
        <w:t xml:space="preserve">SECTION C: Risk Statement — Risk 2: Regulatory and Compliance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left"/>
            </w:pPr>
            <w:r>
              <w:rPr>
                <w:rFonts w:ascii="Arial" w:cs="Arial" w:eastAsia="Arial" w:hAnsi="Arial"/>
                <w:b/>
                <w:bCs/>
                <w:sz w:val="20"/>
                <w:szCs w:val="20"/>
              </w:rPr>
              <w:t xml:space="preserve">Field</w:t>
            </w:r>
          </w:p>
        </w:tc>
        <w:tc>
          <w:tcPr>
            <w:tcW w:type="dxa" w:w="73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left"/>
            </w:pPr>
            <w:r>
              <w:rPr>
                <w:rFonts w:ascii="Arial" w:cs="Arial" w:eastAsia="Arial" w:hAnsi="Arial"/>
                <w:b/>
                <w:bCs/>
                <w:sz w:val="20"/>
                <w:szCs w:val="20"/>
              </w:rPr>
              <w:t xml:space="preserve">Detail</w:t>
            </w:r>
          </w:p>
        </w:tc>
      </w:tr>
      <w:tr>
        <w:tc>
          <w:tcPr>
            <w:tcW w:type="dxa" w:w="2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bCs/>
                <w:sz w:val="20"/>
                <w:szCs w:val="20"/>
              </w:rPr>
              <w:t xml:space="preserve">The risk of...</w:t>
            </w:r>
          </w:p>
        </w:tc>
        <w:tc>
          <w:tcPr>
            <w:tcW w:type="dxa" w:w="7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Regulatory non-compliance with provincial insurance licensing rules and federal data privacy legislation</w:t>
            </w:r>
          </w:p>
        </w:tc>
      </w:tr>
      <w:tr>
        <w:tc>
          <w:tcPr>
            <w:tcW w:type="dxa" w:w="2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bCs/>
                <w:sz w:val="20"/>
                <w:szCs w:val="20"/>
              </w:rPr>
              <w:t xml:space="preserve">Caused by...</w:t>
            </w:r>
          </w:p>
        </w:tc>
        <w:tc>
          <w:tcPr>
            <w:tcW w:type="dxa" w:w="7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The rapidly evolving regulatory landscape governing digital insurance distribution, AI-assisted underwriting decisions, and personal health data privacy under PIPEDA and the forthcoming Bill C-27, combined with CIBC's limited prior experience operating in the federally and provincially regulated insurance sector</w:t>
            </w:r>
          </w:p>
        </w:tc>
      </w:tr>
      <w:tr>
        <w:tc>
          <w:tcPr>
            <w:tcW w:type="dxa" w:w="2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bCs/>
                <w:sz w:val="20"/>
                <w:szCs w:val="20"/>
              </w:rPr>
              <w:t xml:space="preserve">Resulting in...</w:t>
            </w:r>
          </w:p>
        </w:tc>
        <w:tc>
          <w:tcPr>
            <w:tcW w:type="dxa" w:w="7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Regulatory fines, mandatory product withdrawal from non-compliant provinces, forced system modifications to the insurance platform, and reputational harm from public regulatory action</w:t>
            </w:r>
          </w:p>
        </w:tc>
      </w:tr>
      <w:tr>
        <w:tc>
          <w:tcPr>
            <w:tcW w:type="dxa" w:w="2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bCs/>
                <w:sz w:val="20"/>
                <w:szCs w:val="20"/>
              </w:rPr>
              <w:t xml:space="preserve">Risk Type</w:t>
            </w:r>
          </w:p>
        </w:tc>
        <w:tc>
          <w:tcPr>
            <w:tcW w:type="dxa" w:w="7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Legal/Compliance; Financial; Operational; Competitive</w:t>
            </w:r>
          </w:p>
        </w:tc>
      </w:tr>
      <w:tr>
        <w:tc>
          <w:tcPr>
            <w:tcW w:type="dxa" w:w="2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bCs/>
                <w:sz w:val="20"/>
                <w:szCs w:val="20"/>
              </w:rPr>
              <w:t xml:space="preserve">Likelihood Score</w:t>
            </w:r>
          </w:p>
        </w:tc>
        <w:tc>
          <w:tcPr>
            <w:tcW w:type="dxa" w:w="7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7 / 9 — Somewhat Likely</w:t>
            </w:r>
          </w:p>
        </w:tc>
      </w:tr>
      <w:tr>
        <w:tc>
          <w:tcPr>
            <w:tcW w:type="dxa" w:w="2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bCs/>
                <w:sz w:val="20"/>
                <w:szCs w:val="20"/>
              </w:rPr>
              <w:t xml:space="preserve">Impact Score</w:t>
            </w:r>
          </w:p>
        </w:tc>
        <w:tc>
          <w:tcPr>
            <w:tcW w:type="dxa" w:w="7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8 / 9 — Extremely High</w:t>
            </w:r>
          </w:p>
        </w:tc>
      </w:tr>
      <w:tr>
        <w:tc>
          <w:tcPr>
            <w:tcW w:type="dxa" w:w="2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top"/>
          </w:tcPr>
          <w:p>
            <w:pPr>
              <w:jc w:val="left"/>
            </w:pPr>
            <w:r>
              <w:rPr>
                <w:rFonts w:ascii="Arial" w:cs="Arial" w:eastAsia="Arial" w:hAnsi="Arial"/>
                <w:b/>
                <w:bCs/>
                <w:sz w:val="20"/>
                <w:szCs w:val="20"/>
              </w:rPr>
              <w:t xml:space="preserve">Risk Score</w:t>
            </w:r>
          </w:p>
        </w:tc>
        <w:tc>
          <w:tcPr>
            <w:tcW w:type="dxa" w:w="73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top"/>
          </w:tcPr>
          <w:p>
            <w:pPr>
              <w:jc w:val="left"/>
            </w:pPr>
            <w:r>
              <w:rPr>
                <w:rFonts w:ascii="Arial" w:cs="Arial" w:eastAsia="Arial" w:hAnsi="Arial"/>
                <w:b/>
                <w:bCs/>
                <w:sz w:val="20"/>
                <w:szCs w:val="20"/>
              </w:rPr>
              <w:t xml:space="preserve">56 (High Priority — Score 36–81)</w:t>
            </w:r>
          </w:p>
        </w:tc>
      </w:tr>
    </w:tbl>
    <w:p>
      <w:pPr>
        <w:spacing w:after="120"/>
      </w:pPr>
      <w:r>
        <w:t xml:space="preserve"/>
      </w:r>
    </w:p>
    <w:p>
      <w:pPr>
        <w:spacing w:after="120" w:before="240"/>
      </w:pPr>
      <w:r>
        <w:rPr>
          <w:rFonts w:ascii="Arial" w:cs="Arial" w:eastAsia="Arial" w:hAnsi="Arial"/>
          <w:b/>
          <w:bCs/>
          <w:sz w:val="28"/>
          <w:szCs w:val="28"/>
        </w:rPr>
        <w:t xml:space="preserve">SECTION D: Impact Statement — Risk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left"/>
            </w:pPr>
            <w:r>
              <w:rPr>
                <w:rFonts w:ascii="Arial" w:cs="Arial" w:eastAsia="Arial" w:hAnsi="Arial"/>
                <w:b/>
                <w:bCs/>
                <w:sz w:val="20"/>
                <w:szCs w:val="20"/>
              </w:rPr>
              <w:t xml:space="preserve">Impact Type</w:t>
            </w:r>
          </w:p>
        </w:tc>
        <w:tc>
          <w:tcPr>
            <w:tcW w:type="dxa" w:w="73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left"/>
            </w:pPr>
            <w:r>
              <w:rPr>
                <w:rFonts w:ascii="Arial" w:cs="Arial" w:eastAsia="Arial" w:hAnsi="Arial"/>
                <w:b/>
                <w:bCs/>
                <w:sz w:val="20"/>
                <w:szCs w:val="20"/>
              </w:rPr>
              <w:t xml:space="preserve">Impact Description</w:t>
            </w:r>
          </w:p>
        </w:tc>
      </w:tr>
      <w:tr>
        <w:tc>
          <w:tcPr>
            <w:tcW w:type="dxa" w:w="2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bCs/>
                <w:sz w:val="20"/>
                <w:szCs w:val="20"/>
              </w:rPr>
              <w:t xml:space="preserve">Financial</w:t>
            </w:r>
          </w:p>
        </w:tc>
        <w:tc>
          <w:tcPr>
            <w:tcW w:type="dxa" w:w="7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Regulatory fines from the Privacy Commissioner and provincial insurance regulators could reach CAD $10 million per incident. Premium refunds to clients in non-compliant provinces could cost CAD $5 to 20 million depending on policy volumes at time of enforcement.</w:t>
            </w:r>
          </w:p>
        </w:tc>
      </w:tr>
      <w:tr>
        <w:tc>
          <w:tcPr>
            <w:tcW w:type="dxa" w:w="2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bCs/>
                <w:sz w:val="20"/>
                <w:szCs w:val="20"/>
              </w:rPr>
              <w:t xml:space="preserve">Operational</w:t>
            </w:r>
          </w:p>
        </w:tc>
        <w:tc>
          <w:tcPr>
            <w:tcW w:type="dxa" w:w="7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A regulatory halt requiring system modification could delay platform operations by 3 to 9 months and consume significant engineering resources originally allocated to feature development.</w:t>
            </w:r>
          </w:p>
        </w:tc>
      </w:tr>
      <w:tr>
        <w:tc>
          <w:tcPr>
            <w:tcW w:type="dxa" w:w="2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bCs/>
                <w:sz w:val="20"/>
                <w:szCs w:val="20"/>
              </w:rPr>
              <w:t xml:space="preserve">Legal / Compliance</w:t>
            </w:r>
          </w:p>
        </w:tc>
        <w:tc>
          <w:tcPr>
            <w:tcW w:type="dxa" w:w="7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OSFI may impose enhanced compliance oversight conditions on CIBC's banking licence if insurance compliance failures are deemed to reflect broader governance weaknesses.</w:t>
            </w:r>
          </w:p>
        </w:tc>
      </w:tr>
      <w:tr>
        <w:tc>
          <w:tcPr>
            <w:tcW w:type="dxa" w:w="2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bCs/>
                <w:sz w:val="20"/>
                <w:szCs w:val="20"/>
              </w:rPr>
              <w:t xml:space="preserve">Reputational</w:t>
            </w:r>
          </w:p>
        </w:tc>
        <w:tc>
          <w:tcPr>
            <w:tcW w:type="dxa" w:w="7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Public enforcement action by a provincial insurance regulator would generate national media coverage, undermining client trust in CIBC's competence to operate in the insurance sector and damaging the bank's brand with prospective insurance clients.</w:t>
            </w:r>
          </w:p>
        </w:tc>
      </w:tr>
    </w:tbl>
    <w:p>
      <w:pPr>
        <w:spacing w:after="120"/>
      </w:pPr>
      <w:r>
        <w:t xml:space="preserve"/>
      </w:r>
    </w:p>
    <w:p>
      <w:pPr>
        <w:spacing w:after="120" w:before="240"/>
      </w:pPr>
      <w:r>
        <w:rPr>
          <w:rFonts w:ascii="Arial" w:cs="Arial" w:eastAsia="Arial" w:hAnsi="Arial"/>
          <w:b/>
          <w:bCs/>
          <w:sz w:val="28"/>
          <w:szCs w:val="28"/>
        </w:rPr>
        <w:t xml:space="preserve">SECTION E: Key Risk Indicator (KRI) — Risk 2</w:t>
      </w:r>
    </w:p>
    <w:p>
      <w:pPr>
        <w:spacing w:after="60" w:before="160"/>
      </w:pPr>
      <w:r>
        <w:rPr>
          <w:rFonts w:ascii="Arial" w:cs="Arial" w:eastAsia="Arial" w:hAnsi="Arial"/>
          <w:b/>
          <w:bCs/>
          <w:sz w:val="20"/>
          <w:szCs w:val="20"/>
        </w:rPr>
        <w:t xml:space="preserve">Selected KRI:</w:t>
      </w:r>
    </w:p>
    <w:p>
      <w:pPr>
        <w:spacing w:after="160"/>
        <w:jc w:val="left"/>
      </w:pPr>
      <w:r>
        <w:rPr>
          <w:rFonts w:ascii="Arial" w:cs="Arial" w:eastAsia="Arial" w:hAnsi="Arial"/>
          <w:b w:val="false"/>
          <w:bCs w:val="false"/>
          <w:sz w:val="20"/>
          <w:szCs w:val="20"/>
        </w:rPr>
        <w:t xml:space="preserve">Number of open regulatory compliance findings or unimplemented regulatory changes older than 30 days (Leading Indicator — predicts future enforcement action before a violation is formally issued).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left"/>
            </w:pPr>
            <w:r>
              <w:rPr>
                <w:rFonts w:ascii="Arial" w:cs="Arial" w:eastAsia="Arial" w:hAnsi="Arial"/>
                <w:b/>
                <w:bCs/>
                <w:sz w:val="20"/>
                <w:szCs w:val="20"/>
              </w:rPr>
              <w:t xml:space="preserve">Level</w:t>
            </w:r>
          </w:p>
        </w:tc>
        <w:tc>
          <w:tcPr>
            <w:tcW w:type="dxa" w:w="16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left"/>
            </w:pPr>
            <w:r>
              <w:rPr>
                <w:rFonts w:ascii="Arial" w:cs="Arial" w:eastAsia="Arial" w:hAnsi="Arial"/>
                <w:b/>
                <w:bCs/>
                <w:sz w:val="20"/>
                <w:szCs w:val="20"/>
              </w:rPr>
              <w:t xml:space="preserve">Status</w:t>
            </w:r>
          </w:p>
        </w:tc>
        <w:tc>
          <w:tcPr>
            <w:tcW w:type="dxa" w:w="63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left"/>
            </w:pPr>
            <w:r>
              <w:rPr>
                <w:rFonts w:ascii="Arial" w:cs="Arial" w:eastAsia="Arial" w:hAnsi="Arial"/>
                <w:b/>
                <w:bCs/>
                <w:sz w:val="20"/>
                <w:szCs w:val="20"/>
              </w:rPr>
              <w:t xml:space="preserve">Threshold Definition and Required Action</w:t>
            </w:r>
          </w:p>
        </w:tc>
      </w:tr>
      <w:tr>
        <w:tc>
          <w:tcPr>
            <w:tcW w:type="dxa" w:w="1400"/>
            <w:tcBorders>
              <w:top w:val="single" w:color="000000" w:sz="4"/>
              <w:left w:val="single" w:color="000000" w:sz="4"/>
              <w:bottom w:val="single" w:color="000000" w:sz="4"/>
              <w:right w:val="single" w:color="000000" w:sz="4"/>
            </w:tcBorders>
            <w:shd w:fill="C6EFCE" w:val="clear"/>
            <w:tcMar>
              <w:top w:type="dxa" w:w="80"/>
              <w:left w:type="dxa" w:w="120"/>
              <w:bottom w:type="dxa" w:w="80"/>
              <w:right w:type="dxa" w:w="120"/>
            </w:tcMar>
            <w:vAlign w:val="top"/>
          </w:tcPr>
          <w:p>
            <w:pPr>
              <w:jc w:val="left"/>
            </w:pPr>
            <w:r>
              <w:rPr>
                <w:rFonts w:ascii="Arial" w:cs="Arial" w:eastAsia="Arial" w:hAnsi="Arial"/>
                <w:b/>
                <w:bCs/>
                <w:sz w:val="20"/>
                <w:szCs w:val="20"/>
              </w:rPr>
              <w:t xml:space="preserve">GREEN</w:t>
            </w:r>
          </w:p>
        </w:tc>
        <w:tc>
          <w:tcPr>
            <w:tcW w:type="dxa" w:w="1600"/>
            <w:tcBorders>
              <w:top w:val="single" w:color="000000" w:sz="4"/>
              <w:left w:val="single" w:color="000000" w:sz="4"/>
              <w:bottom w:val="single" w:color="000000" w:sz="4"/>
              <w:right w:val="single" w:color="000000" w:sz="4"/>
            </w:tcBorders>
            <w:shd w:fill="C6EFCE"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Optimized — Within Risk Appetite</w:t>
            </w:r>
          </w:p>
        </w:tc>
        <w:tc>
          <w:tcPr>
            <w:tcW w:type="dxa" w:w="6360"/>
            <w:tcBorders>
              <w:top w:val="single" w:color="000000" w:sz="4"/>
              <w:left w:val="single" w:color="000000" w:sz="4"/>
              <w:bottom w:val="single" w:color="000000" w:sz="4"/>
              <w:right w:val="single" w:color="000000" w:sz="4"/>
            </w:tcBorders>
            <w:shd w:fill="C6EFCE"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Zero open compliance findings or outstanding regulatory changes beyond 30 days. All provincial licensing requirements confirmed complete before launch in each province.</w:t>
            </w:r>
          </w:p>
        </w:tc>
      </w:tr>
      <w:tr>
        <w:tc>
          <w:tcPr>
            <w:tcW w:type="dxa" w:w="1400"/>
            <w:tcBorders>
              <w:top w:val="single" w:color="000000" w:sz="4"/>
              <w:left w:val="single" w:color="000000" w:sz="4"/>
              <w:bottom w:val="single" w:color="000000" w:sz="4"/>
              <w:right w:val="single" w:color="000000" w:sz="4"/>
            </w:tcBorders>
            <w:shd w:fill="FFEB9C" w:val="clear"/>
            <w:tcMar>
              <w:top w:type="dxa" w:w="80"/>
              <w:left w:type="dxa" w:w="120"/>
              <w:bottom w:type="dxa" w:w="80"/>
              <w:right w:type="dxa" w:w="120"/>
            </w:tcMar>
            <w:vAlign w:val="top"/>
          </w:tcPr>
          <w:p>
            <w:pPr>
              <w:jc w:val="left"/>
            </w:pPr>
            <w:r>
              <w:rPr>
                <w:rFonts w:ascii="Arial" w:cs="Arial" w:eastAsia="Arial" w:hAnsi="Arial"/>
                <w:b/>
                <w:bCs/>
                <w:sz w:val="20"/>
                <w:szCs w:val="20"/>
              </w:rPr>
              <w:t xml:space="preserve">AMBER</w:t>
            </w:r>
          </w:p>
        </w:tc>
        <w:tc>
          <w:tcPr>
            <w:tcW w:type="dxa" w:w="1600"/>
            <w:tcBorders>
              <w:top w:val="single" w:color="000000" w:sz="4"/>
              <w:left w:val="single" w:color="000000" w:sz="4"/>
              <w:bottom w:val="single" w:color="000000" w:sz="4"/>
              <w:right w:val="single" w:color="000000" w:sz="4"/>
            </w:tcBorders>
            <w:shd w:fill="FFEB9C"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Warning — Risk Increasing</w:t>
            </w:r>
          </w:p>
        </w:tc>
        <w:tc>
          <w:tcPr>
            <w:tcW w:type="dxa" w:w="6360"/>
            <w:tcBorders>
              <w:top w:val="single" w:color="000000" w:sz="4"/>
              <w:left w:val="single" w:color="000000" w:sz="4"/>
              <w:bottom w:val="single" w:color="000000" w:sz="4"/>
              <w:right w:val="single" w:color="000000" w:sz="4"/>
            </w:tcBorders>
            <w:shd w:fill="FFEB9C"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1 to 2 open compliance findings or regulatory changes not yet implemented within 30 days. Compliance committee convened. Remediation timeline approved by Chief Compliance Officer. Monthly board reporting begins.</w:t>
            </w:r>
          </w:p>
        </w:tc>
      </w:tr>
      <w:tr>
        <w:tc>
          <w:tcPr>
            <w:tcW w:type="dxa" w:w="1400"/>
            <w:tcBorders>
              <w:top w:val="single" w:color="000000" w:sz="4"/>
              <w:left w:val="single" w:color="000000" w:sz="4"/>
              <w:bottom w:val="single" w:color="000000" w:sz="4"/>
              <w:right w:val="single" w:color="000000" w:sz="4"/>
            </w:tcBorders>
            <w:shd w:fill="FFC7CE" w:val="clear"/>
            <w:tcMar>
              <w:top w:type="dxa" w:w="80"/>
              <w:left w:type="dxa" w:w="120"/>
              <w:bottom w:type="dxa" w:w="80"/>
              <w:right w:type="dxa" w:w="120"/>
            </w:tcMar>
            <w:vAlign w:val="top"/>
          </w:tcPr>
          <w:p>
            <w:pPr>
              <w:jc w:val="left"/>
            </w:pPr>
            <w:r>
              <w:rPr>
                <w:rFonts w:ascii="Arial" w:cs="Arial" w:eastAsia="Arial" w:hAnsi="Arial"/>
                <w:b/>
                <w:bCs/>
                <w:sz w:val="20"/>
                <w:szCs w:val="20"/>
              </w:rPr>
              <w:t xml:space="preserve">RED</w:t>
            </w:r>
          </w:p>
        </w:tc>
        <w:tc>
          <w:tcPr>
            <w:tcW w:type="dxa" w:w="1600"/>
            <w:tcBorders>
              <w:top w:val="single" w:color="000000" w:sz="4"/>
              <w:left w:val="single" w:color="000000" w:sz="4"/>
              <w:bottom w:val="single" w:color="000000" w:sz="4"/>
              <w:right w:val="single" w:color="000000" w:sz="4"/>
            </w:tcBorders>
            <w:shd w:fill="FFC7CE"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Critical — Immediate Action</w:t>
            </w:r>
          </w:p>
        </w:tc>
        <w:tc>
          <w:tcPr>
            <w:tcW w:type="dxa" w:w="6360"/>
            <w:tcBorders>
              <w:top w:val="single" w:color="000000" w:sz="4"/>
              <w:left w:val="single" w:color="000000" w:sz="4"/>
              <w:bottom w:val="single" w:color="000000" w:sz="4"/>
              <w:right w:val="single" w:color="000000" w:sz="4"/>
            </w:tcBorders>
            <w:shd w:fill="FFC7CE"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3 or more open compliance findings unresolved beyond 30 days OR a formal regulatory inquiry received from any provincial insurance regulator or the Privacy Commissioner of Canada. Immediate escalation to CEO and Board. Legal counsel engaged. Platform sales halted in affected province(s) pending resolution.</w:t>
            </w:r>
          </w:p>
        </w:tc>
      </w:tr>
    </w:tbl>
    <w:p>
      <w:pPr>
        <w:spacing w:after="120"/>
      </w:pPr>
      <w:r>
        <w:t xml:space="preserve"/>
      </w:r>
    </w:p>
    <w:p>
      <w:pPr>
        <w:spacing w:after="120" w:before="240"/>
      </w:pPr>
      <w:r>
        <w:rPr>
          <w:rFonts w:ascii="Arial" w:cs="Arial" w:eastAsia="Arial" w:hAnsi="Arial"/>
          <w:b/>
          <w:bCs/>
          <w:sz w:val="28"/>
          <w:szCs w:val="28"/>
        </w:rPr>
        <w:t xml:space="preserve">SECTION F: Excel Workbook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left"/>
            </w:pPr>
            <w:r>
              <w:rPr>
                <w:rFonts w:ascii="Arial" w:cs="Arial" w:eastAsia="Arial" w:hAnsi="Arial"/>
                <w:b/>
                <w:bCs/>
                <w:sz w:val="20"/>
                <w:szCs w:val="20"/>
              </w:rPr>
              <w:t xml:space="preserve">Excel Sheet</w:t>
            </w:r>
          </w:p>
        </w:tc>
        <w:tc>
          <w:tcPr>
            <w:tcW w:type="dxa" w:w="63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left"/>
            </w:pPr>
            <w:r>
              <w:rPr>
                <w:rFonts w:ascii="Arial" w:cs="Arial" w:eastAsia="Arial" w:hAnsi="Arial"/>
                <w:b/>
                <w:bCs/>
                <w:sz w:val="20"/>
                <w:szCs w:val="20"/>
              </w:rPr>
              <w:t xml:space="preserve">Contribution</w:t>
            </w:r>
          </w:p>
        </w:tc>
      </w:tr>
      <w:tr>
        <w:tc>
          <w:tcPr>
            <w:tcW w:type="dxa" w:w="3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Risk Register — Row 2</w:t>
            </w:r>
          </w:p>
        </w:tc>
        <w:tc>
          <w:tcPr>
            <w:tcW w:type="dxa" w:w="6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Regulatory and Compliance Exposure | L=7, I=8, RS=56 | Priority: H | Owner: Chief Compliance Officer</w:t>
            </w:r>
          </w:p>
        </w:tc>
      </w:tr>
      <w:tr>
        <w:tc>
          <w:tcPr>
            <w:tcW w:type="dxa" w:w="3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KRI Framework — Row 2</w:t>
            </w:r>
          </w:p>
        </w:tc>
        <w:tc>
          <w:tcPr>
            <w:tcW w:type="dxa" w:w="6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KRI: Open compliance findings/regulatory changes &gt;30 days | Green/Amber/Red thresholds | KRI Owner: Chief Compliance Officer</w:t>
            </w:r>
          </w:p>
        </w:tc>
      </w:tr>
      <w:tr>
        <w:tc>
          <w:tcPr>
            <w:tcW w:type="dxa" w:w="300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Risk Calculation Sheet — Risk 2</w:t>
            </w:r>
          </w:p>
        </w:tc>
        <w:tc>
          <w:tcPr>
            <w:tcW w:type="dxa" w:w="6360"/>
            <w:tcBorders>
              <w:top w:val="single" w:color="000000" w:sz="4"/>
              <w:left w:val="single" w:color="000000" w:sz="4"/>
              <w:bottom w:val="single" w:color="000000" w:sz="4"/>
              <w:right w:val="single" w:color="000000" w:sz="4"/>
            </w:tcBorders>
            <w:shd w:val="clear" w:color="auto" w:fill="FFFFFF"/>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Risk 2 calculation block: likelihood, impact scores, impact-by-type breakdown, impact statement, mitigation controls</w:t>
            </w:r>
          </w:p>
        </w:tc>
      </w:tr>
    </w:tbl>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2026-06-02T21:38:42.099Z</dcterms:created>
  <dcterms:modified xsi:type="dcterms:W3CDTF">2026-06-02T21:38:42.099Z</dcterms:modified>
</cp:coreProperties>
</file>

<file path=docProps/custom.xml><?xml version="1.0" encoding="utf-8"?>
<Properties xmlns="http://schemas.openxmlformats.org/officeDocument/2006/custom-properties" xmlns:vt="http://schemas.openxmlformats.org/officeDocument/2006/docPropsVTypes"/>
</file>