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E5E4" w14:textId="0E3F5B19" w:rsidR="00227613" w:rsidRPr="009D600B" w:rsidRDefault="00EA7FC4" w:rsidP="00EA7FC4">
      <w:pPr>
        <w:jc w:val="center"/>
        <w:rPr>
          <w:b/>
          <w:bCs/>
          <w:lang w:val="en-US"/>
        </w:rPr>
      </w:pPr>
      <w:r w:rsidRPr="009D600B">
        <w:rPr>
          <w:b/>
          <w:bCs/>
          <w:lang w:val="en-US"/>
        </w:rPr>
        <w:t>Analysis of the Relationship Between BIST100 and CSI300 Stock Markets</w:t>
      </w:r>
    </w:p>
    <w:p w14:paraId="37A7E8FA" w14:textId="433F8C1E" w:rsidR="00EA7FC4" w:rsidRPr="009D600B" w:rsidRDefault="00EA7FC4" w:rsidP="00EA7FC4">
      <w:pPr>
        <w:jc w:val="center"/>
        <w:rPr>
          <w:lang w:val="en-US"/>
        </w:rPr>
      </w:pPr>
      <w:r w:rsidRPr="009D600B">
        <w:rPr>
          <w:lang w:val="en-US"/>
        </w:rPr>
        <w:t>Efe Demirçelik – 34303</w:t>
      </w:r>
    </w:p>
    <w:p w14:paraId="1E80D8A5" w14:textId="44953498" w:rsidR="00EA7FC4" w:rsidRPr="0047283A" w:rsidRDefault="0047283A" w:rsidP="0047283A">
      <w:pPr>
        <w:rPr>
          <w:b/>
          <w:bCs/>
          <w:lang w:val="en-US"/>
        </w:rPr>
      </w:pPr>
      <w:r>
        <w:rPr>
          <w:b/>
          <w:bCs/>
          <w:lang w:val="en-US"/>
        </w:rPr>
        <w:t xml:space="preserve">1. </w:t>
      </w:r>
      <w:r w:rsidR="00EA7FC4" w:rsidRPr="0047283A">
        <w:rPr>
          <w:b/>
          <w:bCs/>
          <w:lang w:val="en-US"/>
        </w:rPr>
        <w:t>Overview</w:t>
      </w:r>
    </w:p>
    <w:p w14:paraId="4D2933D1" w14:textId="5B348B5D" w:rsidR="00EA7FC4" w:rsidRPr="009D600B" w:rsidRDefault="00EA7FC4" w:rsidP="00EA7FC4">
      <w:pPr>
        <w:rPr>
          <w:lang w:val="en-US"/>
        </w:rPr>
      </w:pPr>
      <w:r w:rsidRPr="009D600B">
        <w:rPr>
          <w:lang w:val="en-US"/>
        </w:rPr>
        <w:t>This project investigated the lead-lag relationship between BIST100 and CSI300 from 2015 to 2025</w:t>
      </w:r>
      <w:r w:rsidR="009D600B" w:rsidRPr="009D600B">
        <w:rPr>
          <w:lang w:val="en-US"/>
        </w:rPr>
        <w:t>. While exploratory analysis revealed a statistically significant correlation, subsequent machine learning and causality tests demonstrated that this relationship is non-causal. The study identifies market volatility and shared global regimes as the primary drivers of simultaneous movements, rather than a direct predictive link.</w:t>
      </w:r>
    </w:p>
    <w:p w14:paraId="759498D0" w14:textId="77777777" w:rsidR="009D600B" w:rsidRDefault="009D600B" w:rsidP="009D600B">
      <w:pPr>
        <w:rPr>
          <w:lang w:val="en-US"/>
        </w:rPr>
      </w:pPr>
    </w:p>
    <w:p w14:paraId="686D334C" w14:textId="1D156B62" w:rsidR="00EA7FC4" w:rsidRPr="0047283A" w:rsidRDefault="0047283A" w:rsidP="009D600B">
      <w:pPr>
        <w:rPr>
          <w:b/>
          <w:bCs/>
          <w:lang w:val="en-US"/>
        </w:rPr>
      </w:pPr>
      <w:r>
        <w:rPr>
          <w:b/>
          <w:bCs/>
          <w:lang w:val="en-US"/>
        </w:rPr>
        <w:t xml:space="preserve">2. </w:t>
      </w:r>
      <w:r w:rsidR="009D600B" w:rsidRPr="0047283A">
        <w:rPr>
          <w:b/>
          <w:bCs/>
          <w:lang w:val="en-US"/>
        </w:rPr>
        <w:t>Visualization</w:t>
      </w:r>
    </w:p>
    <w:p w14:paraId="6868F167" w14:textId="47704D29" w:rsidR="009D600B" w:rsidRDefault="009D600B" w:rsidP="009D600B">
      <w:pPr>
        <w:rPr>
          <w:lang w:val="en-US"/>
        </w:rPr>
      </w:pPr>
      <w:r>
        <w:rPr>
          <w:noProof/>
        </w:rPr>
        <w:drawing>
          <wp:inline distT="0" distB="0" distL="0" distR="0" wp14:anchorId="52FA3AE0" wp14:editId="0E7A8CEE">
            <wp:extent cx="5943600" cy="2971800"/>
            <wp:effectExtent l="0" t="0" r="0" b="0"/>
            <wp:docPr id="126929110" name="Picture 2" descr="A graph of a price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110" name="Picture 2" descr="A graph of a price tre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47FEEF8" w14:textId="300CEF5C" w:rsidR="009D600B" w:rsidRDefault="009D600B" w:rsidP="009D600B">
      <w:pPr>
        <w:rPr>
          <w:lang w:val="en-US"/>
        </w:rPr>
      </w:pPr>
      <w:r>
        <w:rPr>
          <w:lang w:val="en-US"/>
        </w:rPr>
        <w:t>This graph represents the 10-year price trajectories of the BIST100 and CSI300 indices.</w:t>
      </w:r>
    </w:p>
    <w:p w14:paraId="6F78223E" w14:textId="1A348721" w:rsidR="009D600B" w:rsidRDefault="009D600B" w:rsidP="009D600B">
      <w:pPr>
        <w:rPr>
          <w:lang w:val="en-US"/>
        </w:rPr>
      </w:pPr>
      <w:r>
        <w:rPr>
          <w:noProof/>
        </w:rPr>
        <w:lastRenderedPageBreak/>
        <w:drawing>
          <wp:inline distT="0" distB="0" distL="0" distR="0" wp14:anchorId="63038732" wp14:editId="4A6B9D73">
            <wp:extent cx="5562600" cy="3479800"/>
            <wp:effectExtent l="0" t="0" r="0" b="0"/>
            <wp:docPr id="1043463320" name="Picture 4" descr="A purple dot diagram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3320" name="Picture 4" descr="A purple dot diagram with a black li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3479800"/>
                    </a:xfrm>
                    <a:prstGeom prst="rect">
                      <a:avLst/>
                    </a:prstGeom>
                    <a:noFill/>
                    <a:ln>
                      <a:noFill/>
                    </a:ln>
                  </pic:spPr>
                </pic:pic>
              </a:graphicData>
            </a:graphic>
          </wp:inline>
        </w:drawing>
      </w:r>
    </w:p>
    <w:p w14:paraId="15CD4EF5" w14:textId="034B8B79" w:rsidR="009D600B" w:rsidRDefault="0038678B" w:rsidP="009D600B">
      <w:pPr>
        <w:rPr>
          <w:lang w:val="en-US"/>
        </w:rPr>
      </w:pPr>
      <w:r>
        <w:rPr>
          <w:lang w:val="en-US"/>
        </w:rPr>
        <w:t>Scatter plot graph with a linear regression line to visually assess the relationship between daily returns of the BIST100 and CSI300 indices.</w:t>
      </w:r>
    </w:p>
    <w:p w14:paraId="51CA56D0" w14:textId="77777777" w:rsidR="0038678B" w:rsidRDefault="0038678B" w:rsidP="009D600B">
      <w:pPr>
        <w:rPr>
          <w:lang w:val="en-US"/>
        </w:rPr>
      </w:pPr>
    </w:p>
    <w:p w14:paraId="1BACC32E" w14:textId="77777777" w:rsidR="0038678B" w:rsidRDefault="0038678B" w:rsidP="009D600B">
      <w:pPr>
        <w:rPr>
          <w:lang w:val="en-US"/>
        </w:rPr>
      </w:pPr>
    </w:p>
    <w:p w14:paraId="5377A54A" w14:textId="2CDF0ADF" w:rsidR="009D600B" w:rsidRDefault="0038678B" w:rsidP="009D600B">
      <w:pPr>
        <w:rPr>
          <w:lang w:val="en-US"/>
        </w:rPr>
      </w:pPr>
      <w:r>
        <w:rPr>
          <w:noProof/>
        </w:rPr>
        <w:lastRenderedPageBreak/>
        <w:drawing>
          <wp:inline distT="0" distB="0" distL="0" distR="0" wp14:anchorId="66C97AA7" wp14:editId="33143B3B">
            <wp:extent cx="5346700" cy="3479800"/>
            <wp:effectExtent l="0" t="0" r="0" b="0"/>
            <wp:docPr id="1257965950" name="Picture 5"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5950" name="Picture 5" descr="A graph of a normal distributi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6700" cy="3479800"/>
                    </a:xfrm>
                    <a:prstGeom prst="rect">
                      <a:avLst/>
                    </a:prstGeom>
                    <a:noFill/>
                    <a:ln>
                      <a:noFill/>
                    </a:ln>
                  </pic:spPr>
                </pic:pic>
              </a:graphicData>
            </a:graphic>
          </wp:inline>
        </w:drawing>
      </w:r>
    </w:p>
    <w:p w14:paraId="52E008B4" w14:textId="0A675CA6" w:rsidR="0038678B" w:rsidRDefault="0038678B" w:rsidP="009D600B">
      <w:pPr>
        <w:rPr>
          <w:lang w:val="en-US"/>
        </w:rPr>
      </w:pPr>
      <w:r>
        <w:rPr>
          <w:lang w:val="en-US"/>
        </w:rPr>
        <w:t xml:space="preserve">This graph represents an overlapping histogram to compare to the statistical distributions of daily returns for BIST100 and CSI300 markets. </w:t>
      </w:r>
    </w:p>
    <w:p w14:paraId="276647F9" w14:textId="625414B8" w:rsidR="0038678B" w:rsidRDefault="0038678B" w:rsidP="009D600B">
      <w:pPr>
        <w:rPr>
          <w:lang w:val="en-US"/>
        </w:rPr>
      </w:pPr>
      <w:r>
        <w:rPr>
          <w:noProof/>
        </w:rPr>
        <w:drawing>
          <wp:inline distT="0" distB="0" distL="0" distR="0" wp14:anchorId="4BFA3561" wp14:editId="48AABEF8">
            <wp:extent cx="5499100" cy="3479800"/>
            <wp:effectExtent l="0" t="0" r="0" b="0"/>
            <wp:docPr id="589229127" name="Picture 11" descr="A graph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9127" name="Picture 11" descr="A graph of red and blue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3479800"/>
                    </a:xfrm>
                    <a:prstGeom prst="rect">
                      <a:avLst/>
                    </a:prstGeom>
                    <a:noFill/>
                    <a:ln>
                      <a:noFill/>
                    </a:ln>
                  </pic:spPr>
                </pic:pic>
              </a:graphicData>
            </a:graphic>
          </wp:inline>
        </w:drawing>
      </w:r>
    </w:p>
    <w:p w14:paraId="46BB6C27" w14:textId="4005E11F" w:rsidR="0038678B" w:rsidRDefault="0038678B" w:rsidP="009D600B">
      <w:pPr>
        <w:rPr>
          <w:lang w:val="en-US"/>
        </w:rPr>
      </w:pPr>
      <w:r>
        <w:rPr>
          <w:lang w:val="en-US"/>
        </w:rPr>
        <w:t>Here we analyze how the relationship between BIST100 and CSI300 changes across three major periods, Pre-Covid, Covid and Post-Covid.</w:t>
      </w:r>
    </w:p>
    <w:p w14:paraId="04E0B909" w14:textId="1EC0B3FB" w:rsidR="0038678B" w:rsidRPr="0047283A" w:rsidRDefault="0047283A" w:rsidP="009D600B">
      <w:pPr>
        <w:rPr>
          <w:b/>
          <w:bCs/>
          <w:lang w:val="en-US"/>
        </w:rPr>
      </w:pPr>
      <w:r>
        <w:rPr>
          <w:b/>
          <w:bCs/>
          <w:lang w:val="en-US"/>
        </w:rPr>
        <w:lastRenderedPageBreak/>
        <w:t xml:space="preserve">3. </w:t>
      </w:r>
      <w:r w:rsidR="0038678B" w:rsidRPr="0047283A">
        <w:rPr>
          <w:b/>
          <w:bCs/>
          <w:lang w:val="en-US"/>
        </w:rPr>
        <w:t>Hypothesis Testing</w:t>
      </w:r>
    </w:p>
    <w:p w14:paraId="296E5FB4" w14:textId="52BAE21A" w:rsidR="0038678B" w:rsidRDefault="00A0635C" w:rsidP="00A0635C">
      <w:pPr>
        <w:pStyle w:val="ListParagraph"/>
        <w:numPr>
          <w:ilvl w:val="0"/>
          <w:numId w:val="2"/>
        </w:numPr>
        <w:rPr>
          <w:lang w:val="en-US"/>
        </w:rPr>
      </w:pPr>
      <w:r w:rsidRPr="00A0635C">
        <w:rPr>
          <w:lang w:val="en-US"/>
        </w:rPr>
        <w:t>Null Hypothesis (</w:t>
      </w:r>
      <w:r w:rsidRPr="00A0635C">
        <w:rPr>
          <w:lang w:val="en-US"/>
        </w:rPr>
        <w:t>H₀</w:t>
      </w:r>
      <w:r w:rsidRPr="00A0635C">
        <w:rPr>
          <w:lang w:val="en-US"/>
        </w:rPr>
        <w:t xml:space="preserve">): </w:t>
      </w:r>
      <w:r>
        <w:rPr>
          <w:lang w:val="en-US"/>
        </w:rPr>
        <w:t>There is no significant correlation between daily returns of BIST100 and CSI300 indices.</w:t>
      </w:r>
    </w:p>
    <w:p w14:paraId="5A7AAE7C" w14:textId="1354259F" w:rsidR="00A0635C" w:rsidRDefault="00A0635C" w:rsidP="00A0635C">
      <w:pPr>
        <w:pStyle w:val="ListParagraph"/>
        <w:numPr>
          <w:ilvl w:val="0"/>
          <w:numId w:val="2"/>
        </w:numPr>
        <w:rPr>
          <w:lang w:val="en-US"/>
        </w:rPr>
      </w:pPr>
      <w:r>
        <w:rPr>
          <w:lang w:val="en-US"/>
        </w:rPr>
        <w:t>Alternative Hypothesis (</w:t>
      </w:r>
      <w:r w:rsidRPr="00A0635C">
        <w:rPr>
          <w:lang w:val="en-US"/>
        </w:rPr>
        <w:t>H</w:t>
      </w:r>
      <w:r w:rsidRPr="00A0635C">
        <w:rPr>
          <w:vertAlign w:val="subscript"/>
          <w:lang w:val="en-US"/>
        </w:rPr>
        <w:t>1</w:t>
      </w:r>
      <w:r>
        <w:rPr>
          <w:lang w:val="en-US"/>
        </w:rPr>
        <w:t>): There is a statistically correlation between the daily returns of BIST100 and CSI300 indices.</w:t>
      </w:r>
    </w:p>
    <w:p w14:paraId="49543E84" w14:textId="4C374116" w:rsidR="00A0635C" w:rsidRDefault="00A0635C" w:rsidP="00A0635C">
      <w:pPr>
        <w:rPr>
          <w:lang w:val="en-US"/>
        </w:rPr>
      </w:pPr>
      <w:r>
        <w:rPr>
          <w:lang w:val="en-US"/>
        </w:rPr>
        <w:t>Pearson Correlation (Linear): 0.0718 (p-value: 4.9646e-04)</w:t>
      </w:r>
    </w:p>
    <w:p w14:paraId="78CD0131" w14:textId="3FA50C50" w:rsidR="00A0635C" w:rsidRDefault="00A0635C" w:rsidP="00A0635C">
      <w:pPr>
        <w:rPr>
          <w:lang w:val="en-US"/>
        </w:rPr>
      </w:pPr>
      <w:r>
        <w:rPr>
          <w:lang w:val="en-US"/>
        </w:rPr>
        <w:t>Spearman Correlation (Rank): 0.0746 (p-value: 2.9581e-04)</w:t>
      </w:r>
    </w:p>
    <w:p w14:paraId="6A5FEE98" w14:textId="793BEBCB" w:rsidR="00A0635C" w:rsidRDefault="000E076D" w:rsidP="00A0635C">
      <w:pPr>
        <w:rPr>
          <w:lang w:val="en-US"/>
        </w:rPr>
      </w:pPr>
      <w:r>
        <w:rPr>
          <w:lang w:val="en-US"/>
        </w:rPr>
        <w:t xml:space="preserve">Conclusion: </w:t>
      </w:r>
      <w:r w:rsidR="00A0635C">
        <w:rPr>
          <w:lang w:val="en-US"/>
        </w:rPr>
        <w:t>Both correlations are very small (0.07) means almost no practical relationship between BIST and CSI daily returns. However, both p-values are extremely small, which means the correlations are statistically significant.</w:t>
      </w:r>
      <w:r>
        <w:rPr>
          <w:lang w:val="en-US"/>
        </w:rPr>
        <w:t xml:space="preserve"> For significance level 0.05, reject </w:t>
      </w:r>
      <w:r w:rsidRPr="00A0635C">
        <w:rPr>
          <w:lang w:val="en-US"/>
        </w:rPr>
        <w:t>H₀</w:t>
      </w:r>
      <w:r>
        <w:rPr>
          <w:lang w:val="en-US"/>
        </w:rPr>
        <w:t>.</w:t>
      </w:r>
    </w:p>
    <w:p w14:paraId="6CAE835F" w14:textId="77777777" w:rsidR="000E076D" w:rsidRDefault="000E076D" w:rsidP="00A0635C">
      <w:pPr>
        <w:rPr>
          <w:lang w:val="en-US"/>
        </w:rPr>
      </w:pPr>
    </w:p>
    <w:p w14:paraId="1A4DA696" w14:textId="1D054C2C" w:rsidR="00A0635C" w:rsidRDefault="00A0635C" w:rsidP="00A0635C">
      <w:pPr>
        <w:pStyle w:val="ListParagraph"/>
        <w:numPr>
          <w:ilvl w:val="0"/>
          <w:numId w:val="3"/>
        </w:numPr>
        <w:rPr>
          <w:lang w:val="en-US"/>
        </w:rPr>
      </w:pPr>
      <w:r w:rsidRPr="00A0635C">
        <w:rPr>
          <w:lang w:val="en-US"/>
        </w:rPr>
        <w:t>Null Hypothesis (H₀):</w:t>
      </w:r>
      <w:r>
        <w:rPr>
          <w:lang w:val="en-US"/>
        </w:rPr>
        <w:t xml:space="preserve"> The correlation between BIST100 and CSI300 remains constant across Pre-Covid (2017-2019), Covid (2020-2021), </w:t>
      </w:r>
      <w:r w:rsidR="000E076D">
        <w:rPr>
          <w:lang w:val="en-US"/>
        </w:rPr>
        <w:t>post-Covid</w:t>
      </w:r>
      <w:r>
        <w:rPr>
          <w:lang w:val="en-US"/>
        </w:rPr>
        <w:t xml:space="preserve"> (2022-2024)</w:t>
      </w:r>
      <w:r w:rsidR="000E076D">
        <w:rPr>
          <w:lang w:val="en-US"/>
        </w:rPr>
        <w:t xml:space="preserve"> periods.</w:t>
      </w:r>
    </w:p>
    <w:p w14:paraId="5F1F274A" w14:textId="61C6F367" w:rsidR="000E076D" w:rsidRPr="00A0635C" w:rsidRDefault="000E076D" w:rsidP="00A0635C">
      <w:pPr>
        <w:pStyle w:val="ListParagraph"/>
        <w:numPr>
          <w:ilvl w:val="0"/>
          <w:numId w:val="3"/>
        </w:numPr>
        <w:rPr>
          <w:lang w:val="en-US"/>
        </w:rPr>
      </w:pPr>
      <w:r>
        <w:rPr>
          <w:lang w:val="en-US"/>
        </w:rPr>
        <w:t>Alternative Hypothesis (</w:t>
      </w:r>
      <w:r w:rsidRPr="00A0635C">
        <w:rPr>
          <w:lang w:val="en-US"/>
        </w:rPr>
        <w:t>H</w:t>
      </w:r>
      <w:r w:rsidRPr="00A0635C">
        <w:rPr>
          <w:vertAlign w:val="subscript"/>
          <w:lang w:val="en-US"/>
        </w:rPr>
        <w:t>1</w:t>
      </w:r>
      <w:r>
        <w:rPr>
          <w:lang w:val="en-US"/>
        </w:rPr>
        <w:t>):</w:t>
      </w:r>
      <w:r>
        <w:rPr>
          <w:lang w:val="en-US"/>
        </w:rPr>
        <w:t xml:space="preserve"> The correlation structure differs significantly between the pandemic and non-pandemic periods. </w:t>
      </w:r>
    </w:p>
    <w:p w14:paraId="5723C6D0" w14:textId="2BBF1660" w:rsidR="00A0635C" w:rsidRPr="00A0635C" w:rsidRDefault="000E076D" w:rsidP="000E076D">
      <w:pPr>
        <w:pBdr>
          <w:bottom w:val="single" w:sz="4" w:space="1" w:color="auto"/>
        </w:pBdr>
        <w:rPr>
          <w:lang w:val="en-US"/>
        </w:rPr>
      </w:pPr>
      <w:r>
        <w:rPr>
          <w:lang w:val="en-US"/>
        </w:rPr>
        <w:t>Periods</w:t>
      </w:r>
      <w:r>
        <w:rPr>
          <w:lang w:val="en-US"/>
        </w:rPr>
        <w:tab/>
        <w:t>Pearson</w:t>
      </w:r>
      <w:r>
        <w:rPr>
          <w:lang w:val="en-US"/>
        </w:rPr>
        <w:tab/>
        <w:t>Pearson p-value</w:t>
      </w:r>
      <w:r>
        <w:rPr>
          <w:lang w:val="en-US"/>
        </w:rPr>
        <w:tab/>
        <w:t>Spearman</w:t>
      </w:r>
      <w:r>
        <w:rPr>
          <w:lang w:val="en-US"/>
        </w:rPr>
        <w:tab/>
        <w:t>Spearman p-value</w:t>
      </w:r>
    </w:p>
    <w:p w14:paraId="6531FF00" w14:textId="181B4D6D" w:rsidR="000E076D" w:rsidRDefault="000E076D" w:rsidP="009D600B">
      <w:pPr>
        <w:rPr>
          <w:lang w:val="en-US"/>
        </w:rPr>
      </w:pPr>
      <w:r>
        <w:rPr>
          <w:lang w:val="en-US"/>
        </w:rPr>
        <w:t>Pre-Covid</w:t>
      </w:r>
      <w:r>
        <w:rPr>
          <w:lang w:val="en-US"/>
        </w:rPr>
        <w:tab/>
        <w:t>0.1210</w:t>
      </w:r>
      <w:r>
        <w:rPr>
          <w:lang w:val="en-US"/>
        </w:rPr>
        <w:tab/>
      </w:r>
      <w:r>
        <w:rPr>
          <w:lang w:val="en-US"/>
        </w:rPr>
        <w:tab/>
        <w:t>0.0013</w:t>
      </w:r>
      <w:r>
        <w:rPr>
          <w:lang w:val="en-US"/>
        </w:rPr>
        <w:tab/>
      </w:r>
      <w:r>
        <w:rPr>
          <w:lang w:val="en-US"/>
        </w:rPr>
        <w:tab/>
      </w:r>
      <w:r>
        <w:rPr>
          <w:lang w:val="en-US"/>
        </w:rPr>
        <w:tab/>
        <w:t>0.1145</w:t>
      </w:r>
      <w:r>
        <w:rPr>
          <w:lang w:val="en-US"/>
        </w:rPr>
        <w:tab/>
      </w:r>
      <w:r>
        <w:rPr>
          <w:lang w:val="en-US"/>
        </w:rPr>
        <w:tab/>
        <w:t>0.0023</w:t>
      </w:r>
    </w:p>
    <w:p w14:paraId="4F6ABFD8" w14:textId="5144F778" w:rsidR="000E076D" w:rsidRDefault="000E076D" w:rsidP="009D600B">
      <w:pPr>
        <w:rPr>
          <w:lang w:val="en-US"/>
        </w:rPr>
      </w:pPr>
      <w:r>
        <w:rPr>
          <w:lang w:val="en-US"/>
        </w:rPr>
        <w:t>Covid</w:t>
      </w:r>
      <w:r>
        <w:rPr>
          <w:lang w:val="en-US"/>
        </w:rPr>
        <w:tab/>
      </w:r>
      <w:r>
        <w:rPr>
          <w:lang w:val="en-US"/>
        </w:rPr>
        <w:tab/>
        <w:t>0.1548</w:t>
      </w:r>
      <w:r>
        <w:rPr>
          <w:lang w:val="en-US"/>
        </w:rPr>
        <w:tab/>
      </w:r>
      <w:r>
        <w:rPr>
          <w:lang w:val="en-US"/>
        </w:rPr>
        <w:tab/>
        <w:t>0.0008</w:t>
      </w:r>
      <w:r>
        <w:rPr>
          <w:lang w:val="en-US"/>
        </w:rPr>
        <w:tab/>
      </w:r>
      <w:r>
        <w:rPr>
          <w:lang w:val="en-US"/>
        </w:rPr>
        <w:tab/>
      </w:r>
      <w:r>
        <w:rPr>
          <w:lang w:val="en-US"/>
        </w:rPr>
        <w:tab/>
        <w:t>0.1195</w:t>
      </w:r>
      <w:r>
        <w:rPr>
          <w:lang w:val="en-US"/>
        </w:rPr>
        <w:tab/>
      </w:r>
      <w:r>
        <w:rPr>
          <w:lang w:val="en-US"/>
        </w:rPr>
        <w:tab/>
        <w:t>0.0097</w:t>
      </w:r>
    </w:p>
    <w:p w14:paraId="0CF6B269" w14:textId="717BD105" w:rsidR="000E076D" w:rsidRDefault="000E076D" w:rsidP="009D600B">
      <w:pPr>
        <w:rPr>
          <w:lang w:val="en-US"/>
        </w:rPr>
      </w:pPr>
      <w:r>
        <w:rPr>
          <w:lang w:val="en-US"/>
        </w:rPr>
        <w:t>Post-Covid</w:t>
      </w:r>
      <w:r>
        <w:rPr>
          <w:lang w:val="en-US"/>
        </w:rPr>
        <w:tab/>
        <w:t>-0.0009</w:t>
      </w:r>
      <w:r>
        <w:rPr>
          <w:lang w:val="en-US"/>
        </w:rPr>
        <w:tab/>
        <w:t>0.9818</w:t>
      </w:r>
      <w:r>
        <w:rPr>
          <w:lang w:val="en-US"/>
        </w:rPr>
        <w:tab/>
      </w:r>
      <w:r>
        <w:rPr>
          <w:lang w:val="en-US"/>
        </w:rPr>
        <w:tab/>
      </w:r>
      <w:r>
        <w:rPr>
          <w:lang w:val="en-US"/>
        </w:rPr>
        <w:tab/>
        <w:t>0.0145</w:t>
      </w:r>
      <w:r>
        <w:rPr>
          <w:lang w:val="en-US"/>
        </w:rPr>
        <w:tab/>
      </w:r>
      <w:r>
        <w:rPr>
          <w:lang w:val="en-US"/>
        </w:rPr>
        <w:tab/>
        <w:t>0.7021</w:t>
      </w:r>
    </w:p>
    <w:p w14:paraId="1C630E5C" w14:textId="77777777" w:rsidR="000E076D" w:rsidRDefault="000E076D" w:rsidP="009D600B">
      <w:pPr>
        <w:rPr>
          <w:lang w:val="en-US"/>
        </w:rPr>
      </w:pPr>
    </w:p>
    <w:p w14:paraId="2BF4EA96" w14:textId="25A9FC98" w:rsidR="000E076D" w:rsidRDefault="000E076D" w:rsidP="009D600B">
      <w:pPr>
        <w:rPr>
          <w:lang w:val="en-US"/>
        </w:rPr>
      </w:pPr>
      <w:r>
        <w:rPr>
          <w:lang w:val="en-US"/>
        </w:rPr>
        <w:t xml:space="preserve">Conclusion: BIST100 and CSI300 show correlation before and during Covid, and no correlation after Covid. However, even when statistically significant, the correlation magnitudes are very small. In other words, for pre-covid period reject </w:t>
      </w:r>
      <w:r w:rsidRPr="00A0635C">
        <w:rPr>
          <w:lang w:val="en-US"/>
        </w:rPr>
        <w:t>H₀</w:t>
      </w:r>
      <w:r>
        <w:rPr>
          <w:lang w:val="en-US"/>
        </w:rPr>
        <w:t xml:space="preserve">, for covid period reject </w:t>
      </w:r>
      <w:r w:rsidRPr="00A0635C">
        <w:rPr>
          <w:lang w:val="en-US"/>
        </w:rPr>
        <w:t>H₀</w:t>
      </w:r>
      <w:r>
        <w:rPr>
          <w:lang w:val="en-US"/>
        </w:rPr>
        <w:t xml:space="preserve">, and for post-covid period fail to reject </w:t>
      </w:r>
      <w:r w:rsidRPr="00A0635C">
        <w:rPr>
          <w:lang w:val="en-US"/>
        </w:rPr>
        <w:t>H₀</w:t>
      </w:r>
      <w:r>
        <w:rPr>
          <w:lang w:val="en-US"/>
        </w:rPr>
        <w:t>.</w:t>
      </w:r>
    </w:p>
    <w:p w14:paraId="51C63F88" w14:textId="77777777" w:rsidR="000E076D" w:rsidRDefault="000E076D" w:rsidP="009D600B">
      <w:pPr>
        <w:rPr>
          <w:lang w:val="en-US"/>
        </w:rPr>
      </w:pPr>
    </w:p>
    <w:p w14:paraId="15BD5F1C" w14:textId="77777777" w:rsidR="00296C17" w:rsidRDefault="00296C17" w:rsidP="009D600B">
      <w:pPr>
        <w:rPr>
          <w:lang w:val="en-US"/>
        </w:rPr>
      </w:pPr>
    </w:p>
    <w:p w14:paraId="32C3695E" w14:textId="77777777" w:rsidR="00296C17" w:rsidRDefault="00296C17" w:rsidP="009D600B">
      <w:pPr>
        <w:rPr>
          <w:lang w:val="en-US"/>
        </w:rPr>
      </w:pPr>
    </w:p>
    <w:p w14:paraId="6917AEB6" w14:textId="77777777" w:rsidR="00296C17" w:rsidRDefault="00296C17" w:rsidP="009D600B">
      <w:pPr>
        <w:rPr>
          <w:lang w:val="en-US"/>
        </w:rPr>
      </w:pPr>
    </w:p>
    <w:p w14:paraId="419FA4D1" w14:textId="77777777" w:rsidR="00296C17" w:rsidRDefault="00296C17" w:rsidP="009D600B">
      <w:pPr>
        <w:rPr>
          <w:lang w:val="en-US"/>
        </w:rPr>
      </w:pPr>
    </w:p>
    <w:p w14:paraId="791D7126" w14:textId="2FA513EE" w:rsidR="000E076D" w:rsidRPr="002B5E3C" w:rsidRDefault="002B5E3C" w:rsidP="009D600B">
      <w:pPr>
        <w:rPr>
          <w:b/>
          <w:bCs/>
          <w:lang w:val="en-US"/>
        </w:rPr>
      </w:pPr>
      <w:r>
        <w:rPr>
          <w:b/>
          <w:bCs/>
          <w:lang w:val="en-US"/>
        </w:rPr>
        <w:lastRenderedPageBreak/>
        <w:t xml:space="preserve">4. </w:t>
      </w:r>
      <w:r w:rsidR="00296C17" w:rsidRPr="002B5E3C">
        <w:rPr>
          <w:b/>
          <w:bCs/>
          <w:lang w:val="en-US"/>
        </w:rPr>
        <w:t>Machine Learning</w:t>
      </w:r>
      <w:r>
        <w:rPr>
          <w:b/>
          <w:bCs/>
          <w:lang w:val="en-US"/>
        </w:rPr>
        <w:t xml:space="preserve"> Analysis</w:t>
      </w:r>
    </w:p>
    <w:p w14:paraId="4651F3A0" w14:textId="77777777" w:rsidR="00296C17" w:rsidRDefault="00296C17" w:rsidP="00296C17">
      <w:pPr>
        <w:rPr>
          <w:lang w:val="en-US"/>
        </w:rPr>
      </w:pPr>
      <w:r>
        <w:rPr>
          <w:lang w:val="en-US"/>
        </w:rPr>
        <w:t>We tested various models to see if we could predict the BIST100 and CSI300.</w:t>
      </w:r>
    </w:p>
    <w:p w14:paraId="6107329A" w14:textId="77777777" w:rsidR="00296C17" w:rsidRDefault="00296C17" w:rsidP="00296C17">
      <w:pPr>
        <w:pStyle w:val="ListParagraph"/>
        <w:numPr>
          <w:ilvl w:val="0"/>
          <w:numId w:val="5"/>
        </w:numPr>
        <w:rPr>
          <w:lang w:val="en-US"/>
        </w:rPr>
      </w:pPr>
      <w:r>
        <w:rPr>
          <w:lang w:val="en-US"/>
        </w:rPr>
        <w:t>Regression Performance</w:t>
      </w:r>
    </w:p>
    <w:p w14:paraId="392DBA0C" w14:textId="13465EA5" w:rsidR="00296C17" w:rsidRDefault="00296C17" w:rsidP="00296C17">
      <w:pPr>
        <w:pStyle w:val="ListParagraph"/>
        <w:numPr>
          <w:ilvl w:val="0"/>
          <w:numId w:val="6"/>
        </w:numPr>
        <w:rPr>
          <w:lang w:val="en-US"/>
        </w:rPr>
      </w:pPr>
      <w:r>
        <w:rPr>
          <w:lang w:val="en-US"/>
        </w:rPr>
        <w:t>Baseline Linear Regression: R</w:t>
      </w:r>
      <w:r>
        <w:rPr>
          <w:vertAlign w:val="superscript"/>
          <w:lang w:val="en-US"/>
        </w:rPr>
        <w:t xml:space="preserve">2 </w:t>
      </w:r>
      <w:r>
        <w:rPr>
          <w:lang w:val="en-US"/>
        </w:rPr>
        <w:t>= -0.0307.</w:t>
      </w:r>
    </w:p>
    <w:p w14:paraId="1DBE8759" w14:textId="6FAD5929" w:rsidR="00296C17" w:rsidRDefault="00296C17" w:rsidP="00296C17">
      <w:pPr>
        <w:pStyle w:val="ListParagraph"/>
        <w:numPr>
          <w:ilvl w:val="0"/>
          <w:numId w:val="6"/>
        </w:numPr>
        <w:rPr>
          <w:lang w:val="en-US"/>
        </w:rPr>
      </w:pPr>
      <w:r>
        <w:rPr>
          <w:lang w:val="en-US"/>
        </w:rPr>
        <w:t xml:space="preserve">Random Forest Regressor: </w:t>
      </w:r>
      <w:r>
        <w:rPr>
          <w:lang w:val="en-US"/>
        </w:rPr>
        <w:t>R</w:t>
      </w:r>
      <w:r>
        <w:rPr>
          <w:vertAlign w:val="superscript"/>
          <w:lang w:val="en-US"/>
        </w:rPr>
        <w:t>2</w:t>
      </w:r>
      <w:r>
        <w:rPr>
          <w:vertAlign w:val="superscript"/>
          <w:lang w:val="en-US"/>
        </w:rPr>
        <w:t xml:space="preserve">  </w:t>
      </w:r>
      <w:r>
        <w:rPr>
          <w:lang w:val="en-US"/>
        </w:rPr>
        <w:t>= -0.1654.</w:t>
      </w:r>
    </w:p>
    <w:p w14:paraId="5997DFB9" w14:textId="7327D6D2" w:rsidR="00296C17" w:rsidRDefault="00296C17" w:rsidP="00296C17">
      <w:pPr>
        <w:pStyle w:val="ListParagraph"/>
        <w:numPr>
          <w:ilvl w:val="0"/>
          <w:numId w:val="6"/>
        </w:numPr>
        <w:rPr>
          <w:lang w:val="en-US"/>
        </w:rPr>
      </w:pPr>
      <w:r>
        <w:rPr>
          <w:lang w:val="en-US"/>
        </w:rPr>
        <w:t xml:space="preserve">Interpretation: The negative </w:t>
      </w:r>
      <w:r>
        <w:rPr>
          <w:lang w:val="en-US"/>
        </w:rPr>
        <w:t>R</w:t>
      </w:r>
      <w:r>
        <w:rPr>
          <w:vertAlign w:val="superscript"/>
          <w:lang w:val="en-US"/>
        </w:rPr>
        <w:t>2</w:t>
      </w:r>
      <w:r>
        <w:rPr>
          <w:lang w:val="en-US"/>
        </w:rPr>
        <w:t xml:space="preserve"> scores indicate underfitting for linear models and overfitting for non-linear models.</w:t>
      </w:r>
    </w:p>
    <w:p w14:paraId="618F2840" w14:textId="146D3DAB" w:rsidR="002B5E3C" w:rsidRDefault="002B5E3C" w:rsidP="002B5E3C">
      <w:pPr>
        <w:pStyle w:val="ListParagraph"/>
        <w:numPr>
          <w:ilvl w:val="0"/>
          <w:numId w:val="5"/>
        </w:numPr>
        <w:rPr>
          <w:lang w:val="en-US"/>
        </w:rPr>
      </w:pPr>
      <w:r>
        <w:rPr>
          <w:lang w:val="en-US"/>
        </w:rPr>
        <w:t>Directional Classification (Balanced Model)</w:t>
      </w:r>
    </w:p>
    <w:p w14:paraId="54340EC3" w14:textId="3BC34B36" w:rsidR="002B5E3C" w:rsidRDefault="002B5E3C" w:rsidP="002B5E3C">
      <w:pPr>
        <w:pStyle w:val="ListParagraph"/>
        <w:numPr>
          <w:ilvl w:val="0"/>
          <w:numId w:val="7"/>
        </w:numPr>
        <w:rPr>
          <w:lang w:val="en-US"/>
        </w:rPr>
      </w:pPr>
      <w:r>
        <w:rPr>
          <w:lang w:val="en-US"/>
        </w:rPr>
        <w:t>Accuracy: 0.5298.</w:t>
      </w:r>
    </w:p>
    <w:p w14:paraId="1E207F93" w14:textId="228B4D14" w:rsidR="002B5E3C" w:rsidRDefault="002B5E3C" w:rsidP="002B5E3C">
      <w:pPr>
        <w:pStyle w:val="ListParagraph"/>
        <w:numPr>
          <w:ilvl w:val="0"/>
          <w:numId w:val="7"/>
        </w:numPr>
        <w:rPr>
          <w:lang w:val="en-US"/>
        </w:rPr>
      </w:pPr>
      <w:r>
        <w:rPr>
          <w:lang w:val="en-US"/>
        </w:rPr>
        <w:t>Class 0 (Down) Precision: 0.65.</w:t>
      </w:r>
    </w:p>
    <w:p w14:paraId="322A7F89" w14:textId="0C4FA16A" w:rsidR="002B5E3C" w:rsidRDefault="002B5E3C" w:rsidP="002B5E3C">
      <w:pPr>
        <w:pStyle w:val="ListParagraph"/>
        <w:numPr>
          <w:ilvl w:val="0"/>
          <w:numId w:val="7"/>
        </w:numPr>
        <w:rPr>
          <w:lang w:val="en-US"/>
        </w:rPr>
      </w:pPr>
      <w:r>
        <w:rPr>
          <w:lang w:val="en-US"/>
        </w:rPr>
        <w:t>Using balanced class weights allowed the model to finally detect market drops.</w:t>
      </w:r>
    </w:p>
    <w:p w14:paraId="46545C60" w14:textId="293D65E2" w:rsidR="002B5E3C" w:rsidRDefault="002B5E3C" w:rsidP="002B5E3C">
      <w:pPr>
        <w:pStyle w:val="ListParagraph"/>
        <w:numPr>
          <w:ilvl w:val="0"/>
          <w:numId w:val="7"/>
        </w:numPr>
        <w:rPr>
          <w:lang w:val="en-US"/>
        </w:rPr>
      </w:pPr>
      <w:r>
        <w:rPr>
          <w:lang w:val="en-US"/>
        </w:rPr>
        <w:t>Interpretation: While overall accuracy is near 53%, the model is correct 65% of the time when it predicts a market drop. This shows that the Chinese market provides a more reliable signal for “down” risk than for “up” gains.</w:t>
      </w:r>
    </w:p>
    <w:p w14:paraId="567D432F" w14:textId="66E18FC5" w:rsidR="002B5E3C" w:rsidRDefault="002B5E3C" w:rsidP="002B5E3C">
      <w:pPr>
        <w:rPr>
          <w:b/>
          <w:bCs/>
          <w:lang w:val="en-US"/>
        </w:rPr>
      </w:pPr>
      <w:r>
        <w:rPr>
          <w:b/>
          <w:bCs/>
          <w:lang w:val="en-US"/>
        </w:rPr>
        <w:t>5. Advanced Statistical &amp; Unsupervised Analysis</w:t>
      </w:r>
    </w:p>
    <w:p w14:paraId="2471B4F5" w14:textId="064B23F7" w:rsidR="002B5E3C" w:rsidRDefault="002B5E3C" w:rsidP="002B5E3C">
      <w:pPr>
        <w:pStyle w:val="ListParagraph"/>
        <w:numPr>
          <w:ilvl w:val="0"/>
          <w:numId w:val="8"/>
        </w:numPr>
        <w:rPr>
          <w:lang w:val="en-US"/>
        </w:rPr>
      </w:pPr>
      <w:r>
        <w:rPr>
          <w:lang w:val="en-US"/>
        </w:rPr>
        <w:t>Granger Causality Test</w:t>
      </w:r>
    </w:p>
    <w:p w14:paraId="62D0882F" w14:textId="58431A7E" w:rsidR="002B5E3C" w:rsidRDefault="002B5E3C" w:rsidP="002B5E3C">
      <w:pPr>
        <w:pStyle w:val="ListParagraph"/>
        <w:numPr>
          <w:ilvl w:val="0"/>
          <w:numId w:val="9"/>
        </w:numPr>
        <w:rPr>
          <w:lang w:val="en-US"/>
        </w:rPr>
      </w:pPr>
      <w:r>
        <w:rPr>
          <w:lang w:val="en-US"/>
        </w:rPr>
        <w:t>P-values (Lags 1-3): 0.4559, 0.6711, 0.7508.</w:t>
      </w:r>
    </w:p>
    <w:p w14:paraId="68E9EAB9" w14:textId="128CB82B" w:rsidR="002B5E3C" w:rsidRDefault="002B5E3C" w:rsidP="002B5E3C">
      <w:pPr>
        <w:pStyle w:val="ListParagraph"/>
        <w:numPr>
          <w:ilvl w:val="0"/>
          <w:numId w:val="9"/>
        </w:numPr>
        <w:rPr>
          <w:lang w:val="en-US"/>
        </w:rPr>
      </w:pPr>
      <w:r>
        <w:rPr>
          <w:lang w:val="en-US"/>
        </w:rPr>
        <w:t>Decision: Fail to reject H</w:t>
      </w:r>
      <w:r>
        <w:rPr>
          <w:vertAlign w:val="subscript"/>
          <w:lang w:val="en-US"/>
        </w:rPr>
        <w:t>0</w:t>
      </w:r>
      <w:r>
        <w:rPr>
          <w:lang w:val="en-US"/>
        </w:rPr>
        <w:t>.</w:t>
      </w:r>
    </w:p>
    <w:p w14:paraId="085E1126" w14:textId="2531905F" w:rsidR="002B5E3C" w:rsidRDefault="002B5E3C" w:rsidP="002B5E3C">
      <w:pPr>
        <w:pStyle w:val="ListParagraph"/>
        <w:numPr>
          <w:ilvl w:val="0"/>
          <w:numId w:val="9"/>
        </w:numPr>
        <w:rPr>
          <w:lang w:val="en-US"/>
        </w:rPr>
      </w:pPr>
      <w:r>
        <w:rPr>
          <w:lang w:val="en-US"/>
        </w:rPr>
        <w:t>Interpretation. There is no causal relationship. Past returns in China do not provide additional information to predict future returns in Turkey. The markets move together simultaneously due to global factors, rather than one market “driving” the other.</w:t>
      </w:r>
    </w:p>
    <w:p w14:paraId="3435DEF4" w14:textId="1C25DF9B" w:rsidR="002B5E3C" w:rsidRDefault="002B5E3C" w:rsidP="002B5E3C">
      <w:pPr>
        <w:pStyle w:val="ListParagraph"/>
        <w:numPr>
          <w:ilvl w:val="0"/>
          <w:numId w:val="8"/>
        </w:numPr>
        <w:rPr>
          <w:lang w:val="en-US"/>
        </w:rPr>
      </w:pPr>
      <w:r>
        <w:rPr>
          <w:lang w:val="en-US"/>
        </w:rPr>
        <w:t>K-Means Market Regimes</w:t>
      </w:r>
    </w:p>
    <w:p w14:paraId="401DBA27" w14:textId="7115B687" w:rsidR="002B5E3C" w:rsidRDefault="002B5E3C" w:rsidP="002B5E3C">
      <w:pPr>
        <w:pStyle w:val="ListParagraph"/>
        <w:numPr>
          <w:ilvl w:val="0"/>
          <w:numId w:val="10"/>
        </w:numPr>
        <w:rPr>
          <w:lang w:val="en-US"/>
        </w:rPr>
      </w:pPr>
      <w:r>
        <w:rPr>
          <w:lang w:val="en-US"/>
        </w:rPr>
        <w:t>Regime 0</w:t>
      </w:r>
      <w:r w:rsidR="0047283A">
        <w:rPr>
          <w:lang w:val="en-US"/>
        </w:rPr>
        <w:t xml:space="preserve"> (Growth)</w:t>
      </w:r>
      <w:r>
        <w:rPr>
          <w:lang w:val="en-US"/>
        </w:rPr>
        <w:t>: High returns</w:t>
      </w:r>
      <w:r w:rsidR="0047283A">
        <w:rPr>
          <w:lang w:val="en-US"/>
        </w:rPr>
        <w:t xml:space="preserve"> (+1.18%)</w:t>
      </w:r>
      <w:r>
        <w:rPr>
          <w:lang w:val="en-US"/>
        </w:rPr>
        <w:t>, low volatility.</w:t>
      </w:r>
    </w:p>
    <w:p w14:paraId="103B676B" w14:textId="2F4B5CD3" w:rsidR="002B5E3C" w:rsidRDefault="002B5E3C" w:rsidP="002B5E3C">
      <w:pPr>
        <w:pStyle w:val="ListParagraph"/>
        <w:numPr>
          <w:ilvl w:val="0"/>
          <w:numId w:val="10"/>
        </w:numPr>
        <w:rPr>
          <w:lang w:val="en-US"/>
        </w:rPr>
      </w:pPr>
      <w:r>
        <w:rPr>
          <w:lang w:val="en-US"/>
        </w:rPr>
        <w:t>Regime 1</w:t>
      </w:r>
      <w:r w:rsidR="0047283A">
        <w:rPr>
          <w:lang w:val="en-US"/>
        </w:rPr>
        <w:t xml:space="preserve"> (Local Bear)</w:t>
      </w:r>
      <w:r>
        <w:rPr>
          <w:lang w:val="en-US"/>
        </w:rPr>
        <w:t xml:space="preserve">: BIST drops </w:t>
      </w:r>
      <w:r w:rsidR="0047283A">
        <w:rPr>
          <w:lang w:val="en-US"/>
        </w:rPr>
        <w:t xml:space="preserve">(-1.04%) </w:t>
      </w:r>
      <w:r>
        <w:rPr>
          <w:lang w:val="en-US"/>
        </w:rPr>
        <w:t>independent of China.</w:t>
      </w:r>
    </w:p>
    <w:p w14:paraId="1AEFD259" w14:textId="681B9CD3" w:rsidR="002B5E3C" w:rsidRDefault="002B5E3C" w:rsidP="002B5E3C">
      <w:pPr>
        <w:pStyle w:val="ListParagraph"/>
        <w:numPr>
          <w:ilvl w:val="0"/>
          <w:numId w:val="10"/>
        </w:numPr>
        <w:rPr>
          <w:lang w:val="en-US"/>
        </w:rPr>
      </w:pPr>
      <w:r>
        <w:rPr>
          <w:lang w:val="en-US"/>
        </w:rPr>
        <w:t>Regime 2</w:t>
      </w:r>
      <w:r w:rsidR="0047283A">
        <w:rPr>
          <w:lang w:val="en-US"/>
        </w:rPr>
        <w:t xml:space="preserve"> (Crisis)</w:t>
      </w:r>
      <w:r>
        <w:rPr>
          <w:lang w:val="en-US"/>
        </w:rPr>
        <w:t xml:space="preserve">: High volatility </w:t>
      </w:r>
      <w:r w:rsidR="0047283A">
        <w:rPr>
          <w:lang w:val="en-US"/>
        </w:rPr>
        <w:t xml:space="preserve">(2.85%) </w:t>
      </w:r>
      <w:r>
        <w:rPr>
          <w:lang w:val="en-US"/>
        </w:rPr>
        <w:t xml:space="preserve">and deep Chinese </w:t>
      </w:r>
      <w:r w:rsidR="0047283A">
        <w:rPr>
          <w:lang w:val="en-US"/>
        </w:rPr>
        <w:t>drops</w:t>
      </w:r>
      <w:r>
        <w:rPr>
          <w:lang w:val="en-US"/>
        </w:rPr>
        <w:t>.</w:t>
      </w:r>
    </w:p>
    <w:p w14:paraId="1F0D1A5A" w14:textId="679EE013" w:rsidR="0047283A" w:rsidRDefault="0047283A" w:rsidP="002B5E3C">
      <w:pPr>
        <w:pStyle w:val="ListParagraph"/>
        <w:numPr>
          <w:ilvl w:val="0"/>
          <w:numId w:val="10"/>
        </w:numPr>
        <w:rPr>
          <w:lang w:val="en-US"/>
        </w:rPr>
      </w:pPr>
      <w:r>
        <w:rPr>
          <w:lang w:val="en-US"/>
        </w:rPr>
        <w:t>Interpretation: These regimes prove that the relationship is dynamic. The markets only sync up strongly during Regime 2 (Crisis), while they remain independent during “Growth” periods.</w:t>
      </w:r>
    </w:p>
    <w:p w14:paraId="03E08D70" w14:textId="77777777" w:rsidR="0047283A" w:rsidRDefault="0047283A" w:rsidP="0047283A">
      <w:pPr>
        <w:rPr>
          <w:b/>
          <w:bCs/>
          <w:lang w:val="en-US"/>
        </w:rPr>
      </w:pPr>
    </w:p>
    <w:p w14:paraId="5C4B15E9" w14:textId="77777777" w:rsidR="0047283A" w:rsidRDefault="0047283A" w:rsidP="0047283A">
      <w:pPr>
        <w:rPr>
          <w:b/>
          <w:bCs/>
          <w:lang w:val="en-US"/>
        </w:rPr>
      </w:pPr>
    </w:p>
    <w:p w14:paraId="24E901FE" w14:textId="77777777" w:rsidR="0047283A" w:rsidRDefault="0047283A" w:rsidP="0047283A">
      <w:pPr>
        <w:rPr>
          <w:b/>
          <w:bCs/>
          <w:lang w:val="en-US"/>
        </w:rPr>
      </w:pPr>
    </w:p>
    <w:p w14:paraId="3DA07665" w14:textId="47947212" w:rsidR="0047283A" w:rsidRDefault="0047283A" w:rsidP="0047283A">
      <w:pPr>
        <w:rPr>
          <w:b/>
          <w:bCs/>
          <w:lang w:val="en-US"/>
        </w:rPr>
      </w:pPr>
      <w:r>
        <w:rPr>
          <w:b/>
          <w:bCs/>
          <w:lang w:val="en-US"/>
        </w:rPr>
        <w:lastRenderedPageBreak/>
        <w:t>6. Conclusion</w:t>
      </w:r>
    </w:p>
    <w:p w14:paraId="33D8FC61" w14:textId="381900D0" w:rsidR="0047283A" w:rsidRDefault="0047283A" w:rsidP="0047283A">
      <w:pPr>
        <w:rPr>
          <w:lang w:val="en-US"/>
        </w:rPr>
      </w:pPr>
      <w:r>
        <w:rPr>
          <w:lang w:val="en-US"/>
        </w:rPr>
        <w:t>The BIST100 and CSI300 share a significant correlation but not causal link. The Turkish market’s strong inflationary drift creates a persistent upward trend that masks international signals. This study concludes that while monitoring China is useful for identifying global “Crisis” regimes, it does not provide a statistically significant “lead” time for predicting daily Turkey returns.</w:t>
      </w:r>
    </w:p>
    <w:p w14:paraId="4AA4B916" w14:textId="77777777" w:rsidR="0047283A" w:rsidRDefault="0047283A" w:rsidP="0047283A">
      <w:pPr>
        <w:rPr>
          <w:lang w:val="en-US"/>
        </w:rPr>
      </w:pPr>
    </w:p>
    <w:p w14:paraId="15A8E116" w14:textId="22E32B4B" w:rsidR="0047283A" w:rsidRDefault="0047283A" w:rsidP="0047283A">
      <w:pPr>
        <w:rPr>
          <w:b/>
          <w:bCs/>
          <w:lang w:val="en-US"/>
        </w:rPr>
      </w:pPr>
      <w:r>
        <w:rPr>
          <w:b/>
          <w:bCs/>
          <w:lang w:val="en-US"/>
        </w:rPr>
        <w:t>References</w:t>
      </w:r>
    </w:p>
    <w:p w14:paraId="3425B4E2" w14:textId="23870EE5" w:rsidR="0047283A" w:rsidRDefault="0047283A" w:rsidP="0047283A">
      <w:pPr>
        <w:rPr>
          <w:lang w:val="en-US"/>
        </w:rPr>
      </w:pPr>
      <w:r>
        <w:rPr>
          <w:lang w:val="en-US"/>
        </w:rPr>
        <w:t>Data: Investing.com (BIST100, CSI300, MSCI World Index)</w:t>
      </w:r>
    </w:p>
    <w:p w14:paraId="038BD447" w14:textId="2A9B93EB" w:rsidR="0047283A" w:rsidRDefault="0047283A" w:rsidP="0047283A">
      <w:pPr>
        <w:rPr>
          <w:lang w:val="en-US"/>
        </w:rPr>
      </w:pPr>
      <w:r>
        <w:rPr>
          <w:lang w:val="en-US"/>
        </w:rPr>
        <w:t>Python Libraries: Pandas, NumPy, Matplotlib, Seaborn, Scikit-learn, Statsmodels</w:t>
      </w:r>
    </w:p>
    <w:p w14:paraId="5FA3B692" w14:textId="77777777" w:rsidR="0047283A" w:rsidRPr="0047283A" w:rsidRDefault="0047283A" w:rsidP="0047283A">
      <w:pPr>
        <w:rPr>
          <w:lang w:val="en-US"/>
        </w:rPr>
      </w:pPr>
    </w:p>
    <w:sectPr w:rsidR="0047283A" w:rsidRPr="004728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CE9"/>
    <w:multiLevelType w:val="hybridMultilevel"/>
    <w:tmpl w:val="46C68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93606"/>
    <w:multiLevelType w:val="hybridMultilevel"/>
    <w:tmpl w:val="A5C4F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706D1"/>
    <w:multiLevelType w:val="hybridMultilevel"/>
    <w:tmpl w:val="470C1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F1727"/>
    <w:multiLevelType w:val="hybridMultilevel"/>
    <w:tmpl w:val="93909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41BB4"/>
    <w:multiLevelType w:val="hybridMultilevel"/>
    <w:tmpl w:val="11449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B939E2"/>
    <w:multiLevelType w:val="hybridMultilevel"/>
    <w:tmpl w:val="C47A0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DD1207"/>
    <w:multiLevelType w:val="hybridMultilevel"/>
    <w:tmpl w:val="4AF6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1945D9"/>
    <w:multiLevelType w:val="hybridMultilevel"/>
    <w:tmpl w:val="91FA90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2E56404"/>
    <w:multiLevelType w:val="hybridMultilevel"/>
    <w:tmpl w:val="6702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87B1EAF"/>
    <w:multiLevelType w:val="hybridMultilevel"/>
    <w:tmpl w:val="90BE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53DD8"/>
    <w:multiLevelType w:val="hybridMultilevel"/>
    <w:tmpl w:val="8F68281C"/>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hint="default"/>
      </w:rPr>
    </w:lvl>
    <w:lvl w:ilvl="8" w:tplc="04090005" w:tentative="1">
      <w:start w:val="1"/>
      <w:numFmt w:val="bullet"/>
      <w:lvlText w:val=""/>
      <w:lvlJc w:val="left"/>
      <w:pPr>
        <w:ind w:left="7240" w:hanging="360"/>
      </w:pPr>
      <w:rPr>
        <w:rFonts w:ascii="Wingdings" w:hAnsi="Wingdings" w:hint="default"/>
      </w:rPr>
    </w:lvl>
  </w:abstractNum>
  <w:num w:numId="1" w16cid:durableId="1715152090">
    <w:abstractNumId w:val="1"/>
  </w:num>
  <w:num w:numId="2" w16cid:durableId="1886214701">
    <w:abstractNumId w:val="5"/>
  </w:num>
  <w:num w:numId="3" w16cid:durableId="2040860541">
    <w:abstractNumId w:val="9"/>
  </w:num>
  <w:num w:numId="4" w16cid:durableId="310866758">
    <w:abstractNumId w:val="0"/>
  </w:num>
  <w:num w:numId="5" w16cid:durableId="2013678471">
    <w:abstractNumId w:val="2"/>
  </w:num>
  <w:num w:numId="6" w16cid:durableId="1889611094">
    <w:abstractNumId w:val="10"/>
  </w:num>
  <w:num w:numId="7" w16cid:durableId="1119185698">
    <w:abstractNumId w:val="8"/>
  </w:num>
  <w:num w:numId="8" w16cid:durableId="1810130912">
    <w:abstractNumId w:val="3"/>
  </w:num>
  <w:num w:numId="9" w16cid:durableId="1733386968">
    <w:abstractNumId w:val="4"/>
  </w:num>
  <w:num w:numId="10" w16cid:durableId="435447166">
    <w:abstractNumId w:val="7"/>
  </w:num>
  <w:num w:numId="11" w16cid:durableId="1798445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3"/>
    <w:rsid w:val="000E076D"/>
    <w:rsid w:val="00227613"/>
    <w:rsid w:val="00296C17"/>
    <w:rsid w:val="002B5E3C"/>
    <w:rsid w:val="0038678B"/>
    <w:rsid w:val="0047283A"/>
    <w:rsid w:val="00984816"/>
    <w:rsid w:val="009D600B"/>
    <w:rsid w:val="00A0635C"/>
    <w:rsid w:val="00EA7FC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D960"/>
  <w15:chartTrackingRefBased/>
  <w15:docId w15:val="{50D7FCBA-0899-D641-93F4-B24785B6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613"/>
    <w:rPr>
      <w:rFonts w:eastAsiaTheme="majorEastAsia" w:cstheme="majorBidi"/>
      <w:color w:val="272727" w:themeColor="text1" w:themeTint="D8"/>
    </w:rPr>
  </w:style>
  <w:style w:type="paragraph" w:styleId="Title">
    <w:name w:val="Title"/>
    <w:basedOn w:val="Normal"/>
    <w:next w:val="Normal"/>
    <w:link w:val="TitleChar"/>
    <w:uiPriority w:val="10"/>
    <w:qFormat/>
    <w:rsid w:val="00227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613"/>
    <w:pPr>
      <w:spacing w:before="160"/>
      <w:jc w:val="center"/>
    </w:pPr>
    <w:rPr>
      <w:i/>
      <w:iCs/>
      <w:color w:val="404040" w:themeColor="text1" w:themeTint="BF"/>
    </w:rPr>
  </w:style>
  <w:style w:type="character" w:customStyle="1" w:styleId="QuoteChar">
    <w:name w:val="Quote Char"/>
    <w:basedOn w:val="DefaultParagraphFont"/>
    <w:link w:val="Quote"/>
    <w:uiPriority w:val="29"/>
    <w:rsid w:val="00227613"/>
    <w:rPr>
      <w:i/>
      <w:iCs/>
      <w:color w:val="404040" w:themeColor="text1" w:themeTint="BF"/>
    </w:rPr>
  </w:style>
  <w:style w:type="paragraph" w:styleId="ListParagraph">
    <w:name w:val="List Paragraph"/>
    <w:basedOn w:val="Normal"/>
    <w:uiPriority w:val="34"/>
    <w:qFormat/>
    <w:rsid w:val="00227613"/>
    <w:pPr>
      <w:ind w:left="720"/>
      <w:contextualSpacing/>
    </w:pPr>
  </w:style>
  <w:style w:type="character" w:styleId="IntenseEmphasis">
    <w:name w:val="Intense Emphasis"/>
    <w:basedOn w:val="DefaultParagraphFont"/>
    <w:uiPriority w:val="21"/>
    <w:qFormat/>
    <w:rsid w:val="00227613"/>
    <w:rPr>
      <w:i/>
      <w:iCs/>
      <w:color w:val="0F4761" w:themeColor="accent1" w:themeShade="BF"/>
    </w:rPr>
  </w:style>
  <w:style w:type="paragraph" w:styleId="IntenseQuote">
    <w:name w:val="Intense Quote"/>
    <w:basedOn w:val="Normal"/>
    <w:next w:val="Normal"/>
    <w:link w:val="IntenseQuoteChar"/>
    <w:uiPriority w:val="30"/>
    <w:qFormat/>
    <w:rsid w:val="00227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613"/>
    <w:rPr>
      <w:i/>
      <w:iCs/>
      <w:color w:val="0F4761" w:themeColor="accent1" w:themeShade="BF"/>
    </w:rPr>
  </w:style>
  <w:style w:type="character" w:styleId="IntenseReference">
    <w:name w:val="Intense Reference"/>
    <w:basedOn w:val="DefaultParagraphFont"/>
    <w:uiPriority w:val="32"/>
    <w:qFormat/>
    <w:rsid w:val="00227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Demirçelik (Student)</dc:creator>
  <cp:keywords/>
  <dc:description/>
  <cp:lastModifiedBy>Efe Demirçelik (Student)</cp:lastModifiedBy>
  <cp:revision>2</cp:revision>
  <dcterms:created xsi:type="dcterms:W3CDTF">2026-01-09T11:53:00Z</dcterms:created>
  <dcterms:modified xsi:type="dcterms:W3CDTF">2026-01-09T13:13:00Z</dcterms:modified>
</cp:coreProperties>
</file>