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480" w:lineRule="auto" w:before="0" w:after="0"/>
      </w:pPr>
      <w:r>
        <w:rPr>
          <w:rFonts w:ascii="Times New Roman" w:hAnsi="Times New Roman"/>
          <w:color w:val="000000"/>
          <w:sz w:val="24"/>
        </w:rPr>
        <w:t>Sabancı University</w:t>
      </w:r>
    </w:p>
    <w:p>
      <w:pPr>
        <w:widowControl/>
        <w:spacing w:line="480" w:lineRule="auto" w:before="0" w:after="0"/>
      </w:pPr>
      <w:r>
        <w:rPr>
          <w:rFonts w:ascii="Times New Roman" w:hAnsi="Times New Roman"/>
          <w:color w:val="000000"/>
          <w:sz w:val="24"/>
        </w:rPr>
        <w:t>Faculty of Engineering and Natural Sciences</w:t>
      </w:r>
    </w:p>
    <w:p>
      <w:pPr>
        <w:widowControl/>
        <w:spacing w:line="480" w:lineRule="auto" w:before="0" w:after="0"/>
      </w:pPr>
      <w:r>
        <w:rPr>
          <w:rFonts w:ascii="Times New Roman" w:hAnsi="Times New Roman"/>
          <w:color w:val="000000"/>
          <w:sz w:val="24"/>
        </w:rPr>
        <w:t>Computer Science and Engineering</w:t>
      </w:r>
    </w:p>
    <w:p>
      <w:pPr>
        <w:pStyle w:val="Title"/>
        <w:widowControl/>
        <w:spacing w:line="480" w:lineRule="auto" w:before="1080" w:after="720"/>
      </w:pPr>
      <w:r>
        <w:rPr>
          <w:rFonts w:ascii="Times New Roman" w:hAnsi="Times New Roman"/>
          <w:color w:val="000000"/>
          <w:sz w:val="24"/>
        </w:rPr>
        <w:t>PixelProof AI Image Detection and Reliability Evaluation</w:t>
      </w:r>
    </w:p>
    <w:p>
      <w:pPr>
        <w:widowControl/>
        <w:spacing w:line="480" w:lineRule="auto" w:before="0" w:after="0"/>
      </w:pPr>
      <w:r>
        <w:rPr>
          <w:rFonts w:ascii="Times New Roman" w:hAnsi="Times New Roman"/>
          <w:color w:val="000000"/>
          <w:sz w:val="24"/>
        </w:rPr>
        <w:t>CS395 Internship Final Report</w:t>
      </w:r>
    </w:p>
    <w:p>
      <w:pPr>
        <w:widowControl/>
        <w:spacing w:line="480" w:lineRule="auto" w:before="0" w:after="0"/>
      </w:pPr>
      <w:r>
        <w:rPr>
          <w:rFonts w:ascii="Times New Roman" w:hAnsi="Times New Roman"/>
          <w:color w:val="000000"/>
          <w:sz w:val="24"/>
        </w:rPr>
        <w:t>Efe Han Keleş</w:t>
      </w:r>
    </w:p>
    <w:p>
      <w:pPr>
        <w:widowControl/>
        <w:spacing w:line="480" w:lineRule="auto" w:before="0" w:after="0"/>
      </w:pPr>
      <w:r>
        <w:rPr>
          <w:rFonts w:ascii="Times New Roman" w:hAnsi="Times New Roman"/>
          <w:color w:val="000000"/>
          <w:sz w:val="24"/>
        </w:rPr>
        <w:t>Student ID: 31994</w:t>
      </w:r>
    </w:p>
    <w:p>
      <w:pPr>
        <w:widowControl/>
        <w:spacing w:line="480" w:lineRule="auto" w:before="0" w:after="0"/>
      </w:pPr>
      <w:r>
        <w:rPr>
          <w:rFonts w:ascii="Times New Roman" w:hAnsi="Times New Roman"/>
          <w:color w:val="000000"/>
          <w:sz w:val="24"/>
        </w:rPr>
        <w:t>Company: Türk Telekomünikasyon A.Ş.</w:t>
      </w:r>
    </w:p>
    <w:p>
      <w:pPr>
        <w:widowControl/>
        <w:spacing w:line="480" w:lineRule="auto" w:before="0" w:after="0"/>
      </w:pPr>
      <w:r>
        <w:rPr>
          <w:rFonts w:ascii="Times New Roman" w:hAnsi="Times New Roman"/>
          <w:color w:val="000000"/>
          <w:sz w:val="24"/>
        </w:rPr>
        <w:t>Supervisor: Önder Çelebi</w:t>
      </w:r>
    </w:p>
    <w:p>
      <w:pPr>
        <w:widowControl/>
        <w:spacing w:line="480" w:lineRule="auto" w:before="0" w:after="0"/>
      </w:pPr>
      <w:r>
        <w:rPr>
          <w:rFonts w:ascii="Times New Roman" w:hAnsi="Times New Roman"/>
          <w:color w:val="000000"/>
          <w:sz w:val="24"/>
        </w:rPr>
        <w:t>Supervisor title: Director</w:t>
      </w:r>
    </w:p>
    <w:p>
      <w:pPr>
        <w:widowControl/>
        <w:spacing w:line="480" w:lineRule="auto" w:before="0" w:after="0"/>
      </w:pPr>
      <w:r>
        <w:rPr>
          <w:rFonts w:ascii="Times New Roman" w:hAnsi="Times New Roman"/>
          <w:color w:val="000000"/>
          <w:sz w:val="24"/>
        </w:rPr>
        <w:t>Internship: 20 July–18 September 2026</w:t>
      </w:r>
    </w:p>
    <w:p>
      <w:pPr>
        <w:widowControl/>
        <w:spacing w:line="480" w:lineRule="auto" w:before="0" w:after="0"/>
      </w:pPr>
      <w:r>
        <w:rPr>
          <w:rFonts w:ascii="Times New Roman" w:hAnsi="Times New Roman"/>
          <w:color w:val="000000"/>
          <w:sz w:val="24"/>
        </w:rPr>
        <w:t>Approved duration: 40 internship days</w:t>
      </w:r>
    </w:p>
    <w:p>
      <w:pPr>
        <w:widowControl/>
        <w:spacing w:line="480" w:lineRule="auto" w:before="0" w:after="0"/>
      </w:pPr>
      <w:r>
        <w:rPr>
          <w:rFonts w:ascii="Times New Roman" w:hAnsi="Times New Roman"/>
          <w:color w:val="000000"/>
          <w:sz w:val="24"/>
        </w:rPr>
        <w:t>Format: Hybrid</w:t>
      </w:r>
    </w:p>
    <w:p>
      <w:pPr>
        <w:widowControl/>
        <w:spacing w:line="480" w:lineRule="auto" w:before="0" w:after="0"/>
      </w:pPr>
      <w:r>
        <w:rPr>
          <w:rFonts w:ascii="Times New Roman" w:hAnsi="Times New Roman"/>
          <w:color w:val="000000"/>
          <w:sz w:val="24"/>
        </w:rPr>
        <w:t>Submission date: [TO COMPLETE]</w:t>
      </w:r>
    </w:p>
    <w:p>
      <w:r>
        <w:rPr>
          <w:rFonts w:ascii="Times New Roman" w:hAnsi="Times New Roman"/>
          <w:color w:val="000000"/>
          <w:sz w:val="24"/>
        </w:rPr>
        <w:br w:type="page"/>
      </w:r>
    </w:p>
    <w:p>
      <w:pPr>
        <w:pStyle w:val="Title"/>
        <w:widowControl/>
        <w:spacing w:line="480" w:lineRule="auto" w:before="0" w:after="0"/>
      </w:pPr>
      <w:r>
        <w:rPr>
          <w:rFonts w:ascii="Times New Roman" w:hAnsi="Times New Roman"/>
          <w:color w:val="000000"/>
          <w:sz w:val="24"/>
        </w:rPr>
        <w:t>Abstract</w:t>
      </w:r>
    </w:p>
    <w:p>
      <w:pPr>
        <w:widowControl/>
        <w:spacing w:line="480" w:lineRule="auto" w:before="0" w:after="0"/>
      </w:pPr>
      <w:r>
        <w:rPr>
          <w:rFonts w:ascii="Times New Roman" w:hAnsi="Times New Roman"/>
          <w:color w:val="000000"/>
          <w:sz w:val="24"/>
        </w:rPr>
        <w:t>Türk Telekom provides telecommunications and digital services across Türkiye. During my CS395 internship, I developed PixelProof as a research prototype for examining whether an image contains evidence of AI generation. A second, experimental module investigated where a local AI edit might occur. The work combined dataset auditing, machine learning experiments and a local web demonstration. Early models performed well on familiar data but failed on different image sources. Subsequent work therefore emphasized correct labels, separated data roles, processing robustness and reproducible evaluation. The E92 model detected 159 of 160 AI images in each of two conditions on a repeatedly used development set. False alerts on 160 real images decreased from 68 to zero for original inputs and from 68 to 14 after a fixed resizing and JPEG transformation, compared with the E43 reference. E92 met all 20 numerical development criteria but still missed one original AI image previously detected by E43, so it failed the complete acceptance contract. Later source-separated diagnostics and localization experiments exposed additional limitations. The completed deliverables include trained research artifacts, a guarded web demo, experiment and dataset records, and automated software checks. The project demonstrates a working, traceable prototype and substantial improvement on a defined development collection. It does not establish universal detection or production readiness. Future work should prioritize genuinely independent sources, calibration separated from evaluation and broader localization tests before stronger claims.</w:t>
      </w:r>
    </w:p>
    <w:p>
      <w:r>
        <w:rPr>
          <w:rFonts w:ascii="Times New Roman" w:hAnsi="Times New Roman"/>
          <w:color w:val="000000"/>
          <w:sz w:val="24"/>
        </w:rPr>
        <w:br w:type="page"/>
      </w:r>
    </w:p>
    <w:p>
      <w:pPr>
        <w:pStyle w:val="Title"/>
        <w:widowControl/>
        <w:spacing w:line="480" w:lineRule="auto" w:before="0" w:after="0"/>
      </w:pPr>
      <w:r>
        <w:rPr>
          <w:rFonts w:ascii="Times New Roman" w:hAnsi="Times New Roman"/>
          <w:color w:val="000000"/>
          <w:sz w:val="24"/>
        </w:rPr>
        <w:t>Table of Contents</w:t>
      </w:r>
    </w:p>
    <w:p>
      <w:pPr>
        <w:spacing w:line="240" w:lineRule="auto" w:after="0" w:before="0"/>
      </w:pPr>
      <w:r>
        <w:rPr>
          <w:rFonts w:ascii="Times New Roman" w:hAnsi="Times New Roman"/>
          <w:color w:val="000000"/>
          <w:sz w:val="24"/>
        </w:rPr>
        <w:fldChar w:fldCharType="begin"/>
      </w:r>
      <w:r>
        <w:rPr>
          <w:rFonts w:ascii="Times New Roman" w:hAnsi="Times New Roman"/>
          <w:color w:val="000000"/>
          <w:sz w:val="24"/>
        </w:rPr>
        <w:instrText xml:space="preserve"> TOC \o "1-3" \h \z \u </w:instrText>
      </w:r>
      <w:r>
        <w:rPr>
          <w:rFonts w:ascii="Times New Roman" w:hAnsi="Times New Roman"/>
          <w:color w:val="000000"/>
          <w:sz w:val="24"/>
        </w:rPr>
        <w:fldChar w:fldCharType="separate"/>
      </w:r>
    </w:p>
    <w:p>
      <w:pPr>
        <w:tabs>
          <w:tab w:pos="9029" w:val="right" w:leader="dot"/>
        </w:tabs>
        <w:spacing w:line="348" w:lineRule="auto"/>
        <w:jc w:val="left"/>
      </w:pPr>
      <w:r>
        <w:rPr>
          <w:rFonts w:ascii="Times New Roman" w:hAnsi="Times New Roman"/>
          <w:color w:val="000000"/>
          <w:sz w:val="24"/>
        </w:rPr>
        <w:t>1. Introduction</w:t>
        <w:tab/>
        <w:t>5</w:t>
      </w:r>
    </w:p>
    <w:p>
      <w:pPr>
        <w:tabs>
          <w:tab w:pos="9029" w:val="right" w:leader="dot"/>
        </w:tabs>
        <w:spacing w:line="348" w:lineRule="auto"/>
        <w:jc w:val="left"/>
      </w:pPr>
      <w:r>
        <w:rPr>
          <w:rFonts w:ascii="Times New Roman" w:hAnsi="Times New Roman"/>
          <w:color w:val="000000"/>
          <w:sz w:val="24"/>
        </w:rPr>
        <w:t>2. Company information</w:t>
        <w:tab/>
        <w:t>6</w:t>
      </w:r>
    </w:p>
    <w:p>
      <w:pPr>
        <w:tabs>
          <w:tab w:pos="9029" w:val="right" w:leader="dot"/>
        </w:tabs>
        <w:spacing w:line="348" w:lineRule="auto"/>
        <w:jc w:val="left"/>
      </w:pPr>
      <w:r>
        <w:rPr>
          <w:rFonts w:ascii="Times New Roman" w:hAnsi="Times New Roman"/>
          <w:color w:val="000000"/>
          <w:sz w:val="24"/>
        </w:rPr>
        <w:t>2.1 Corporate profile and services</w:t>
        <w:tab/>
        <w:t>6</w:t>
      </w:r>
    </w:p>
    <w:p>
      <w:pPr>
        <w:tabs>
          <w:tab w:pos="9029" w:val="right" w:leader="dot"/>
        </w:tabs>
        <w:spacing w:line="348" w:lineRule="auto"/>
        <w:jc w:val="left"/>
      </w:pPr>
      <w:r>
        <w:rPr>
          <w:rFonts w:ascii="Times New Roman" w:hAnsi="Times New Roman"/>
          <w:color w:val="000000"/>
          <w:sz w:val="24"/>
        </w:rPr>
        <w:t>2.2 Organization and internship context</w:t>
        <w:tab/>
        <w:t>7</w:t>
      </w:r>
    </w:p>
    <w:p>
      <w:pPr>
        <w:tabs>
          <w:tab w:pos="9029" w:val="right" w:leader="dot"/>
        </w:tabs>
        <w:spacing w:line="348" w:lineRule="auto"/>
        <w:jc w:val="left"/>
      </w:pPr>
      <w:r>
        <w:rPr>
          <w:rFonts w:ascii="Times New Roman" w:hAnsi="Times New Roman"/>
          <w:color w:val="000000"/>
          <w:sz w:val="24"/>
        </w:rPr>
        <w:t>3. Project background</w:t>
        <w:tab/>
        <w:t>8</w:t>
      </w:r>
    </w:p>
    <w:p>
      <w:pPr>
        <w:tabs>
          <w:tab w:pos="9029" w:val="right" w:leader="dot"/>
        </w:tabs>
        <w:spacing w:line="348" w:lineRule="auto"/>
        <w:jc w:val="left"/>
      </w:pPr>
      <w:r>
        <w:rPr>
          <w:rFonts w:ascii="Times New Roman" w:hAnsi="Times New Roman"/>
          <w:color w:val="000000"/>
          <w:sz w:val="24"/>
        </w:rPr>
        <w:t>3.1 Department information</w:t>
        <w:tab/>
        <w:t>8</w:t>
      </w:r>
    </w:p>
    <w:p>
      <w:pPr>
        <w:tabs>
          <w:tab w:pos="9029" w:val="right" w:leader="dot"/>
        </w:tabs>
        <w:spacing w:line="348" w:lineRule="auto"/>
        <w:jc w:val="left"/>
      </w:pPr>
      <w:r>
        <w:rPr>
          <w:rFonts w:ascii="Times New Roman" w:hAnsi="Times New Roman"/>
          <w:color w:val="000000"/>
          <w:sz w:val="24"/>
        </w:rPr>
        <w:t>3.2 Initial project status</w:t>
        <w:tab/>
        <w:t>8</w:t>
      </w:r>
    </w:p>
    <w:p>
      <w:pPr>
        <w:tabs>
          <w:tab w:pos="9029" w:val="right" w:leader="dot"/>
        </w:tabs>
        <w:spacing w:line="348" w:lineRule="auto"/>
        <w:jc w:val="left"/>
      </w:pPr>
      <w:r>
        <w:rPr>
          <w:rFonts w:ascii="Times New Roman" w:hAnsi="Times New Roman"/>
          <w:color w:val="000000"/>
          <w:sz w:val="24"/>
        </w:rPr>
        <w:t>3.3 Motivation and problem definition</w:t>
        <w:tab/>
        <w:t>9</w:t>
      </w:r>
    </w:p>
    <w:p>
      <w:pPr>
        <w:tabs>
          <w:tab w:pos="9029" w:val="right" w:leader="dot"/>
        </w:tabs>
        <w:spacing w:line="348" w:lineRule="auto"/>
        <w:jc w:val="left"/>
      </w:pPr>
      <w:r>
        <w:rPr>
          <w:rFonts w:ascii="Times New Roman" w:hAnsi="Times New Roman"/>
          <w:color w:val="000000"/>
          <w:sz w:val="24"/>
        </w:rPr>
        <w:t>3.4 Related literature</w:t>
        <w:tab/>
        <w:t>9</w:t>
      </w:r>
    </w:p>
    <w:p>
      <w:pPr>
        <w:tabs>
          <w:tab w:pos="9029" w:val="right" w:leader="dot"/>
        </w:tabs>
        <w:spacing w:line="348" w:lineRule="auto"/>
        <w:jc w:val="left"/>
      </w:pPr>
      <w:r>
        <w:rPr>
          <w:rFonts w:ascii="Times New Roman" w:hAnsi="Times New Roman"/>
          <w:color w:val="000000"/>
          <w:sz w:val="24"/>
        </w:rPr>
        <w:t>4. Internship project</w:t>
        <w:tab/>
        <w:t>11</w:t>
      </w:r>
    </w:p>
    <w:p>
      <w:pPr>
        <w:tabs>
          <w:tab w:pos="9029" w:val="right" w:leader="dot"/>
        </w:tabs>
        <w:spacing w:line="348" w:lineRule="auto"/>
        <w:jc w:val="left"/>
      </w:pPr>
      <w:r>
        <w:rPr>
          <w:rFonts w:ascii="Times New Roman" w:hAnsi="Times New Roman"/>
          <w:color w:val="000000"/>
          <w:sz w:val="24"/>
        </w:rPr>
        <w:t>4.1 Project objective and scope</w:t>
        <w:tab/>
        <w:t>11</w:t>
      </w:r>
    </w:p>
    <w:p>
      <w:pPr>
        <w:tabs>
          <w:tab w:pos="9029" w:val="right" w:leader="dot"/>
        </w:tabs>
        <w:spacing w:line="348" w:lineRule="auto"/>
        <w:jc w:val="left"/>
      </w:pPr>
      <w:r>
        <w:rPr>
          <w:rFonts w:ascii="Times New Roman" w:hAnsi="Times New Roman"/>
          <w:color w:val="000000"/>
          <w:sz w:val="24"/>
        </w:rPr>
        <w:t>4.2 My responsibilities</w:t>
        <w:tab/>
        <w:t>11</w:t>
      </w:r>
    </w:p>
    <w:p>
      <w:pPr>
        <w:tabs>
          <w:tab w:pos="9029" w:val="right" w:leader="dot"/>
        </w:tabs>
        <w:spacing w:line="348" w:lineRule="auto"/>
        <w:jc w:val="left"/>
      </w:pPr>
      <w:r>
        <w:rPr>
          <w:rFonts w:ascii="Times New Roman" w:hAnsi="Times New Roman"/>
          <w:color w:val="000000"/>
          <w:sz w:val="24"/>
        </w:rPr>
        <w:t>4.3 Methodology and tools</w:t>
        <w:tab/>
        <w:t>12</w:t>
      </w:r>
    </w:p>
    <w:p>
      <w:pPr>
        <w:tabs>
          <w:tab w:pos="9029" w:val="right" w:leader="dot"/>
        </w:tabs>
        <w:spacing w:line="348" w:lineRule="auto"/>
        <w:jc w:val="left"/>
      </w:pPr>
      <w:r>
        <w:rPr>
          <w:rFonts w:ascii="Times New Roman" w:hAnsi="Times New Roman"/>
          <w:color w:val="000000"/>
          <w:sz w:val="24"/>
        </w:rPr>
        <w:t>4.4 Expected outcomes and deliverables</w:t>
        <w:tab/>
        <w:t>13</w:t>
      </w:r>
    </w:p>
    <w:p>
      <w:pPr>
        <w:tabs>
          <w:tab w:pos="9029" w:val="right" w:leader="dot"/>
        </w:tabs>
        <w:spacing w:line="348" w:lineRule="auto"/>
        <w:jc w:val="left"/>
      </w:pPr>
      <w:r>
        <w:rPr>
          <w:rFonts w:ascii="Times New Roman" w:hAnsi="Times New Roman"/>
          <w:color w:val="000000"/>
          <w:sz w:val="24"/>
        </w:rPr>
        <w:t>4.5 Project details</w:t>
        <w:tab/>
        <w:t>13</w:t>
      </w:r>
    </w:p>
    <w:p>
      <w:pPr>
        <w:tabs>
          <w:tab w:pos="9029" w:val="right" w:leader="dot"/>
        </w:tabs>
        <w:spacing w:line="348" w:lineRule="auto"/>
        <w:jc w:val="left"/>
      </w:pPr>
      <w:r>
        <w:rPr>
          <w:rFonts w:ascii="Times New Roman" w:hAnsi="Times New Roman"/>
          <w:color w:val="000000"/>
          <w:sz w:val="24"/>
        </w:rPr>
        <w:t>4.5.1 Early models and the first transfer failures</w:t>
        <w:tab/>
        <w:t>13</w:t>
      </w:r>
    </w:p>
    <w:p>
      <w:pPr>
        <w:tabs>
          <w:tab w:pos="9029" w:val="right" w:leader="dot"/>
        </w:tabs>
        <w:spacing w:line="348" w:lineRule="auto"/>
        <w:jc w:val="left"/>
      </w:pPr>
      <w:r>
        <w:rPr>
          <w:rFonts w:ascii="Times New Roman" w:hAnsi="Times New Roman"/>
          <w:color w:val="000000"/>
          <w:sz w:val="24"/>
        </w:rPr>
        <w:t>4.5.2 Data integrity and corrected conclusions</w:t>
        <w:tab/>
        <w:t>14</w:t>
      </w:r>
    </w:p>
    <w:p>
      <w:pPr>
        <w:tabs>
          <w:tab w:pos="9029" w:val="right" w:leader="dot"/>
        </w:tabs>
        <w:spacing w:line="348" w:lineRule="auto"/>
        <w:jc w:val="left"/>
      </w:pPr>
      <w:r>
        <w:rPr>
          <w:rFonts w:ascii="Times New Roman" w:hAnsi="Times New Roman"/>
          <w:color w:val="000000"/>
          <w:sz w:val="24"/>
        </w:rPr>
        <w:t>4.5.3 Data roles and processing conditions</w:t>
        <w:tab/>
        <w:t>15</w:t>
      </w:r>
    </w:p>
    <w:p>
      <w:pPr>
        <w:tabs>
          <w:tab w:pos="9029" w:val="right" w:leader="dot"/>
        </w:tabs>
        <w:spacing w:line="348" w:lineRule="auto"/>
        <w:jc w:val="left"/>
      </w:pPr>
      <w:r>
        <w:rPr>
          <w:rFonts w:ascii="Times New Roman" w:hAnsi="Times New Roman"/>
          <w:color w:val="000000"/>
          <w:sz w:val="24"/>
        </w:rPr>
        <w:t>4.5.4 E92 representation and learning</w:t>
        <w:tab/>
        <w:t>16</w:t>
      </w:r>
    </w:p>
    <w:p>
      <w:pPr>
        <w:tabs>
          <w:tab w:pos="9029" w:val="right" w:leader="dot"/>
        </w:tabs>
        <w:spacing w:line="348" w:lineRule="auto"/>
        <w:jc w:val="left"/>
      </w:pPr>
      <w:r>
        <w:rPr>
          <w:rFonts w:ascii="Times New Roman" w:hAnsi="Times New Roman"/>
          <w:color w:val="000000"/>
          <w:sz w:val="24"/>
        </w:rPr>
        <w:t>4.5.5 Development improvement and acceptance limits</w:t>
        <w:tab/>
        <w:t>17</w:t>
      </w:r>
    </w:p>
    <w:p>
      <w:pPr>
        <w:tabs>
          <w:tab w:pos="9029" w:val="right" w:leader="dot"/>
        </w:tabs>
        <w:spacing w:line="348" w:lineRule="auto"/>
        <w:jc w:val="left"/>
      </w:pPr>
      <w:r>
        <w:rPr>
          <w:rFonts w:ascii="Times New Roman" w:hAnsi="Times New Roman"/>
          <w:color w:val="000000"/>
          <w:sz w:val="24"/>
        </w:rPr>
        <w:t>4.5.6 Honest scores and the web demonstration</w:t>
        <w:tab/>
        <w:t>19</w:t>
      </w:r>
    </w:p>
    <w:p>
      <w:pPr>
        <w:tabs>
          <w:tab w:pos="9029" w:val="right" w:leader="dot"/>
        </w:tabs>
        <w:spacing w:line="348" w:lineRule="auto"/>
        <w:jc w:val="left"/>
      </w:pPr>
      <w:r>
        <w:rPr>
          <w:rFonts w:ascii="Times New Roman" w:hAnsi="Times New Roman"/>
          <w:color w:val="000000"/>
          <w:sz w:val="24"/>
        </w:rPr>
        <w:t>4.5.7 Broader checks and rejected improvements</w:t>
        <w:tab/>
        <w:t>20</w:t>
      </w:r>
    </w:p>
    <w:p>
      <w:pPr>
        <w:tabs>
          <w:tab w:pos="9029" w:val="right" w:leader="dot"/>
        </w:tabs>
        <w:spacing w:line="348" w:lineRule="auto"/>
        <w:jc w:val="left"/>
      </w:pPr>
      <w:r>
        <w:rPr>
          <w:rFonts w:ascii="Times New Roman" w:hAnsi="Times New Roman"/>
          <w:color w:val="000000"/>
          <w:sz w:val="24"/>
        </w:rPr>
        <w:t>4.5.8 Model2 localization and its limits</w:t>
        <w:tab/>
        <w:t>21</w:t>
      </w:r>
    </w:p>
    <w:p>
      <w:r>
        <w:rPr>
          <w:rFonts w:ascii="Times New Roman" w:hAnsi="Times New Roman"/>
          <w:color w:val="000000"/>
          <w:sz w:val="24"/>
        </w:rPr>
        <w:br w:type="page"/>
      </w:r>
    </w:p>
    <w:p>
      <w:pPr>
        <w:pStyle w:val="Title"/>
        <w:widowControl/>
        <w:spacing w:line="480" w:lineRule="auto" w:before="0" w:after="0"/>
      </w:pPr>
      <w:r>
        <w:rPr>
          <w:rFonts w:ascii="Times New Roman" w:hAnsi="Times New Roman"/>
          <w:color w:val="000000"/>
          <w:sz w:val="24"/>
        </w:rPr>
        <w:t>Table of Contents continued</w:t>
      </w:r>
    </w:p>
    <w:p>
      <w:pPr>
        <w:tabs>
          <w:tab w:pos="9029" w:val="right" w:leader="dot"/>
        </w:tabs>
        <w:spacing w:line="348" w:lineRule="auto"/>
        <w:jc w:val="left"/>
      </w:pPr>
      <w:r>
        <w:rPr>
          <w:rFonts w:ascii="Times New Roman" w:hAnsi="Times New Roman"/>
          <w:color w:val="000000"/>
          <w:sz w:val="24"/>
        </w:rPr>
        <w:t>4.6 Results</w:t>
        <w:tab/>
        <w:t>22</w:t>
      </w:r>
    </w:p>
    <w:p>
      <w:pPr>
        <w:tabs>
          <w:tab w:pos="9029" w:val="right" w:leader="dot"/>
        </w:tabs>
        <w:spacing w:line="348" w:lineRule="auto"/>
        <w:jc w:val="left"/>
      </w:pPr>
      <w:r>
        <w:rPr>
          <w:rFonts w:ascii="Times New Roman" w:hAnsi="Times New Roman"/>
          <w:color w:val="000000"/>
          <w:sz w:val="24"/>
        </w:rPr>
        <w:t>5. Internship experience</w:t>
        <w:tab/>
        <w:t>23</w:t>
      </w:r>
    </w:p>
    <w:p>
      <w:pPr>
        <w:tabs>
          <w:tab w:pos="9029" w:val="right" w:leader="dot"/>
        </w:tabs>
        <w:spacing w:line="348" w:lineRule="auto"/>
        <w:jc w:val="left"/>
      </w:pPr>
      <w:r>
        <w:rPr>
          <w:rFonts w:ascii="Times New Roman" w:hAnsi="Times New Roman"/>
          <w:color w:val="000000"/>
          <w:sz w:val="24"/>
        </w:rPr>
        <w:t>5.1 Learning</w:t>
        <w:tab/>
        <w:t>23</w:t>
      </w:r>
    </w:p>
    <w:p>
      <w:pPr>
        <w:tabs>
          <w:tab w:pos="9029" w:val="right" w:leader="dot"/>
        </w:tabs>
        <w:spacing w:line="348" w:lineRule="auto"/>
        <w:jc w:val="left"/>
      </w:pPr>
      <w:r>
        <w:rPr>
          <w:rFonts w:ascii="Times New Roman" w:hAnsi="Times New Roman"/>
          <w:color w:val="000000"/>
          <w:sz w:val="24"/>
        </w:rPr>
        <w:t>5.2 Relation to undergraduate education</w:t>
        <w:tab/>
        <w:t>23</w:t>
      </w:r>
    </w:p>
    <w:p>
      <w:pPr>
        <w:tabs>
          <w:tab w:pos="9029" w:val="right" w:leader="dot"/>
        </w:tabs>
        <w:spacing w:line="348" w:lineRule="auto"/>
        <w:jc w:val="left"/>
      </w:pPr>
      <w:r>
        <w:rPr>
          <w:rFonts w:ascii="Times New Roman" w:hAnsi="Times New Roman"/>
          <w:color w:val="000000"/>
          <w:sz w:val="24"/>
        </w:rPr>
        <w:t>5.3 Major difficulties</w:t>
        <w:tab/>
        <w:t>24</w:t>
      </w:r>
    </w:p>
    <w:p>
      <w:pPr>
        <w:tabs>
          <w:tab w:pos="9029" w:val="right" w:leader="dot"/>
        </w:tabs>
        <w:spacing w:line="348" w:lineRule="auto"/>
        <w:jc w:val="left"/>
      </w:pPr>
      <w:r>
        <w:rPr>
          <w:rFonts w:ascii="Times New Roman" w:hAnsi="Times New Roman"/>
          <w:color w:val="000000"/>
          <w:sz w:val="24"/>
        </w:rPr>
        <w:t>5.4 A typical day</w:t>
        <w:tab/>
        <w:t>24</w:t>
      </w:r>
    </w:p>
    <w:p>
      <w:pPr>
        <w:tabs>
          <w:tab w:pos="9029" w:val="right" w:leader="dot"/>
        </w:tabs>
        <w:spacing w:line="348" w:lineRule="auto"/>
        <w:jc w:val="left"/>
      </w:pPr>
      <w:r>
        <w:rPr>
          <w:rFonts w:ascii="Times New Roman" w:hAnsi="Times New Roman"/>
          <w:color w:val="000000"/>
          <w:sz w:val="24"/>
        </w:rPr>
        <w:t>6. Conclusions</w:t>
        <w:tab/>
        <w:t>25</w:t>
      </w:r>
    </w:p>
    <w:p>
      <w:pPr>
        <w:tabs>
          <w:tab w:pos="9029" w:val="right" w:leader="dot"/>
        </w:tabs>
        <w:spacing w:line="348" w:lineRule="auto"/>
        <w:jc w:val="left"/>
      </w:pPr>
      <w:r>
        <w:rPr>
          <w:rFonts w:ascii="Times New Roman" w:hAnsi="Times New Roman"/>
          <w:color w:val="000000"/>
          <w:sz w:val="24"/>
        </w:rPr>
        <w:t>7. Recommendations</w:t>
        <w:tab/>
        <w:t>26</w:t>
      </w:r>
    </w:p>
    <w:p>
      <w:pPr>
        <w:tabs>
          <w:tab w:pos="9029" w:val="right" w:leader="dot"/>
        </w:tabs>
        <w:spacing w:line="348" w:lineRule="auto"/>
        <w:jc w:val="left"/>
      </w:pPr>
      <w:r>
        <w:rPr>
          <w:rFonts w:ascii="Times New Roman" w:hAnsi="Times New Roman"/>
          <w:color w:val="000000"/>
          <w:sz w:val="24"/>
        </w:rPr>
        <w:t>8. References</w:t>
        <w:tab/>
        <w:t>27</w:t>
      </w:r>
    </w:p>
    <w:p>
      <w:pPr>
        <w:tabs>
          <w:tab w:pos="9029" w:val="right" w:leader="dot"/>
        </w:tabs>
        <w:spacing w:line="348" w:lineRule="auto"/>
        <w:jc w:val="left"/>
      </w:pPr>
      <w:r>
        <w:rPr>
          <w:rFonts w:ascii="Times New Roman" w:hAnsi="Times New Roman"/>
          <w:color w:val="000000"/>
          <w:sz w:val="24"/>
        </w:rPr>
        <w:t>9. Appendices</w:t>
        <w:tab/>
        <w:t>29</w:t>
      </w:r>
    </w:p>
    <w:p>
      <w:pPr>
        <w:tabs>
          <w:tab w:pos="9029" w:val="right" w:leader="dot"/>
        </w:tabs>
        <w:spacing w:line="348" w:lineRule="auto"/>
        <w:jc w:val="left"/>
      </w:pPr>
      <w:r>
        <w:rPr>
          <w:rFonts w:ascii="Times New Roman" w:hAnsi="Times New Roman"/>
          <w:color w:val="000000"/>
          <w:sz w:val="24"/>
        </w:rPr>
        <w:t>9.1 Development criteria</w:t>
        <w:tab/>
        <w:t>29</w:t>
      </w:r>
    </w:p>
    <w:p>
      <w:pPr>
        <w:tabs>
          <w:tab w:pos="9029" w:val="right" w:leader="dot"/>
        </w:tabs>
        <w:spacing w:line="348" w:lineRule="auto"/>
        <w:jc w:val="left"/>
      </w:pPr>
      <w:r>
        <w:rPr>
          <w:rFonts w:ascii="Times New Roman" w:hAnsi="Times New Roman"/>
          <w:color w:val="000000"/>
          <w:sz w:val="24"/>
        </w:rPr>
        <w:t>9.2 Evidence and reproduction map</w:t>
        <w:tab/>
        <w:t>30</w:t>
      </w:r>
      <w:r>
        <w:rPr>
          <w:rFonts w:ascii="Times New Roman" w:hAnsi="Times New Roman"/>
          <w:color w:val="000000"/>
          <w:sz w:val="24"/>
        </w:rPr>
        <w:fldChar w:fldCharType="end"/>
      </w:r>
    </w:p>
    <w:p>
      <w:pPr>
        <w:pStyle w:val="Heading1"/>
        <w:pageBreakBefore/>
        <w:widowControl/>
        <w:spacing w:line="480" w:lineRule="auto" w:before="0" w:after="0"/>
      </w:pPr>
      <w:r>
        <w:rPr>
          <w:rFonts w:ascii="Times New Roman" w:hAnsi="Times New Roman"/>
          <w:color w:val="000000"/>
          <w:sz w:val="24"/>
        </w:rPr>
        <w:t>1. Introduction</w:t>
      </w:r>
    </w:p>
    <w:p>
      <w:pPr>
        <w:widowControl/>
        <w:spacing w:line="480" w:lineRule="auto" w:before="0" w:after="0"/>
      </w:pPr>
      <w:r>
        <w:rPr>
          <w:rFonts w:ascii="Times New Roman" w:hAnsi="Times New Roman"/>
          <w:color w:val="000000"/>
          <w:sz w:val="24"/>
        </w:rPr>
        <w:t>PixelProof addresses a practical question: can a system identify evidence of AI generation without routinely accusing genuine photographs? Visually convincing generated images make this task difficult, while resizing and compression can change the signals available to a detector. The project also explored a related question: can a model locate a small AI-edited region inside an otherwise genuine photograph? These are different tasks and require different evidence.</w:t>
      </w:r>
    </w:p>
    <w:p>
      <w:pPr>
        <w:widowControl/>
        <w:spacing w:line="480" w:lineRule="auto" w:before="0" w:after="0"/>
      </w:pPr>
      <w:r>
        <w:rPr>
          <w:rFonts w:ascii="Times New Roman" w:hAnsi="Times New Roman"/>
          <w:color w:val="000000"/>
          <w:sz w:val="24"/>
        </w:rPr>
        <w:t>The internship ran from 20 July to 18 September 2026 under the approved 40-day CS395 arrangement at Türk Telekom. This report covers the technical record through 16 September, the latest completed research checkpoint before the end of that period. Report preparation took place afterwards. Experiment identifiers refer to recorded protocols and findings, rather than a count of independent trials. The implementation and append-only records provide the primary evidence for project-specific claims (Keleş, 2026).</w:t>
      </w:r>
    </w:p>
    <w:p>
      <w:pPr>
        <w:widowControl/>
        <w:spacing w:line="480" w:lineRule="auto" w:before="0" w:after="0"/>
      </w:pPr>
      <w:r>
        <w:rPr>
          <w:rFonts w:ascii="Times New Roman" w:hAnsi="Times New Roman"/>
          <w:color w:val="000000"/>
          <w:sz w:val="24"/>
        </w:rPr>
        <w:t>The main achievement is a functioning research system with measurable development improvements, a usable local interface and an evaluation process that also records failures. The current local demonstration uses E92. It passes 20 numerical checks on reused development images, but newly misses one AI image caught by the reference model. That new miss breaks a separate acceptance rule. Independent universal reliability remains unproven.</w:t>
      </w:r>
    </w:p>
    <w:p>
      <w:pPr>
        <w:widowControl/>
        <w:spacing w:line="480" w:lineRule="auto" w:before="0" w:after="0"/>
      </w:pPr>
      <w:r>
        <w:rPr>
          <w:rFonts w:ascii="Times New Roman" w:hAnsi="Times New Roman"/>
          <w:color w:val="000000"/>
          <w:sz w:val="24"/>
        </w:rPr>
        <w:t>Section 2 introduces the host organization. Section 3 explains the problem and relevant literature. Section 4 describes responsibilities, methods, implementation, representative experiments and results. Section 5 discusses learning and difficulties. Sections 6 and 7 give conclusions and recommendations. References and a compact evidence appendix support the main account without reproducing every experiment or implementation detail.</w:t>
      </w:r>
    </w:p>
    <w:p>
      <w:pPr>
        <w:pStyle w:val="Heading1"/>
        <w:pageBreakBefore/>
        <w:widowControl/>
        <w:spacing w:line="480" w:lineRule="auto" w:before="0" w:after="0"/>
      </w:pPr>
      <w:r>
        <w:rPr>
          <w:rFonts w:ascii="Times New Roman" w:hAnsi="Times New Roman"/>
          <w:color w:val="000000"/>
          <w:sz w:val="24"/>
        </w:rPr>
        <w:t>2. Company information</w:t>
      </w:r>
    </w:p>
    <w:p>
      <w:pPr>
        <w:pStyle w:val="Heading2"/>
        <w:widowControl/>
        <w:spacing w:line="480" w:lineRule="auto" w:before="0" w:after="0"/>
      </w:pPr>
      <w:r>
        <w:rPr>
          <w:rFonts w:ascii="Times New Roman" w:hAnsi="Times New Roman"/>
          <w:color w:val="000000"/>
          <w:sz w:val="24"/>
        </w:rPr>
        <w:t>2.1 Corporate profile and services</w:t>
      </w:r>
    </w:p>
    <w:p>
      <w:pPr>
        <w:widowControl/>
        <w:spacing w:line="480" w:lineRule="auto" w:before="0" w:after="0"/>
      </w:pPr>
      <w:r>
        <w:rPr>
          <w:rFonts w:ascii="Times New Roman" w:hAnsi="Times New Roman"/>
          <w:color w:val="000000"/>
          <w:sz w:val="24"/>
        </w:rPr>
        <w:t>The host organization is Türk Telekomünikasyon A.Ş. Its registered office is Turgut Özal Bulvarı, 06103 Aydınlıkevler, Ankara (Türk Telekom, 2026a). I completed my internship at Fatih Sultan Mehmet Mah., Balkan Cad. No:49, 34771 Ümraniye, İstanbul. This is the internship office, distinct from the registered headquarters. The corporate website is https://www.turktelekom.com.tr. The internship contact supplied in the approved record is +90 312 555 93 92.</w:t>
      </w:r>
    </w:p>
    <w:p>
      <w:pPr>
        <w:widowControl/>
        <w:spacing w:line="480" w:lineRule="auto" w:before="0" w:after="0"/>
      </w:pPr>
      <w:r>
        <w:rPr>
          <w:rFonts w:ascii="Times New Roman" w:hAnsi="Times New Roman"/>
          <w:color w:val="000000"/>
          <w:sz w:val="24"/>
        </w:rPr>
        <w:t>Türk Telekom has a history extending over 185 years. It adopted an integrated operating structure in 2015 and brought mobile, internet, telephone and television services under one brand in 2016. Its facilities are communications infrastructure, service operations and offices rather than a manufacturing plant. The corporate profile reports operations in 81 provinces and 31,756 employees alongside its 30 June 2026 operating figures (Türk Telekom, 2026b).</w:t>
      </w:r>
    </w:p>
    <w:p>
      <w:pPr>
        <w:widowControl/>
        <w:spacing w:line="480" w:lineRule="auto" w:before="0" w:after="0"/>
      </w:pPr>
      <w:r>
        <w:rPr>
          <w:rFonts w:ascii="Times New Roman" w:hAnsi="Times New Roman"/>
          <w:color w:val="000000"/>
          <w:sz w:val="24"/>
        </w:rPr>
        <w:t>The group supplies fixed access, broadband, mobile, television and corporate data services. Customers include households, businesses and wholesale operators. Group companies include TT Mobil, TTNET, Argela, İnnova, SEBİT, AssisTT and Türk Telekom International. The disclosed ownership structure allocates 60% to Türkiye Wealth Fund, 25% to the Ministry of Treasury and Finance and 15% to publicly traded shares. The fund also holds 1.68% within the publicly traded portion; that holding must not be added to the 100% ownership total (Türk Telekom, 2026a, 2026b).</w:t>
      </w:r>
    </w:p>
    <w:p>
      <w:pPr>
        <w:widowControl/>
        <w:spacing w:line="480" w:lineRule="auto" w:before="0" w:after="0"/>
      </w:pPr>
      <w:r>
        <w:rPr>
          <w:rFonts w:ascii="Times New Roman" w:hAnsi="Times New Roman"/>
          <w:color w:val="000000"/>
          <w:sz w:val="24"/>
        </w:rPr>
        <w:t>The company operates in the telecommunications market, with competition across mobile and fixed connectivity. Competitors and suppliers were mentioned during my internship, but we did not discuss them in detail. The main competitors and major suppliers relevant to the unit remain [TO COMPLETE: confirmed competitor and supplier names]. I have not inferred a supplier ranking from these brief discussions. PixelProof used research datasets and public pretrained components, not customer telecommunications records.</w:t>
      </w:r>
    </w:p>
    <w:p>
      <w:pPr>
        <w:pStyle w:val="Heading2"/>
        <w:widowControl/>
        <w:spacing w:line="480" w:lineRule="auto" w:before="0" w:after="0"/>
      </w:pPr>
      <w:r>
        <w:rPr>
          <w:rFonts w:ascii="Times New Roman" w:hAnsi="Times New Roman"/>
          <w:color w:val="000000"/>
          <w:sz w:val="24"/>
        </w:rPr>
        <w:t>2.2 Organization and internship context</w:t>
      </w:r>
    </w:p>
    <w:p>
      <w:pPr>
        <w:widowControl/>
        <w:spacing w:line="480" w:lineRule="auto" w:before="0" w:after="0"/>
      </w:pPr>
      <w:r>
        <w:rPr>
          <w:rFonts w:ascii="Times New Roman" w:hAnsi="Times New Roman"/>
          <w:color w:val="000000"/>
          <w:sz w:val="24"/>
        </w:rPr>
        <w:t>Figure 1 summarizes the corporate reporting structure published in the 2025 Annual Report. It retains the distinction between functions reporting to the general manager and internal audit reporting to the board. Functional descriptions are summarized from the published department titles. The diagram provides corporate context; the reporting line of my host unit still requires confirmation (Türk Telekom, 2026a, p. 33).</w:t>
      </w:r>
    </w:p>
    <w:p>
      <w:pPr>
        <w:keepNext/>
        <w:spacing w:line="240" w:lineRule="auto"/>
        <w:jc w:val="center"/>
      </w:pPr>
      <w:r>
        <w:rPr>
          <w:rFonts w:ascii="Times New Roman" w:hAnsi="Times New Roman"/>
          <w:color w:val="000000"/>
          <w:sz w:val="24"/>
        </w:rPr>
        <w:drawing>
          <wp:inline xmlns:a="http://schemas.openxmlformats.org/drawingml/2006/main" xmlns:pic="http://schemas.openxmlformats.org/drawingml/2006/picture">
            <wp:extent cx="5733288" cy="2276666"/>
            <wp:docPr id="1" name="Picture 1"/>
            <wp:cNvGraphicFramePr>
              <a:graphicFrameLocks noChangeAspect="1"/>
            </wp:cNvGraphicFramePr>
            <a:graphic>
              <a:graphicData uri="http://schemas.openxmlformats.org/drawingml/2006/picture">
                <pic:pic>
                  <pic:nvPicPr>
                    <pic:cNvPr id="0" name="organization.png"/>
                    <pic:cNvPicPr/>
                  </pic:nvPicPr>
                  <pic:blipFill>
                    <a:blip r:embed="rId11"/>
                    <a:stretch>
                      <a:fillRect/>
                    </a:stretch>
                  </pic:blipFill>
                  <pic:spPr>
                    <a:xfrm>
                      <a:off x="0" y="0"/>
                      <a:ext cx="5733288" cy="2276666"/>
                    </a:xfrm>
                    <a:prstGeom prst="rect"/>
                  </pic:spPr>
                </pic:pic>
              </a:graphicData>
            </a:graphic>
          </wp:inline>
        </w:drawing>
      </w:r>
    </w:p>
    <w:p>
      <w:pPr>
        <w:pStyle w:val="Caption"/>
        <w:keepNext w:val="0"/>
        <w:keepLines/>
        <w:widowControl/>
        <w:spacing w:line="480" w:lineRule="auto" w:before="0" w:after="0"/>
        <w:jc w:val="center"/>
      </w:pPr>
      <w:r>
        <w:rPr>
          <w:rFonts w:ascii="Times New Roman" w:hAnsi="Times New Roman"/>
          <w:color w:val="000000"/>
          <w:sz w:val="24"/>
        </w:rPr>
        <w:t>Figure 1. Simplified corporate reporting structure from the 2025 Annual Report.</w:t>
      </w:r>
    </w:p>
    <w:p>
      <w:pPr>
        <w:widowControl/>
        <w:spacing w:line="480" w:lineRule="auto" w:before="0" w:after="0"/>
      </w:pPr>
      <w:r>
        <w:rPr>
          <w:rFonts w:ascii="Times New Roman" w:hAnsi="Times New Roman"/>
          <w:color w:val="000000"/>
          <w:sz w:val="24"/>
        </w:rPr>
        <w:t>Network and IT cover communications infrastructure and information systems. Commercial functions include customer experience, consumer sales, corporate sales and wholesale services. Support functions include finance, people operations, procurement, legal compliance and risk. Regional directorates coordinate local operations. My host unit was Planlama ve Geliştirme Müdürlüğü (Planning and Development Directorate). Its formal reporting line remains [TO COMPLETE: department reporting line].</w:t>
      </w:r>
    </w:p>
    <w:p>
      <w:pPr>
        <w:pStyle w:val="Heading1"/>
        <w:pageBreakBefore/>
        <w:widowControl/>
        <w:spacing w:line="480" w:lineRule="auto" w:before="0" w:after="0"/>
      </w:pPr>
      <w:r>
        <w:rPr>
          <w:rFonts w:ascii="Times New Roman" w:hAnsi="Times New Roman"/>
          <w:color w:val="000000"/>
          <w:sz w:val="24"/>
        </w:rPr>
        <w:t>3. Project background</w:t>
      </w:r>
    </w:p>
    <w:p>
      <w:pPr>
        <w:pStyle w:val="Heading2"/>
        <w:widowControl/>
        <w:spacing w:line="480" w:lineRule="auto" w:before="0" w:after="0"/>
      </w:pPr>
      <w:r>
        <w:rPr>
          <w:rFonts w:ascii="Times New Roman" w:hAnsi="Times New Roman"/>
          <w:color w:val="000000"/>
          <w:sz w:val="24"/>
        </w:rPr>
        <w:t>3.1 Department information</w:t>
      </w:r>
    </w:p>
    <w:p>
      <w:pPr>
        <w:widowControl/>
        <w:spacing w:line="480" w:lineRule="auto" w:before="0" w:after="0"/>
      </w:pPr>
      <w:r>
        <w:rPr>
          <w:rFonts w:ascii="Times New Roman" w:hAnsi="Times New Roman"/>
          <w:color w:val="000000"/>
          <w:sz w:val="24"/>
        </w:rPr>
        <w:t>My host unit was Planlama ve Geliştirme Müdürlüğü (Planning and Development Directorate). Its specific responsibilities remain [TO COMPLETE: department responsibilities]. My supervisor was Önder Çelebi, whose supplied contact is onder.celebi@turktelekom.com.tr. He is the Director of this unit. I also consulted mentors, whose names, titles and work email addresses remain [TO COMPLETE: mentor details]. These consultations supported an individually conducted project.</w:t>
      </w:r>
    </w:p>
    <w:p>
      <w:pPr>
        <w:widowControl/>
        <w:spacing w:line="480" w:lineRule="auto" w:before="0" w:after="0"/>
      </w:pPr>
      <w:r>
        <w:rPr>
          <w:rFonts w:ascii="Times New Roman" w:hAnsi="Times New Roman"/>
          <w:color w:val="000000"/>
          <w:sz w:val="24"/>
        </w:rPr>
        <w:t>The approved arrangement was hybrid, with Monday through Thursday on site and Friday remote. The project record concerns a student research prototype. It does not establish that Türk Telekom already operated this detector, requested a particular production deployment, or used its outputs in customer decisions. Any department-specific business process description requires confirmation before submission.</w:t>
      </w:r>
    </w:p>
    <w:p>
      <w:pPr>
        <w:pStyle w:val="Heading2"/>
        <w:widowControl/>
        <w:spacing w:line="480" w:lineRule="auto" w:before="0" w:after="0"/>
      </w:pPr>
      <w:r>
        <w:rPr>
          <w:rFonts w:ascii="Times New Roman" w:hAnsi="Times New Roman"/>
          <w:color w:val="000000"/>
          <w:sz w:val="24"/>
        </w:rPr>
        <w:t>3.2 Initial project status</w:t>
      </w:r>
    </w:p>
    <w:p>
      <w:pPr>
        <w:widowControl/>
        <w:spacing w:line="480" w:lineRule="auto" w:before="0" w:after="0"/>
      </w:pPr>
      <w:r>
        <w:rPr>
          <w:rFonts w:ascii="Times New Roman" w:hAnsi="Times New Roman"/>
          <w:color w:val="000000"/>
          <w:sz w:val="24"/>
        </w:rPr>
        <w:t>The first recorded experiment on 20 July used a small convolutional neural network trained on CIFAKE. The initial workflow was conventional: prepare labelled images, train a classifier, evaluate it and inspect mistakes. A 96.75% result on the familiar test collection initially looked promising, but accuracy fell to 77.1% on a separate 995-image collection. Later auditing also exposed confounds in that external collection. These historical values describe early diagnostics, not a certified deployment benchmark (Keleş, 2026, E1 and E10).</w:t>
      </w:r>
    </w:p>
    <w:p>
      <w:pPr>
        <w:widowControl/>
        <w:spacing w:line="480" w:lineRule="auto" w:before="0" w:after="0"/>
      </w:pPr>
      <w:r>
        <w:rPr>
          <w:rFonts w:ascii="Times New Roman" w:hAnsi="Times New Roman"/>
          <w:color w:val="000000"/>
          <w:sz w:val="24"/>
        </w:rPr>
        <w:t>Information flowed from dataset sources to local preparation and training scripts, then to saved scores, error analysis and experimental decisions. The work evolved from improving a single accuracy number into controlling what data meant, which populations could influence learning, and how results should reach a user. There was no verified production decision process to replace.</w:t>
      </w:r>
    </w:p>
    <w:p>
      <w:pPr>
        <w:pStyle w:val="Heading2"/>
        <w:widowControl/>
        <w:spacing w:line="480" w:lineRule="auto" w:before="0" w:after="0"/>
      </w:pPr>
      <w:r>
        <w:rPr>
          <w:rFonts w:ascii="Times New Roman" w:hAnsi="Times New Roman"/>
          <w:color w:val="000000"/>
          <w:sz w:val="24"/>
        </w:rPr>
        <w:t>3.3 Motivation and problem definition</w:t>
      </w:r>
    </w:p>
    <w:p>
      <w:pPr>
        <w:widowControl/>
        <w:spacing w:line="480" w:lineRule="auto" w:before="0" w:after="0"/>
      </w:pPr>
      <w:r>
        <w:rPr>
          <w:rFonts w:ascii="Times New Roman" w:hAnsi="Times New Roman"/>
          <w:color w:val="000000"/>
          <w:sz w:val="24"/>
        </w:rPr>
        <w:t>The objective was to build and evaluate an image-screening prototype that could find AI-related evidence while limiting false alarms on real photographs. A false positive labels a real image as AI. A false negative misses an AI image. Reducing only one of these errors can make the other worse, so both must remain visible.</w:t>
      </w:r>
    </w:p>
    <w:p>
      <w:pPr>
        <w:widowControl/>
        <w:spacing w:line="480" w:lineRule="auto" w:before="0" w:after="0"/>
      </w:pPr>
      <w:r>
        <w:rPr>
          <w:rFonts w:ascii="Times New Roman" w:hAnsi="Times New Roman"/>
          <w:color w:val="000000"/>
          <w:sz w:val="24"/>
        </w:rPr>
        <w:t>The central technical problem was distribution shift: images from a new camera, generator or processing pipeline could behave very differently from the training examples. A separate localization objective required pixel-level evidence about edited regions. An image-level score alone cannot establish that a highlighted area was edited, and a low score cannot prove that an image is authentic.</w:t>
      </w:r>
    </w:p>
    <w:p>
      <w:pPr>
        <w:pStyle w:val="Heading2"/>
        <w:widowControl/>
        <w:spacing w:line="480" w:lineRule="auto" w:before="0" w:after="0"/>
      </w:pPr>
      <w:r>
        <w:rPr>
          <w:rFonts w:ascii="Times New Roman" w:hAnsi="Times New Roman"/>
          <w:color w:val="000000"/>
          <w:sz w:val="24"/>
        </w:rPr>
        <w:t>3.4 Related literature</w:t>
      </w:r>
    </w:p>
    <w:p>
      <w:pPr>
        <w:widowControl/>
        <w:spacing w:line="480" w:lineRule="auto" w:before="0" w:after="0"/>
      </w:pPr>
      <w:r>
        <w:rPr>
          <w:rFonts w:ascii="Times New Roman" w:hAnsi="Times New Roman"/>
          <w:color w:val="000000"/>
          <w:sz w:val="24"/>
        </w:rPr>
        <w:t>Wang et al. (2020) studied transfer from a detector trained on one generator to several other synthesis methods. Ojha et al. (2023) showed that pretrained visual representations can support broader fake-image detection with simple classifiers. These studies motivated comparison of learned representations with the early convolutional and handcrafted baselines. Their published results belong to their own protocols and are not PixelProof measurements.</w:t>
      </w:r>
    </w:p>
    <w:p>
      <w:pPr>
        <w:widowControl/>
        <w:spacing w:line="480" w:lineRule="auto" w:before="0" w:after="0"/>
      </w:pPr>
      <w:r>
        <w:rPr>
          <w:rFonts w:ascii="Times New Roman" w:hAnsi="Times New Roman"/>
          <w:color w:val="000000"/>
          <w:sz w:val="24"/>
        </w:rPr>
        <w:t>CLIP learns visual representations from image-text supervision (Radford et al., 2021). DINOv2 learns reusable visual features without task-specific labels (Oquab et al., 2024). PixelProof used such pretrained representations and trained adaptation components around them. The contribution is therefore not training an entire foundation model from scratch. It lies in data preparation, learned adaptation, evaluation and integration.</w:t>
      </w:r>
    </w:p>
    <w:p>
      <w:pPr>
        <w:widowControl/>
        <w:spacing w:line="480" w:lineRule="auto" w:before="0" w:after="0"/>
      </w:pPr>
      <w:r>
        <w:rPr>
          <w:rFonts w:ascii="Times New Roman" w:hAnsi="Times New Roman"/>
          <w:color w:val="000000"/>
          <w:sz w:val="24"/>
        </w:rPr>
        <w:t>Grommelt et al. (2024) show how compression and image-size differences can become shortcuts in generated-image detection datasets. This matters because matching file extensions or resizing every image does not erase previous processing. PixelProof investigated processing history and matched transformations, while avoiding claims that cropping automatically removes source bias.</w:t>
      </w:r>
    </w:p>
    <w:p>
      <w:pPr>
        <w:widowControl/>
        <w:spacing w:line="480" w:lineRule="auto" w:before="0" w:after="0"/>
      </w:pPr>
      <w:r>
        <w:rPr>
          <w:rFonts w:ascii="Times New Roman" w:hAnsi="Times New Roman"/>
          <w:color w:val="000000"/>
          <w:sz w:val="24"/>
        </w:rPr>
        <w:t>Kim et al. (2026) introduce DEAR, using inpainting-related analysis to prune features that are less robust to processing. PixelProof incorporated a pinned pretrained DEAR component alongside other visual features. A published claim about unseen-generator robustness cannot be inherited merely by loading those weights. Local data lineage and task-specific evaluation remain necessary.</w:t>
      </w:r>
    </w:p>
    <w:p>
      <w:pPr>
        <w:widowControl/>
        <w:spacing w:line="480" w:lineRule="auto" w:before="0" w:after="0"/>
      </w:pPr>
      <w:r>
        <w:rPr>
          <w:rFonts w:ascii="Times New Roman" w:hAnsi="Times New Roman"/>
          <w:color w:val="000000"/>
          <w:sz w:val="24"/>
        </w:rPr>
        <w:t>SIDD supplies smartphone denoising data from ten scenes and five cameras (Abdelhamed et al., 2018). SID supplies paired short- and long-exposure low-light raw images (Chen et al., 2018). They provided documented real-image coverage, but neither is a survey of all current phone photography. Multiple observations from a scene remain dependent, and a research raw rendering need not match a consumer camera JPEG.</w:t>
      </w:r>
    </w:p>
    <w:p>
      <w:pPr>
        <w:widowControl/>
        <w:spacing w:line="480" w:lineRule="auto" w:before="0" w:after="0"/>
      </w:pPr>
      <w:r>
        <w:rPr>
          <w:rFonts w:ascii="Times New Roman" w:hAnsi="Times New Roman"/>
          <w:color w:val="000000"/>
          <w:sz w:val="24"/>
        </w:rPr>
        <w:t>Guo et al. (2017) distinguish classifier outputs from well-calibrated confidence estimates. That distinction informs the interface: multiplying a score by 100 does not make it a probability of AI generation. Dwork et al. (2015) explain the risk of adaptively reusing holdout data. PixelProof therefore identifies previously inspected collections as development evidence even when individual runs freeze their settings before scoring.</w:t>
      </w:r>
    </w:p>
    <w:p>
      <w:pPr>
        <w:widowControl/>
        <w:spacing w:line="480" w:lineRule="auto" w:before="0" w:after="0"/>
      </w:pPr>
      <w:r>
        <w:rPr>
          <w:rFonts w:ascii="Times New Roman" w:hAnsi="Times New Roman"/>
          <w:color w:val="000000"/>
          <w:sz w:val="24"/>
        </w:rPr>
        <w:t>An industry example addresses the same trust problem through a different form of evidence. Adobe Content Credentials can record a file’s origin, edits and use of generative AI (Adobe, n.d.). PixelProof instead estimates a signal from image pixels. These approaches could complement each other, but this project did not implement credential verification. The comparison helps explain why a detector score alone should not be presented as proof of authenticity.</w:t>
      </w:r>
    </w:p>
    <w:p>
      <w:pPr>
        <w:pStyle w:val="Heading1"/>
        <w:pageBreakBefore/>
        <w:widowControl/>
        <w:spacing w:line="480" w:lineRule="auto" w:before="0" w:after="0"/>
      </w:pPr>
      <w:r>
        <w:rPr>
          <w:rFonts w:ascii="Times New Roman" w:hAnsi="Times New Roman"/>
          <w:color w:val="000000"/>
          <w:sz w:val="24"/>
        </w:rPr>
        <w:t>4. Internship project</w:t>
      </w:r>
    </w:p>
    <w:p>
      <w:pPr>
        <w:pStyle w:val="Heading2"/>
        <w:widowControl/>
        <w:spacing w:line="480" w:lineRule="auto" w:before="0" w:after="0"/>
      </w:pPr>
      <w:r>
        <w:rPr>
          <w:rFonts w:ascii="Times New Roman" w:hAnsi="Times New Roman"/>
          <w:color w:val="000000"/>
          <w:sz w:val="24"/>
        </w:rPr>
        <w:t>4.1 Project objective and scope</w:t>
      </w:r>
    </w:p>
    <w:p>
      <w:pPr>
        <w:widowControl/>
        <w:spacing w:line="480" w:lineRule="auto" w:before="0" w:after="0"/>
      </w:pPr>
      <w:r>
        <w:rPr>
          <w:rFonts w:ascii="Times New Roman" w:hAnsi="Times New Roman"/>
          <w:color w:val="000000"/>
          <w:sz w:val="24"/>
        </w:rPr>
        <w:t>Model1 aimed to detect image-level AI evidence across a wider range of real and generated photographs while preserving detection of AI images already caught by a reference model. Model2 investigated localization of AI edits with ground-truth masks. The practical deliverable was a local student demonstration with clear uncertainty handling, backed by reproducible research records.</w:t>
      </w:r>
    </w:p>
    <w:p>
      <w:pPr>
        <w:widowControl/>
        <w:spacing w:line="480" w:lineRule="auto" w:before="0" w:after="0"/>
      </w:pPr>
      <w:r>
        <w:rPr>
          <w:rFonts w:ascii="Times New Roman" w:hAnsi="Times New Roman"/>
          <w:color w:val="000000"/>
          <w:sz w:val="24"/>
        </w:rPr>
        <w:t>The scope included source auditing, training and comparison of candidate models, original-versus-processed evaluation, software validation and readable outputs. It excluded certification of authenticity, unrestricted commercial deployment and a guarantee against all future generators. Classical splicing, generative editing and full-image generation were not treated as interchangeable labels.</w:t>
      </w:r>
    </w:p>
    <w:p>
      <w:pPr>
        <w:pStyle w:val="Heading2"/>
        <w:widowControl/>
        <w:spacing w:line="480" w:lineRule="auto" w:before="0" w:after="0"/>
      </w:pPr>
      <w:r>
        <w:rPr>
          <w:rFonts w:ascii="Times New Roman" w:hAnsi="Times New Roman"/>
          <w:color w:val="000000"/>
          <w:sz w:val="24"/>
        </w:rPr>
        <w:t>4.2 My responsibilities</w:t>
      </w:r>
    </w:p>
    <w:p>
      <w:pPr>
        <w:widowControl/>
        <w:spacing w:line="480" w:lineRule="auto" w:before="0" w:after="0"/>
      </w:pPr>
      <w:r>
        <w:rPr>
          <w:rFonts w:ascii="Times New Roman" w:hAnsi="Times New Roman"/>
          <w:color w:val="000000"/>
          <w:sz w:val="24"/>
        </w:rPr>
        <w:t>My project responsibilities covered defining the objectives, directing the experiment sequence, organizing the research material and reviewing the recorded results. The development process used AI coding assistance for implementation, analysis and documentation. Reproducible scripts, source checks and tests were used to verify outputs rather than treating generated explanations as evidence. The report distinguishes those engineering checks from proof that a model generalizes.</w:t>
      </w:r>
    </w:p>
    <w:p>
      <w:pPr>
        <w:widowControl/>
        <w:spacing w:line="480" w:lineRule="auto" w:before="0" w:after="0"/>
      </w:pPr>
      <w:r>
        <w:rPr>
          <w:rFonts w:ascii="Times New Roman" w:hAnsi="Times New Roman"/>
          <w:color w:val="000000"/>
          <w:sz w:val="24"/>
        </w:rPr>
        <w:t>I carried out the project individually. I consulted my supervisor and mentors when I needed guidance, but generally made the project decisions myself. They explained evaluation concepts such as true positives and false negatives. Their role was advisory rather than shared implementation. My work covered dataset acquisition and admission records, label mapping, duplicate and ancestry checks, model experiments, API and interface development, and maintenance of PLAN.md, HISTORY.md, ml/EXPERIMENTS.md and DATASETS.md. Public pretrained encoders and external datasets are acknowledged separately from the project-owned adaptation and application code.</w:t>
      </w:r>
    </w:p>
    <w:p>
      <w:pPr>
        <w:pStyle w:val="Heading2"/>
        <w:widowControl/>
        <w:spacing w:line="480" w:lineRule="auto" w:before="0" w:after="0"/>
      </w:pPr>
      <w:r>
        <w:rPr>
          <w:rFonts w:ascii="Times New Roman" w:hAnsi="Times New Roman"/>
          <w:color w:val="000000"/>
          <w:sz w:val="24"/>
        </w:rPr>
        <w:t>4.3 Methodology and tools</w:t>
      </w:r>
    </w:p>
    <w:p>
      <w:pPr>
        <w:widowControl/>
        <w:spacing w:line="480" w:lineRule="auto" w:before="0" w:after="0"/>
      </w:pPr>
      <w:r>
        <w:rPr>
          <w:rFonts w:ascii="Times New Roman" w:hAnsi="Times New Roman"/>
          <w:color w:val="000000"/>
          <w:sz w:val="24"/>
        </w:rPr>
        <w:t>The workflow became more disciplined as problems emerged. Before a later experiment, the plan stated the question, data and acceptance rules. After the run, the experiment log recorded results and failures, and the history explained the decision. The dataset register recorded what was acquired and why it could be used. For example, correcting reversed labels required rerunning affected experiments and withdrawing an earlier conclusion. These records show how a result changed the next step; they are not simply a collection of successful scores.</w:t>
      </w:r>
    </w:p>
    <w:p>
      <w:pPr>
        <w:widowControl/>
        <w:spacing w:line="480" w:lineRule="auto" w:before="0" w:after="0"/>
      </w:pPr>
      <w:r>
        <w:rPr>
          <w:rFonts w:ascii="Times New Roman" w:hAnsi="Times New Roman"/>
          <w:color w:val="000000"/>
          <w:sz w:val="24"/>
        </w:rPr>
        <w:t>Training data taught the model. Calibration data helped choose the score threshold. Development data revealed weaknesses and guided further changes. Final evaluation required data that had not influenced these decisions. Repeatedly checking the same collection makes it development evidence, even when each new run has fixed settings. The main error measures were AI detection rate and false alerts on real photographs. AUC measured ranking across thresholds; it did not establish that a particular decision rule was safe.</w:t>
      </w:r>
    </w:p>
    <w:p>
      <w:pPr>
        <w:widowControl/>
        <w:spacing w:line="480" w:lineRule="auto" w:before="0" w:after="0"/>
      </w:pPr>
      <w:r>
        <w:rPr>
          <w:rFonts w:ascii="Times New Roman" w:hAnsi="Times New Roman"/>
          <w:color w:val="000000"/>
          <w:sz w:val="24"/>
        </w:rPr>
        <w:t>Python, PyTorch, NumPy, SciPy and scikit-learn supported modelling and analysis. The local interface used React and TypeScript with a FastAPI inference service. Git preserved implementation history, while automated Python and web checks supported reproducibility. Model artifacts and important input records were bound to cryptographic hashes. Table 1 distinguishes these components by purpose.</w:t>
      </w:r>
    </w:p>
    <w:p>
      <w:pPr>
        <w:pStyle w:val="Caption"/>
        <w:keepNext/>
        <w:widowControl/>
        <w:spacing w:line="480" w:lineRule="auto" w:before="0" w:after="0"/>
        <w:jc w:val="center"/>
      </w:pPr>
      <w:r>
        <w:rPr>
          <w:rFonts w:ascii="Times New Roman" w:hAnsi="Times New Roman"/>
          <w:color w:val="000000"/>
          <w:sz w:val="24"/>
        </w:rPr>
        <w:t>Table 1. Main tools and their roles in the project.</w:t>
      </w:r>
    </w:p>
    <w:tbl>
      <w:tblPr>
        <w:tblW w:type="auto" w:w="0"/>
        <w:jc w:val="center"/>
        <w:tblLayout w:type="fixed"/>
        <w:tblLook w:firstColumn="1" w:firstRow="1" w:lastColumn="0" w:lastRow="0" w:noHBand="0" w:noVBand="1" w:val="04A0"/>
      </w:tblPr>
      <w:tblGrid>
        <w:gridCol w:w="3024"/>
        <w:gridCol w:w="6005"/>
      </w:tblGrid>
      <w:tr>
        <w:trPr>
          <w:tblHeader/>
          <w:cantSplit/>
        </w:trPr>
        <w:tc>
          <w:tcPr>
            <w:tcW w:type="dxa" w:w="3024"/>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Component</w:t>
            </w:r>
          </w:p>
        </w:tc>
        <w:tc>
          <w:tcPr>
            <w:tcW w:type="dxa" w:w="6005"/>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Purpose</w:t>
            </w:r>
          </w:p>
        </w:tc>
      </w:tr>
      <w:tr>
        <w:trPr>
          <w:cantSplit/>
        </w:trPr>
        <w:tc>
          <w:tcPr>
            <w:tcW w:type="dxa" w:w="30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PyTorch and pretrained encoders</w:t>
            </w:r>
          </w:p>
        </w:tc>
        <w:tc>
          <w:tcPr>
            <w:tcW w:type="dxa" w:w="600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Visual features and learned adaptation</w:t>
            </w:r>
          </w:p>
        </w:tc>
      </w:tr>
      <w:tr>
        <w:trPr>
          <w:cantSplit/>
        </w:trPr>
        <w:tc>
          <w:tcPr>
            <w:tcW w:type="dxa" w:w="30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NumPy, SciPy and scikit-learn</w:t>
            </w:r>
          </w:p>
        </w:tc>
        <w:tc>
          <w:tcPr>
            <w:tcW w:type="dxa" w:w="600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Feature transforms, optimization and metrics</w:t>
            </w:r>
          </w:p>
        </w:tc>
      </w:tr>
      <w:tr>
        <w:trPr>
          <w:cantSplit/>
        </w:trPr>
        <w:tc>
          <w:tcPr>
            <w:tcW w:type="dxa" w:w="30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FastAPI</w:t>
            </w:r>
          </w:p>
        </w:tc>
        <w:tc>
          <w:tcPr>
            <w:tcW w:type="dxa" w:w="600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Validated local inference requests</w:t>
            </w:r>
          </w:p>
        </w:tc>
      </w:tr>
      <w:tr>
        <w:trPr>
          <w:cantSplit/>
        </w:trPr>
        <w:tc>
          <w:tcPr>
            <w:tcW w:type="dxa" w:w="30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React and TypeScript</w:t>
            </w:r>
          </w:p>
        </w:tc>
        <w:tc>
          <w:tcPr>
            <w:tcW w:type="dxa" w:w="600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Uploads and understandable result display</w:t>
            </w:r>
          </w:p>
        </w:tc>
      </w:tr>
      <w:tr>
        <w:trPr>
          <w:cantSplit/>
        </w:trPr>
        <w:tc>
          <w:tcPr>
            <w:tcW w:type="dxa" w:w="3024"/>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Git and GitHub Actions</w:t>
            </w:r>
          </w:p>
        </w:tc>
        <w:tc>
          <w:tcPr>
            <w:tcW w:type="dxa" w:w="6005"/>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Version history and automated checks</w:t>
            </w:r>
          </w:p>
        </w:tc>
      </w:tr>
    </w:tbl>
    <w:p>
      <w:pPr>
        <w:pStyle w:val="Heading2"/>
        <w:widowControl/>
        <w:spacing w:line="480" w:lineRule="auto" w:before="0" w:after="0"/>
      </w:pPr>
      <w:r>
        <w:rPr>
          <w:rFonts w:ascii="Times New Roman" w:hAnsi="Times New Roman"/>
          <w:color w:val="000000"/>
          <w:sz w:val="24"/>
        </w:rPr>
        <w:t>4.4 Expected outcomes and deliverables</w:t>
      </w:r>
    </w:p>
    <w:p>
      <w:pPr>
        <w:widowControl/>
        <w:spacing w:line="480" w:lineRule="auto" w:before="0" w:after="0"/>
      </w:pPr>
      <w:r>
        <w:rPr>
          <w:rFonts w:ascii="Times New Roman" w:hAnsi="Times New Roman"/>
          <w:color w:val="000000"/>
          <w:sz w:val="24"/>
        </w:rPr>
        <w:t>The intended outcome was a demonstrable image-screening workflow supported by traceable measurements. Deliverables include trained research artifacts, command-line experiments, a local web demo, dataset provenance records and aggregate evidence files. Model2 contributes an experimental localization evaluator and controlled tests. A production-ready universal detector was an aspiration, not a completed deliverable.</w:t>
      </w:r>
    </w:p>
    <w:p>
      <w:pPr>
        <w:pStyle w:val="Heading2"/>
        <w:widowControl/>
        <w:spacing w:line="480" w:lineRule="auto" w:before="0" w:after="0"/>
      </w:pPr>
      <w:r>
        <w:rPr>
          <w:rFonts w:ascii="Times New Roman" w:hAnsi="Times New Roman"/>
          <w:color w:val="000000"/>
          <w:sz w:val="24"/>
        </w:rPr>
        <w:t>4.5 Project details</w:t>
      </w:r>
    </w:p>
    <w:p>
      <w:pPr>
        <w:pStyle w:val="Heading3"/>
        <w:widowControl/>
        <w:spacing w:line="480" w:lineRule="auto" w:before="0" w:after="0"/>
      </w:pPr>
      <w:r>
        <w:rPr>
          <w:rFonts w:ascii="Times New Roman" w:hAnsi="Times New Roman"/>
          <w:color w:val="000000"/>
          <w:sz w:val="24"/>
        </w:rPr>
        <w:t>4.5.1 Early models and the first transfer failures</w:t>
      </w:r>
    </w:p>
    <w:p>
      <w:pPr>
        <w:widowControl/>
        <w:spacing w:line="480" w:lineRule="auto" w:before="0" w:after="0"/>
      </w:pPr>
      <w:r>
        <w:rPr>
          <w:rFonts w:ascii="Times New Roman" w:hAnsi="Times New Roman"/>
          <w:color w:val="000000"/>
          <w:sz w:val="24"/>
        </w:rPr>
        <w:t>The first phase compared a small CNN, classifiers on frozen embeddings and a pretrained ResNet-18. On the familiar CIFAKE test, the ResNet result improved to 97.66%, yet its accuracy on the 995-image external collection fell to 25.2%. A control that reproduced the training resolution bottleneck recovered much of the loss. This showed that a stronger architecture could still fail when image preparation changed (Keleş, 2026, E1–E6).</w:t>
      </w:r>
    </w:p>
    <w:p>
      <w:pPr>
        <w:widowControl/>
        <w:spacing w:line="480" w:lineRule="auto" w:before="0" w:after="0"/>
      </w:pPr>
      <w:r>
        <w:rPr>
          <w:rFonts w:ascii="Times New Roman" w:hAnsi="Times New Roman"/>
          <w:color w:val="000000"/>
          <w:sz w:val="24"/>
        </w:rPr>
        <w:t>Later experiments used native-resolution data, image statistics and tile-based features. The goal was to retain fine detail without allowing dimensions or processing history to dominate the decision. Some specialist methods helped particular sources but harmed others. Simple averaging of model scores did not supply a consistently better detector. These comparisons redirected the work toward source coverage and evaluation design rather than selecting the most impressive isolated score.</w:t>
      </w:r>
    </w:p>
    <w:p>
      <w:pPr>
        <w:widowControl/>
        <w:spacing w:line="480" w:lineRule="auto" w:before="0" w:after="0"/>
      </w:pPr>
      <w:r>
        <w:rPr>
          <w:rFonts w:ascii="Times New Roman" w:hAnsi="Times New Roman"/>
          <w:color w:val="000000"/>
          <w:sz w:val="24"/>
        </w:rPr>
        <w:t>The early conclusions also required correction. Fixed-size crops do not automatically make a biased dataset safe, and a plausible physical explanation does not prove what a learned model uses. Later notes explicitly qualified the original camera-noise and preprocessing assumptions. The report follows those corrections rather than repeating the strongest early wording.</w:t>
      </w:r>
    </w:p>
    <w:p>
      <w:pPr>
        <w:widowControl/>
        <w:spacing w:line="480" w:lineRule="auto" w:before="0" w:after="0"/>
      </w:pPr>
      <w:r>
        <w:rPr>
          <w:rFonts w:ascii="Times New Roman" w:hAnsi="Times New Roman"/>
          <w:color w:val="000000"/>
          <w:sz w:val="24"/>
        </w:rPr>
        <w:t>The next phase compared the project-trained E20 tile model with frozen Community-Forensics and B-Free detectors. External representations improved some results, but each still produced severe false alerts on particular real-image sources. The E26 comparison used a union of source-calibrated alerts, while later modern-generator probes exposed remaining blind spots. E31 and E32 then showed that strong internal results could collapse on new real-image sources. These stages explain why the project continued beyond its first working demo (Keleş, 2026, E20–E32).</w:t>
      </w:r>
    </w:p>
    <w:p>
      <w:pPr>
        <w:widowControl/>
        <w:spacing w:line="480" w:lineRule="auto" w:before="0" w:after="0"/>
      </w:pPr>
      <w:r>
        <w:rPr>
          <w:rFonts w:ascii="Times New Roman" w:hAnsi="Times New Roman"/>
          <w:color w:val="000000"/>
          <w:sz w:val="24"/>
        </w:rPr>
        <w:t>Threshold changes and more balanced training sources did not consistently solve transfer failures. E42 still failed a larger RR evaluation covering 16,953 original images and 50,858 linked versions. Its successor, E43, improved on familiar RR data but struggled with reconstructed images. Combining specialist detectors then exposed two opposing problems: false alerts on real photographs and missed GAN-generated images. The next phase therefore aimed to correct real-photo errors while retaining AI detections already made by the reference (Keleş, 2026, E33–E50).</w:t>
      </w:r>
    </w:p>
    <w:p>
      <w:pPr>
        <w:pStyle w:val="Heading3"/>
        <w:widowControl/>
        <w:spacing w:line="480" w:lineRule="auto" w:before="0" w:after="0"/>
      </w:pPr>
      <w:r>
        <w:rPr>
          <w:rFonts w:ascii="Times New Roman" w:hAnsi="Times New Roman"/>
          <w:color w:val="000000"/>
          <w:sz w:val="24"/>
        </w:rPr>
        <w:t>4.5.2 Data integrity and corrected conclusions</w:t>
      </w:r>
    </w:p>
    <w:p>
      <w:pPr>
        <w:widowControl/>
        <w:spacing w:line="480" w:lineRule="auto" w:before="0" w:after="0"/>
      </w:pPr>
      <w:r>
        <w:rPr>
          <w:rFonts w:ascii="Times New Roman" w:hAnsi="Times New Roman"/>
          <w:color w:val="000000"/>
          <w:sz w:val="24"/>
        </w:rPr>
        <w:t>A major audit found that two source datasets used the opposite numeric label convention from the project. PixelProof defines 0 as real and 1 as AI, but raw source labels had entered a shared pool without translation. The error affected several earlier experiments. The remedy was an explicit source-to-project label mapping, checks against declared label names, rebuilt indices and reruns of affected experiments (Keleş, 2026, E19b–E19c).</w:t>
      </w:r>
    </w:p>
    <w:p>
      <w:pPr>
        <w:widowControl/>
        <w:spacing w:line="480" w:lineRule="auto" w:before="0" w:after="0"/>
      </w:pPr>
      <w:r>
        <w:rPr>
          <w:rFonts w:ascii="Times New Roman" w:hAnsi="Times New Roman"/>
          <w:color w:val="000000"/>
          <w:sz w:val="24"/>
        </w:rPr>
        <w:t>One consequence was especially instructive: a DINOv2 result previously interpreted as near chance on Defactify changed from AUC 0.480 to 0.764 after label correction. The original explanation for failure was therefore withdrawn. This was a data-semantics error, not an architectural discovery. The record preserves the mistake and the correction so later conclusions do not silently inherit invalid evidence.</w:t>
      </w:r>
    </w:p>
    <w:p>
      <w:pPr>
        <w:widowControl/>
        <w:spacing w:line="480" w:lineRule="auto" w:before="0" w:after="0"/>
      </w:pPr>
      <w:r>
        <w:rPr>
          <w:rFonts w:ascii="Times New Roman" w:hAnsi="Times New Roman"/>
          <w:color w:val="000000"/>
          <w:sz w:val="24"/>
        </w:rPr>
        <w:t>A separate E27 audit found that a threshold-selection procedure could consult evaluation data. The corrected procedure used only calibration data before evaluation. The revised candidate then failed its admission requirement and was removed from the serving path. These corrections establish why the provenance of a score matters as much as its size.</w:t>
      </w:r>
    </w:p>
    <w:p>
      <w:pPr>
        <w:pStyle w:val="Heading3"/>
        <w:widowControl/>
        <w:spacing w:line="480" w:lineRule="auto" w:before="0" w:after="0"/>
      </w:pPr>
      <w:r>
        <w:rPr>
          <w:rFonts w:ascii="Times New Roman" w:hAnsi="Times New Roman"/>
          <w:color w:val="000000"/>
          <w:sz w:val="24"/>
        </w:rPr>
        <w:t>4.5.3 Data roles and processing conditions</w:t>
      </w:r>
    </w:p>
    <w:p>
      <w:pPr>
        <w:widowControl/>
        <w:spacing w:line="480" w:lineRule="auto" w:before="0" w:after="0"/>
      </w:pPr>
      <w:r>
        <w:rPr>
          <w:rFonts w:ascii="Times New Roman" w:hAnsi="Times New Roman"/>
          <w:color w:val="000000"/>
          <w:sz w:val="24"/>
        </w:rPr>
        <w:t>The dataset register recorded each source, its licence, intended use and integrity checks. Downloading a collection did not make it training data. The audit checked identical files, similar images and known shared scenes or prompts. Where the original source could not be established, the report keeps that uncertainty. A parent image means the original observation before this project creates resized or compressed versions of it.</w:t>
      </w:r>
    </w:p>
    <w:p>
      <w:pPr>
        <w:widowControl/>
        <w:spacing w:line="480" w:lineRule="auto" w:before="0" w:after="0"/>
      </w:pPr>
      <w:r>
        <w:rPr>
          <w:rFonts w:ascii="Times New Roman" w:hAnsi="Times New Roman"/>
          <w:color w:val="000000"/>
          <w:sz w:val="24"/>
        </w:rPr>
        <w:t>E92 used 12,269 training parent images, comprising 7,674 real and 4,595 AI examples. Four processing conditions produced 49,076 views. Later research expanded the real population to 7,930, giving 12,525 parents and 50,100 views. These later counts must not be attributed to the earlier E92 fit. Table 2 separates the main populations (Keleş, 2026, E92 and E139).</w:t>
      </w:r>
    </w:p>
    <w:p>
      <w:pPr>
        <w:pStyle w:val="Caption"/>
        <w:keepNext/>
        <w:widowControl/>
        <w:spacing w:line="480" w:lineRule="auto" w:before="0" w:after="0"/>
        <w:jc w:val="center"/>
      </w:pPr>
      <w:r>
        <w:rPr>
          <w:rFonts w:ascii="Times New Roman" w:hAnsi="Times New Roman"/>
          <w:color w:val="000000"/>
          <w:sz w:val="24"/>
        </w:rPr>
        <w:t>Table 2. Distinct populations and their permissible interpretation.</w:t>
      </w:r>
    </w:p>
    <w:tbl>
      <w:tblPr>
        <w:tblW w:type="auto" w:w="0"/>
        <w:jc w:val="center"/>
        <w:tblLayout w:type="fixed"/>
        <w:tblLook w:firstColumn="1" w:firstRow="1" w:lastColumn="0" w:lastRow="0" w:noHBand="0" w:noVBand="1" w:val="04A0"/>
      </w:tblPr>
      <w:tblGrid>
        <w:gridCol w:w="3456"/>
        <w:gridCol w:w="1152"/>
        <w:gridCol w:w="1584"/>
        <w:gridCol w:w="2837"/>
      </w:tblGrid>
      <w:tr>
        <w:trPr>
          <w:tblHeader/>
          <w:cantSplit/>
        </w:trPr>
        <w:tc>
          <w:tcPr>
            <w:tcW w:type="dxa" w:w="345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Population</w:t>
            </w:r>
          </w:p>
        </w:tc>
        <w:tc>
          <w:tcPr>
            <w:tcW w:type="dxa" w:w="1152"/>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Parents</w:t>
            </w:r>
          </w:p>
        </w:tc>
        <w:tc>
          <w:tcPr>
            <w:tcW w:type="dxa" w:w="1584"/>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Views</w:t>
            </w:r>
          </w:p>
        </w:tc>
        <w:tc>
          <w:tcPr>
            <w:tcW w:type="dxa" w:w="2837"/>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Role</w:t>
            </w:r>
          </w:p>
        </w:tc>
      </w:tr>
      <w:tr>
        <w:trPr>
          <w:cantSplit/>
        </w:trPr>
        <w:tc>
          <w:tcPr>
            <w:tcW w:type="dxa" w:w="345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E92 training</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12,269</w:t>
            </w:r>
          </w:p>
        </w:tc>
        <w:tc>
          <w:tcPr>
            <w:tcW w:type="dxa" w:w="158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49,076</w:t>
            </w:r>
          </w:p>
        </w:tc>
        <w:tc>
          <w:tcPr>
            <w:tcW w:type="dxa" w:w="283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Training</w:t>
            </w:r>
          </w:p>
        </w:tc>
      </w:tr>
      <w:tr>
        <w:trPr>
          <w:cantSplit/>
        </w:trPr>
        <w:tc>
          <w:tcPr>
            <w:tcW w:type="dxa" w:w="345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E66 comparison</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320</w:t>
            </w:r>
          </w:p>
        </w:tc>
        <w:tc>
          <w:tcPr>
            <w:tcW w:type="dxa" w:w="158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640</w:t>
            </w:r>
          </w:p>
        </w:tc>
        <w:tc>
          <w:tcPr>
            <w:tcW w:type="dxa" w:w="283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Reused development</w:t>
            </w:r>
          </w:p>
        </w:tc>
      </w:tr>
      <w:tr>
        <w:trPr>
          <w:cantSplit/>
        </w:trPr>
        <w:tc>
          <w:tcPr>
            <w:tcW w:type="dxa" w:w="345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Later source-fold research</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12,525</w:t>
            </w:r>
          </w:p>
        </w:tc>
        <w:tc>
          <w:tcPr>
            <w:tcW w:type="dxa" w:w="158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50,100</w:t>
            </w:r>
          </w:p>
        </w:tc>
        <w:tc>
          <w:tcPr>
            <w:tcW w:type="dxa" w:w="283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Internal diagnostics</w:t>
            </w:r>
          </w:p>
        </w:tc>
      </w:tr>
      <w:tr>
        <w:trPr>
          <w:cantSplit/>
        </w:trPr>
        <w:tc>
          <w:tcPr>
            <w:tcW w:type="dxa" w:w="345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Model2 controlled pilot</w:t>
            </w:r>
          </w:p>
        </w:tc>
        <w:tc>
          <w:tcPr>
            <w:tcW w:type="dxa" w:w="1152"/>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16</w:t>
            </w:r>
          </w:p>
        </w:tc>
        <w:tc>
          <w:tcPr>
            <w:tcW w:type="dxa" w:w="1584"/>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192 in E135</w:t>
            </w:r>
          </w:p>
        </w:tc>
        <w:tc>
          <w:tcPr>
            <w:tcW w:type="dxa" w:w="2837"/>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Adaptive development</w:t>
            </w:r>
          </w:p>
        </w:tc>
      </w:tr>
    </w:tbl>
    <w:p>
      <w:pPr>
        <w:widowControl/>
        <w:spacing w:line="480" w:lineRule="auto" w:before="0" w:after="0"/>
      </w:pPr>
      <w:r>
        <w:rPr>
          <w:rFonts w:ascii="Times New Roman" w:hAnsi="Times New Roman"/>
          <w:color w:val="000000"/>
          <w:sz w:val="24"/>
        </w:rPr>
        <w:t>The four training conditions were clean input, an assigned transport transformation, JPEG quality 75 and a social-style transformation that limited the longest side to 1080 pixels before JPEG quality 75 encoding. The development comparison used original and social-style views of the same 320 parents. More transformed views improve coverage of a processing question, but do not create more independent photographs.</w:t>
      </w:r>
    </w:p>
    <w:p>
      <w:pPr>
        <w:widowControl/>
        <w:spacing w:line="480" w:lineRule="auto" w:before="0" w:after="0"/>
      </w:pPr>
      <w:r>
        <w:rPr>
          <w:rFonts w:ascii="Times New Roman" w:hAnsi="Times New Roman"/>
          <w:color w:val="000000"/>
          <w:sz w:val="24"/>
        </w:rPr>
        <w:t>An earlier, larger E49-C test contained 1,000 real and 1,000 AI parent images. E43 falsely flagged 391 real originals and 490 processed copies, while detecting 943 and 955 AI images respectively. It passed 11 of 20 checks. After inspection, these results could guide research but no longer serve as an untouched final test. E92 was not evaluated on this collection because it failed the earlier acceptance stage. Its later 20/20 development result therefore cannot be reported as passing E49-C (Keleş, 2026, E49 and E92).</w:t>
      </w:r>
    </w:p>
    <w:p>
      <w:pPr>
        <w:pStyle w:val="Heading3"/>
        <w:widowControl/>
        <w:spacing w:line="480" w:lineRule="auto" w:before="0" w:after="0"/>
      </w:pPr>
      <w:r>
        <w:rPr>
          <w:rFonts w:ascii="Times New Roman" w:hAnsi="Times New Roman"/>
          <w:color w:val="000000"/>
          <w:sz w:val="24"/>
        </w:rPr>
        <w:t>4.5.4 E92 representation and learning</w:t>
      </w:r>
    </w:p>
    <w:p>
      <w:pPr>
        <w:widowControl/>
        <w:spacing w:line="480" w:lineRule="auto" w:before="0" w:after="0"/>
      </w:pPr>
      <w:r>
        <w:rPr>
          <w:rFonts w:ascii="Times New Roman" w:hAnsi="Times New Roman"/>
          <w:color w:val="000000"/>
          <w:sz w:val="24"/>
        </w:rPr>
        <w:t>The route to E92 involved several rejected alternatives. Broader real-image coverage reduced false alerts but sometimes lost AI detections. Fine-tuning, grayscale input and small score corrections did not meet the full requirements. Later work added CLIP and DEAR features, a learned representation, and processing conditions closer to web use. E83 and E86 each passed 17 of 20 development checks. Additional training coverage preceded E92, although this sequence alone does not prove which added source caused the improvement (Keleş, 2026, E51–E92).</w:t>
      </w:r>
    </w:p>
    <w:p>
      <w:pPr>
        <w:widowControl/>
        <w:spacing w:line="480" w:lineRule="auto" w:before="0" w:after="0"/>
      </w:pPr>
      <w:r>
        <w:rPr>
          <w:rFonts w:ascii="Times New Roman" w:hAnsi="Times New Roman"/>
          <w:color w:val="000000"/>
          <w:sz w:val="24"/>
        </w:rPr>
        <w:t>E92 uses pretrained DINOv2, CLIP and DEAR components to turn images into numerical features. Their weights stay fixed. Project-trained components then learn how to use those features, and a correction adjusts the reference score. The correction was constrained to protect AI responses on training examples while reducing errors on difficult real-image sources. This protection had to be checked again on development images; a training constraint alone could not guarantee it.</w:t>
      </w:r>
    </w:p>
    <w:p>
      <w:pPr>
        <w:widowControl/>
        <w:spacing w:line="480" w:lineRule="auto" w:before="0" w:after="0"/>
      </w:pPr>
      <w:r>
        <w:rPr>
          <w:rFonts w:ascii="Times New Roman" w:hAnsi="Times New Roman"/>
          <w:color w:val="000000"/>
          <w:sz w:val="24"/>
        </w:rPr>
        <w:t>Figure 2 shows the application-level information flow. It deliberately separates frozen pretrained components, project adaptation and the interface decision. The browser receives a validated response rather than fitting a model. The local service verifies required artifacts and uses the original image plus a fixed processed view. No file name or camera declaration is an automatic authenticity rule.</w:t>
      </w:r>
    </w:p>
    <w:p>
      <w:pPr>
        <w:keepNext/>
        <w:spacing w:line="240" w:lineRule="auto"/>
        <w:jc w:val="center"/>
      </w:pPr>
      <w:r>
        <w:rPr>
          <w:rFonts w:ascii="Times New Roman" w:hAnsi="Times New Roman"/>
          <w:color w:val="000000"/>
          <w:sz w:val="24"/>
        </w:rPr>
        <w:drawing>
          <wp:inline xmlns:a="http://schemas.openxmlformats.org/drawingml/2006/main" xmlns:pic="http://schemas.openxmlformats.org/drawingml/2006/picture">
            <wp:extent cx="5733288" cy="1339215"/>
            <wp:docPr id="2" name="Picture 2"/>
            <wp:cNvGraphicFramePr>
              <a:graphicFrameLocks noChangeAspect="1"/>
            </wp:cNvGraphicFramePr>
            <a:graphic>
              <a:graphicData uri="http://schemas.openxmlformats.org/drawingml/2006/picture">
                <pic:pic>
                  <pic:nvPicPr>
                    <pic:cNvPr id="0" name="pipeline.png"/>
                    <pic:cNvPicPr/>
                  </pic:nvPicPr>
                  <pic:blipFill>
                    <a:blip r:embed="rId12"/>
                    <a:stretch>
                      <a:fillRect/>
                    </a:stretch>
                  </pic:blipFill>
                  <pic:spPr>
                    <a:xfrm>
                      <a:off x="0" y="0"/>
                      <a:ext cx="5733288" cy="1339215"/>
                    </a:xfrm>
                    <a:prstGeom prst="rect"/>
                  </pic:spPr>
                </pic:pic>
              </a:graphicData>
            </a:graphic>
          </wp:inline>
        </w:drawing>
      </w:r>
    </w:p>
    <w:p>
      <w:pPr>
        <w:pStyle w:val="Caption"/>
        <w:keepNext w:val="0"/>
        <w:keepLines/>
        <w:widowControl/>
        <w:spacing w:line="480" w:lineRule="auto" w:before="0" w:after="0"/>
        <w:jc w:val="center"/>
      </w:pPr>
      <w:r>
        <w:rPr>
          <w:rFonts w:ascii="Times New Roman" w:hAnsi="Times New Roman"/>
          <w:color w:val="000000"/>
          <w:sz w:val="24"/>
        </w:rPr>
        <w:t>Figure 2. PixelProof inference flow and separation of model evidence from display policy.</w:t>
      </w:r>
    </w:p>
    <w:p>
      <w:pPr>
        <w:widowControl/>
        <w:spacing w:line="480" w:lineRule="auto" w:before="0" w:after="0"/>
      </w:pPr>
      <w:r>
        <w:rPr>
          <w:rFonts w:ascii="Times New Roman" w:hAnsi="Times New Roman"/>
          <w:color w:val="000000"/>
          <w:sz w:val="24"/>
        </w:rPr>
        <w:t>This architecture is a composite research system. Referring to it as one downloadable universal model would conceal its dependencies, provenance limits and licensing conditions. E92 is the identifier of a frozen candidate, not a percentage score or a count of training epochs.</w:t>
      </w:r>
    </w:p>
    <w:p>
      <w:pPr>
        <w:pStyle w:val="Heading3"/>
        <w:widowControl/>
        <w:spacing w:line="480" w:lineRule="auto" w:before="0" w:after="0"/>
      </w:pPr>
      <w:r>
        <w:rPr>
          <w:rFonts w:ascii="Times New Roman" w:hAnsi="Times New Roman"/>
          <w:color w:val="000000"/>
          <w:sz w:val="24"/>
        </w:rPr>
        <w:t>4.5.5 Development improvement and acceptance limits</w:t>
      </w:r>
    </w:p>
    <w:p>
      <w:pPr>
        <w:widowControl/>
        <w:spacing w:line="480" w:lineRule="auto" w:before="0" w:after="0"/>
      </w:pPr>
      <w:r>
        <w:rPr>
          <w:rFonts w:ascii="Times New Roman" w:hAnsi="Times New Roman"/>
          <w:color w:val="000000"/>
          <w:sz w:val="24"/>
        </w:rPr>
        <w:t>Figure 3 compares false alerts on exactly the same real development images. E92 reduced original-view false alerts from 68 of 160 for E43 to zero, and processed-view false alerts from 68 to 14. E86 was the preceding intermediate candidate. The comparison is paired and descriptive; it is not an independent estimate for all future photographs.</w:t>
      </w:r>
    </w:p>
    <w:p>
      <w:pPr>
        <w:keepNext/>
        <w:spacing w:line="240" w:lineRule="auto"/>
        <w:jc w:val="center"/>
      </w:pPr>
      <w:r>
        <w:rPr>
          <w:rFonts w:ascii="Times New Roman" w:hAnsi="Times New Roman"/>
          <w:color w:val="000000"/>
          <w:sz w:val="24"/>
        </w:rPr>
        <w:drawing>
          <wp:inline xmlns:a="http://schemas.openxmlformats.org/drawingml/2006/main" xmlns:pic="http://schemas.openxmlformats.org/drawingml/2006/picture">
            <wp:extent cx="5733288" cy="2408912"/>
            <wp:docPr id="3" name="Picture 3"/>
            <wp:cNvGraphicFramePr>
              <a:graphicFrameLocks noChangeAspect="1"/>
            </wp:cNvGraphicFramePr>
            <a:graphic>
              <a:graphicData uri="http://schemas.openxmlformats.org/drawingml/2006/picture">
                <pic:pic>
                  <pic:nvPicPr>
                    <pic:cNvPr id="0" name="false_alerts.png"/>
                    <pic:cNvPicPr/>
                  </pic:nvPicPr>
                  <pic:blipFill>
                    <a:blip r:embed="rId13"/>
                    <a:stretch>
                      <a:fillRect/>
                    </a:stretch>
                  </pic:blipFill>
                  <pic:spPr>
                    <a:xfrm>
                      <a:off x="0" y="0"/>
                      <a:ext cx="5733288" cy="2408912"/>
                    </a:xfrm>
                    <a:prstGeom prst="rect"/>
                  </pic:spPr>
                </pic:pic>
              </a:graphicData>
            </a:graphic>
          </wp:inline>
        </w:drawing>
      </w:r>
    </w:p>
    <w:p>
      <w:pPr>
        <w:pStyle w:val="Caption"/>
        <w:keepNext w:val="0"/>
        <w:keepLines/>
        <w:widowControl/>
        <w:spacing w:line="480" w:lineRule="auto" w:before="0" w:after="0"/>
        <w:jc w:val="center"/>
      </w:pPr>
      <w:r>
        <w:rPr>
          <w:rFonts w:ascii="Times New Roman" w:hAnsi="Times New Roman"/>
          <w:color w:val="000000"/>
          <w:sz w:val="24"/>
        </w:rPr>
        <w:t>Figure 3. Real-image false alerts on the reused development set, with 160 real images per condition.</w:t>
      </w:r>
    </w:p>
    <w:p>
      <w:pPr>
        <w:widowControl/>
        <w:spacing w:line="480" w:lineRule="auto" w:before="0" w:after="0"/>
      </w:pPr>
      <w:r>
        <w:rPr>
          <w:rFonts w:ascii="Times New Roman" w:hAnsi="Times New Roman"/>
          <w:color w:val="000000"/>
          <w:sz w:val="24"/>
        </w:rPr>
        <w:t>E92 detected 159 of 160 AI images in each condition. It passed ten numerical requirements for originals and the same ten for processed views. However, it newly missed one original AI image that E43 had caught. Other recovered AI images could not cancel that loss under the predeclared retention rule. Consequently, the complete acceptance contract failed despite the 20/20 numerical milestone.</w:t>
      </w:r>
    </w:p>
    <w:p>
      <w:pPr>
        <w:widowControl/>
        <w:spacing w:line="480" w:lineRule="auto" w:before="0" w:after="0"/>
      </w:pPr>
      <w:r>
        <w:rPr>
          <w:rFonts w:ascii="Times New Roman" w:hAnsi="Times New Roman"/>
          <w:color w:val="000000"/>
          <w:sz w:val="24"/>
        </w:rPr>
        <w:t>The development collection contains 160 real observations from only ten SIDD scenes and 160 AI images from two previously seen families. Repeated use influenced later research choices. The result therefore supports progress on this collection, while leaving adaptive selection bias and unseen-source reliability unresolved. Thirteen of the fourteen processed real false alerts concentrate in two scenes, which also shows why a pooled rate can conceal weaknesses.</w:t>
      </w:r>
    </w:p>
    <w:p>
      <w:pPr>
        <w:widowControl/>
        <w:spacing w:line="480" w:lineRule="auto" w:before="0" w:after="0"/>
      </w:pPr>
      <w:r>
        <w:rPr>
          <w:rFonts w:ascii="Times New Roman" w:hAnsi="Times New Roman"/>
          <w:color w:val="000000"/>
          <w:sz w:val="24"/>
        </w:rPr>
        <w:t>The later E102 candidate reduced processed-view real false alerts further, from 14 to 12 of 160, and retained every E92-detected AI image. Nevertheless, it still missed the same E43-detected original AI example and failed complete acceptance. It was not promoted, and its gallery and E49 evaluations were not opened. E92 therefore identifies the current demo version, not the lowest value ever recorded in a development table (Keleş, 2026, E102).</w:t>
      </w:r>
    </w:p>
    <w:p>
      <w:pPr>
        <w:pStyle w:val="Heading3"/>
        <w:widowControl/>
        <w:spacing w:line="480" w:lineRule="auto" w:before="0" w:after="0"/>
      </w:pPr>
      <w:r>
        <w:rPr>
          <w:rFonts w:ascii="Times New Roman" w:hAnsi="Times New Roman"/>
          <w:color w:val="000000"/>
          <w:sz w:val="24"/>
        </w:rPr>
        <w:t>4.5.6 Honest scores and the web demonstration</w:t>
      </w:r>
    </w:p>
    <w:p>
      <w:pPr>
        <w:widowControl/>
        <w:spacing w:line="480" w:lineRule="auto" w:before="0" w:after="0"/>
      </w:pPr>
      <w:r>
        <w:rPr>
          <w:rFonts w:ascii="Times New Roman" w:hAnsi="Times New Roman"/>
          <w:color w:val="000000"/>
          <w:sz w:val="24"/>
        </w:rPr>
        <w:t>The local demonstration reports AI evidence, no clear AI evidence or uncertainty. It does not certify a photograph as real. On the displayed 0–100 score scale, the upper threshold is about 7.94 and the lower threshold about 1.15. The upper threshold came from earlier E48 calibration with limits on real-photo false alerts. The lower one came from E49 analysis of already-used calibration and development data. Neither is a probability or a universal optimum. Exact values are preserved in the project records.</w:t>
      </w:r>
    </w:p>
    <w:p>
      <w:pPr>
        <w:widowControl/>
        <w:spacing w:line="480" w:lineRule="auto" w:before="0" w:after="0"/>
      </w:pPr>
      <w:r>
        <w:rPr>
          <w:rFonts w:ascii="Times New Roman" w:hAnsi="Times New Roman"/>
          <w:color w:val="000000"/>
          <w:sz w:val="24"/>
        </w:rPr>
        <w:t>An original score at or above the upper cut keeps an AI alert visible. If both E92 views are below the lower cut, the interface reports no clear signal. Other cases need uncertainty handling. An original AI alert with disagreement can carry a review warning. E43 supplies a separate advisory and no longer vetoes two low E92 scores. Thus the final paired display cannot be reconstructed from one displayed percentage or from an assumed 50% boundary.</w:t>
      </w:r>
    </w:p>
    <w:p>
      <w:pPr>
        <w:widowControl/>
        <w:spacing w:line="480" w:lineRule="auto" w:before="0" w:after="0"/>
      </w:pPr>
      <w:r>
        <w:rPr>
          <w:rFonts w:ascii="Times New Roman" w:hAnsi="Times New Roman"/>
          <w:color w:val="000000"/>
          <w:sz w:val="24"/>
        </w:rPr>
        <w:t>The final interface rule was also checked on the same 320 development images. Of 160 real images, 139 received no clear AI evidence and 21 remained uncertain; none received an AI alert. Of 160 AI images, 159 received an AI alert and one remained uncertain. These counts combine two views into one user result. Thus 14 processed-view false alerts do not mean 14 final AI warnings: a low original score can instead leave the result uncertain. These development counts cannot predict every future upload (Keleş, 2026, current-policy audit).</w:t>
      </w:r>
    </w:p>
    <w:p>
      <w:pPr>
        <w:widowControl/>
        <w:spacing w:line="480" w:lineRule="auto" w:before="0" w:after="0"/>
      </w:pPr>
      <w:r>
        <w:rPr>
          <w:rFonts w:ascii="Times New Roman" w:hAnsi="Times New Roman"/>
          <w:color w:val="000000"/>
          <w:sz w:val="24"/>
        </w:rPr>
        <w:t>The service rejects unsupported or oversized uploads and gives an explicit error when the model is unavailable. It checks the saved model files before loading them. Cancellation handling prevents a second heavy inference job from starting while an earlier one still runs. The browser checks the response format before showing a result. These repairs make the demo more dependable to use; they do not increase the model’s measured accuracy.</w:t>
      </w:r>
    </w:p>
    <w:p>
      <w:pPr>
        <w:pStyle w:val="Heading3"/>
        <w:widowControl/>
        <w:spacing w:line="480" w:lineRule="auto" w:before="0" w:after="0"/>
      </w:pPr>
      <w:r>
        <w:rPr>
          <w:rFonts w:ascii="Times New Roman" w:hAnsi="Times New Roman"/>
          <w:color w:val="000000"/>
          <w:sz w:val="24"/>
        </w:rPr>
        <w:t>4.5.7 Broader checks and rejected improvements</w:t>
      </w:r>
    </w:p>
    <w:p>
      <w:pPr>
        <w:widowControl/>
        <w:spacing w:line="480" w:lineRule="auto" w:before="0" w:after="0"/>
      </w:pPr>
      <w:r>
        <w:rPr>
          <w:rFonts w:ascii="Times New Roman" w:hAnsi="Times New Roman"/>
          <w:color w:val="000000"/>
          <w:sz w:val="24"/>
        </w:rPr>
        <w:t>The owner-gallery check found 9 false AI alerts among 206 distinct original real-image files, rising to 18 after social-style processing: 4.37% and 8.74%. The gallery mostly represents one phone and related scenes. It had already influenced earlier development and calibration decisions, so it is not an independent test. It nevertheless shows practical mistakes that the main development result could hide. Private photographs and individual file identifiers are excluded from this report (Keleş, 2026, E95).</w:t>
      </w:r>
    </w:p>
    <w:p>
      <w:pPr>
        <w:widowControl/>
        <w:spacing w:line="480" w:lineRule="auto" w:before="0" w:after="0"/>
      </w:pPr>
      <w:r>
        <w:rPr>
          <w:rFonts w:ascii="Times New Roman" w:hAnsi="Times New Roman"/>
          <w:color w:val="000000"/>
          <w:sz w:val="24"/>
        </w:rPr>
        <w:t>Later research compared fresh diagnostic heads using source-separated folds. E146 tested calibration on one source fold and evaluation on another. Three of six calibration assignments were feasible, but no assignment met the full evaluation conditions. These were separate diagnostic models, not changes to E92. The result rejects that tested calibration recipe rather than proving that all calibration is impossible.</w:t>
      </w:r>
    </w:p>
    <w:p>
      <w:pPr>
        <w:widowControl/>
        <w:spacing w:line="480" w:lineRule="auto" w:before="0" w:after="0"/>
      </w:pPr>
      <w:r>
        <w:rPr>
          <w:rFonts w:ascii="Times New Roman" w:hAnsi="Times New Roman"/>
          <w:color w:val="000000"/>
          <w:sz w:val="24"/>
        </w:rPr>
        <w:t>E148 found a processing imbalance in the existing training collection: known 224-pixel derivatives represented 29.18% of real images and 7.68% of AI images. Such differences are possible shortcuts, not evidence of a specific causal mechanism. E150B successfully extracted new source-pixel features for all 12,525 parents after a memory-safe implementation amendment.</w:t>
      </w:r>
    </w:p>
    <w:p>
      <w:pPr>
        <w:widowControl/>
        <w:spacing w:line="480" w:lineRule="auto" w:before="0" w:after="0"/>
      </w:pPr>
      <w:r>
        <w:rPr>
          <w:rFonts w:ascii="Times New Roman" w:hAnsi="Times New Roman"/>
          <w:color w:val="000000"/>
          <w:sz w:val="24"/>
        </w:rPr>
        <w:t>The added features slightly improved clean-image averages but reduced AI detection after all three tested processing conditions. In one JPEG75 comparison, detection fell from 75.73% to 74.15%. A follow-up analysis examined 131 newly missed AI views. The added residual feature term was the largest harmful score change in 94 cases. This helped locate a weakness, but did not prove that removing the term would fix it. The candidate was rejected (Keleş, 2026, E151–E152).</w:t>
      </w:r>
    </w:p>
    <w:p>
      <w:pPr>
        <w:widowControl/>
        <w:spacing w:line="480" w:lineRule="auto" w:before="0" w:after="0"/>
      </w:pPr>
      <w:r>
        <w:rPr>
          <w:rFonts w:ascii="Times New Roman" w:hAnsi="Times New Roman"/>
          <w:color w:val="000000"/>
          <w:sz w:val="24"/>
        </w:rPr>
        <w:t>The later training audit could form only three AI-bearing groups under the known source relationships. Some shared origins and prompts remained unknown. Another 300 AI images in MNW and 100 real images in HDR+ remained unscored, but they had not been approved together as a balanced, independent final test. Unused data are useful only if their coverage and independence answer the intended question (Keleş, 2026, E139–E146).</w:t>
      </w:r>
    </w:p>
    <w:p>
      <w:pPr>
        <w:pStyle w:val="Heading3"/>
        <w:widowControl/>
        <w:spacing w:line="480" w:lineRule="auto" w:before="0" w:after="0"/>
      </w:pPr>
      <w:r>
        <w:rPr>
          <w:rFonts w:ascii="Times New Roman" w:hAnsi="Times New Roman"/>
          <w:color w:val="000000"/>
          <w:sz w:val="24"/>
        </w:rPr>
        <w:t>4.5.8 Model2 localization and its limits</w:t>
      </w:r>
    </w:p>
    <w:p>
      <w:pPr>
        <w:widowControl/>
        <w:spacing w:line="480" w:lineRule="auto" w:before="0" w:after="0"/>
      </w:pPr>
      <w:r>
        <w:rPr>
          <w:rFonts w:ascii="Times New Roman" w:hAnsi="Times New Roman"/>
          <w:color w:val="000000"/>
          <w:sz w:val="24"/>
        </w:rPr>
        <w:t>Model2 compares predicted edit regions with reference masks and checks authentic images for false alarms. Early tests used the true mask size to choose the predicted area, which made their overlap scores misleading. In the later 120-image CocoGlide evaluation, a simple central-region baseline still outperformed the detector. This prompted tests with edits placed elsewhere. A separate audit also found shared COCO image origins, limiting claims of independent data (Keleş, 2026, E17, E107 and E115–E117).</w:t>
      </w:r>
    </w:p>
    <w:p>
      <w:pPr>
        <w:widowControl/>
        <w:spacing w:line="480" w:lineRule="auto" w:before="0" w:after="0"/>
      </w:pPr>
      <w:r>
        <w:rPr>
          <w:rFonts w:ascii="Times New Roman" w:hAnsi="Times New Roman"/>
          <w:color w:val="000000"/>
          <w:sz w:val="24"/>
        </w:rPr>
        <w:t>The controlled pilot used sixteen previously inspected images and one Stable Diffusion 1.5 editor. Moving edits reduced the earlier model’s pixel AUC from 0.742 to 0.566. Training on both placements partly recovered new-placement performance, but harmed original-placement performance and highlighted more authentic pixels incorrectly. Table 3 summarizes these trade-offs, with AUC rounded to two decimals (Keleş, 2026, E132–E135).</w:t>
      </w:r>
    </w:p>
    <w:p>
      <w:pPr>
        <w:pStyle w:val="Caption"/>
        <w:keepNext/>
        <w:widowControl/>
        <w:spacing w:line="480" w:lineRule="auto" w:before="0" w:after="0"/>
        <w:jc w:val="center"/>
      </w:pPr>
      <w:r>
        <w:rPr>
          <w:rFonts w:ascii="Times New Roman" w:hAnsi="Times New Roman"/>
          <w:color w:val="000000"/>
          <w:sz w:val="24"/>
        </w:rPr>
        <w:t>Table 3. Model2 placement sensitivity on sixteen reused parents, original-image condition.</w:t>
      </w:r>
    </w:p>
    <w:tbl>
      <w:tblPr>
        <w:tblW w:type="auto" w:w="0"/>
        <w:jc w:val="center"/>
        <w:tblLayout w:type="fixed"/>
        <w:tblLook w:firstColumn="1" w:firstRow="1" w:lastColumn="0" w:lastRow="0" w:noHBand="0" w:noVBand="1" w:val="04A0"/>
      </w:tblPr>
      <w:tblGrid>
        <w:gridCol w:w="4752"/>
        <w:gridCol w:w="2131"/>
        <w:gridCol w:w="2146"/>
      </w:tblGrid>
      <w:tr>
        <w:trPr>
          <w:tblHeader/>
          <w:cantSplit/>
        </w:trPr>
        <w:tc>
          <w:tcPr>
            <w:tcW w:type="dxa" w:w="4752"/>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Endpoint</w:t>
            </w:r>
          </w:p>
        </w:tc>
        <w:tc>
          <w:tcPr>
            <w:tcW w:type="dxa" w:w="2131"/>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Earlier head</w:t>
            </w:r>
          </w:p>
        </w:tc>
        <w:tc>
          <w:tcPr>
            <w:tcW w:type="dxa" w:w="214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Two-placement head</w:t>
            </w:r>
          </w:p>
        </w:tc>
      </w:tr>
      <w:tr>
        <w:trPr>
          <w:cantSplit/>
        </w:trPr>
        <w:tc>
          <w:tcPr>
            <w:tcW w:type="dxa" w:w="47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Original-placement pixel AUC</w:t>
            </w:r>
          </w:p>
        </w:tc>
        <w:tc>
          <w:tcPr>
            <w:tcW w:type="dxa" w:w="213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0.74</w:t>
            </w:r>
          </w:p>
        </w:tc>
        <w:tc>
          <w:tcPr>
            <w:tcW w:type="dxa" w:w="214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0.70</w:t>
            </w:r>
          </w:p>
        </w:tc>
      </w:tr>
      <w:tr>
        <w:trPr>
          <w:cantSplit/>
        </w:trPr>
        <w:tc>
          <w:tcPr>
            <w:tcW w:type="dxa" w:w="47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New-placement pixel AUC</w:t>
            </w:r>
          </w:p>
        </w:tc>
        <w:tc>
          <w:tcPr>
            <w:tcW w:type="dxa" w:w="213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0.57</w:t>
            </w:r>
          </w:p>
        </w:tc>
        <w:tc>
          <w:tcPr>
            <w:tcW w:type="dxa" w:w="214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0.64</w:t>
            </w:r>
          </w:p>
        </w:tc>
      </w:tr>
      <w:tr>
        <w:trPr>
          <w:cantSplit/>
        </w:trPr>
        <w:tc>
          <w:tcPr>
            <w:tcW w:type="dxa" w:w="4752"/>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Authentic falsely flagged area</w:t>
            </w:r>
          </w:p>
        </w:tc>
        <w:tc>
          <w:tcPr>
            <w:tcW w:type="dxa" w:w="2131"/>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17.11%</w:t>
            </w:r>
          </w:p>
        </w:tc>
        <w:tc>
          <w:tcPr>
            <w:tcW w:type="dxa" w:w="214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25.74%</w:t>
            </w:r>
          </w:p>
        </w:tc>
      </w:tr>
    </w:tbl>
    <w:p>
      <w:pPr>
        <w:widowControl/>
        <w:spacing w:line="480" w:lineRule="auto" w:before="0" w:after="0"/>
      </w:pPr>
      <w:r>
        <w:rPr>
          <w:rFonts w:ascii="Times New Roman" w:hAnsi="Times New Roman"/>
          <w:color w:val="000000"/>
          <w:sz w:val="24"/>
        </w:rPr>
        <w:t>The candidate was rejected because improvements introduced other errors. Moving masks also changes edited content, so this is not pure causal proof of location bias. Model2 remains experimental and needs independent parents and more editors.</w:t>
      </w:r>
    </w:p>
    <w:p>
      <w:pPr>
        <w:pStyle w:val="Heading2"/>
        <w:pageBreakBefore/>
        <w:widowControl/>
        <w:spacing w:line="480" w:lineRule="auto" w:before="0" w:after="0"/>
      </w:pPr>
      <w:r>
        <w:rPr>
          <w:rFonts w:ascii="Times New Roman" w:hAnsi="Times New Roman"/>
          <w:color w:val="000000"/>
          <w:sz w:val="24"/>
        </w:rPr>
        <w:t>4.6 Results</w:t>
      </w:r>
    </w:p>
    <w:p>
      <w:pPr>
        <w:widowControl/>
        <w:spacing w:line="480" w:lineRule="auto" w:before="0" w:after="0"/>
      </w:pPr>
      <w:r>
        <w:rPr>
          <w:rFonts w:ascii="Times New Roman" w:hAnsi="Times New Roman"/>
          <w:color w:val="000000"/>
          <w:sz w:val="24"/>
        </w:rPr>
        <w:t>The project delivered a trained E92 research system, a local web demonstration and a reproducible record of model development and rejection. Table 4 reports the central E92 per-view outcome at the fixed upper cut. The parent collection is reused development data, with 160 real and 160 AI images per condition. These rates do not describe the paired interface policy.</w:t>
      </w:r>
    </w:p>
    <w:p>
      <w:pPr>
        <w:pStyle w:val="Caption"/>
        <w:keepNext/>
        <w:widowControl/>
        <w:spacing w:line="480" w:lineRule="auto" w:before="0" w:after="0"/>
        <w:jc w:val="center"/>
      </w:pPr>
      <w:r>
        <w:rPr>
          <w:rFonts w:ascii="Times New Roman" w:hAnsi="Times New Roman"/>
          <w:color w:val="000000"/>
          <w:sz w:val="24"/>
        </w:rPr>
        <w:t>Table 4. E92 per-view results on the reused E66 development collection.</w:t>
      </w:r>
    </w:p>
    <w:tbl>
      <w:tblPr>
        <w:tblW w:type="auto" w:w="0"/>
        <w:jc w:val="center"/>
        <w:tblLayout w:type="fixed"/>
        <w:tblLook w:firstColumn="1" w:firstRow="1" w:lastColumn="0" w:lastRow="0" w:noHBand="0" w:noVBand="1" w:val="04A0"/>
      </w:tblPr>
      <w:tblGrid>
        <w:gridCol w:w="3816"/>
        <w:gridCol w:w="2606"/>
        <w:gridCol w:w="2606"/>
      </w:tblGrid>
      <w:tr>
        <w:trPr>
          <w:tblHeader/>
          <w:cantSplit/>
        </w:trPr>
        <w:tc>
          <w:tcPr>
            <w:tcW w:type="dxa" w:w="381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Measure</w:t>
            </w:r>
          </w:p>
        </w:tc>
        <w:tc>
          <w:tcPr>
            <w:tcW w:type="dxa" w:w="260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Original</w:t>
            </w:r>
          </w:p>
        </w:tc>
        <w:tc>
          <w:tcPr>
            <w:tcW w:type="dxa" w:w="260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Social-style</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AI detection</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159/160 (99.38%)</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159/160 (99.38%)</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Real false alerts</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0/160 (0.00%)</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14/160 (8.75%)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Balanced accuracy</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99.69%</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95.31%</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Numerical criteria</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10/10</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10/10</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New AI misses versus E43</w:t>
            </w:r>
          </w:p>
        </w:tc>
        <w:tc>
          <w:tcPr>
            <w:tcW w:type="dxa" w:w="260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w:t>
            </w:r>
          </w:p>
        </w:tc>
        <w:tc>
          <w:tcPr>
            <w:tcW w:type="dxa" w:w="260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0</w:t>
            </w:r>
          </w:p>
        </w:tc>
      </w:tr>
    </w:tbl>
    <w:p>
      <w:pPr>
        <w:widowControl/>
        <w:spacing w:line="480" w:lineRule="auto" w:before="0" w:after="0"/>
      </w:pPr>
      <w:r>
        <w:rPr>
          <w:rFonts w:ascii="Times New Roman" w:hAnsi="Times New Roman"/>
          <w:color w:val="000000"/>
          <w:sz w:val="24"/>
        </w:rPr>
        <w:t>The 20 numerical checks passed, but full acceptance failed because of the one new original AI miss. Universal reliability and independent final-test success were not achieved. Model2 did not qualify as a reliable localization service. The latest recorded engineering checkpoint passed 1,245 Python tests; this measures software checks, not 1,245 successful image classifications. There is no measured company deployment impact or production rollout commitment. The completed outcome is a student research prototype with documented limitations (Keleş, 2026).</w:t>
      </w:r>
    </w:p>
    <w:p>
      <w:pPr>
        <w:pStyle w:val="Heading1"/>
        <w:pageBreakBefore/>
        <w:widowControl/>
        <w:spacing w:line="480" w:lineRule="auto" w:before="0" w:after="0"/>
      </w:pPr>
      <w:r>
        <w:rPr>
          <w:rFonts w:ascii="Times New Roman" w:hAnsi="Times New Roman"/>
          <w:color w:val="000000"/>
          <w:sz w:val="24"/>
        </w:rPr>
        <w:t>5. Internship experience</w:t>
      </w:r>
    </w:p>
    <w:p>
      <w:pPr>
        <w:pStyle w:val="Heading2"/>
        <w:widowControl/>
        <w:spacing w:line="480" w:lineRule="auto" w:before="0" w:after="0"/>
      </w:pPr>
      <w:r>
        <w:rPr>
          <w:rFonts w:ascii="Times New Roman" w:hAnsi="Times New Roman"/>
          <w:color w:val="000000"/>
          <w:sz w:val="24"/>
        </w:rPr>
        <w:t>5.1 Learning</w:t>
      </w:r>
    </w:p>
    <w:p>
      <w:pPr>
        <w:widowControl/>
        <w:spacing w:line="480" w:lineRule="auto" w:before="0" w:after="0"/>
      </w:pPr>
      <w:r>
        <w:rPr>
          <w:rFonts w:ascii="Times New Roman" w:hAnsi="Times New Roman"/>
          <w:color w:val="000000"/>
          <w:sz w:val="24"/>
        </w:rPr>
        <w:t>The most useful lesson from the work is to ask what a good score actually proves. The first high accuracy values encouraged further development, but errors on new sources changed the priority. The project then needed better data checks and comparisons, not just a larger model. The reversed-label incident is the clearest example: checking the inputs overturned an explanation that had sounded convincing.</w:t>
      </w:r>
    </w:p>
    <w:p>
      <w:pPr>
        <w:widowControl/>
        <w:spacing w:line="480" w:lineRule="auto" w:before="0" w:after="0"/>
      </w:pPr>
      <w:r>
        <w:rPr>
          <w:rFonts w:ascii="Times New Roman" w:hAnsi="Times New Roman"/>
          <w:color w:val="000000"/>
          <w:sz w:val="24"/>
        </w:rPr>
        <w:t>I learned how to sustain a long project on my own and reduce its scope when the work became too complex. Asking focused questions helped me communicate problems and use advice while remaining responsible for my decisions. Running my own experiments made machine learning concepts more concrete. I was already interested in this field before the internship; applying it in a substantial project strengthened that interest and gave me a clearer understanding of the work involved.</w:t>
      </w:r>
    </w:p>
    <w:p>
      <w:pPr>
        <w:pStyle w:val="Heading2"/>
        <w:widowControl/>
        <w:spacing w:line="480" w:lineRule="auto" w:before="0" w:after="0"/>
      </w:pPr>
      <w:r>
        <w:rPr>
          <w:rFonts w:ascii="Times New Roman" w:hAnsi="Times New Roman"/>
          <w:color w:val="000000"/>
          <w:sz w:val="24"/>
        </w:rPr>
        <w:t>5.2 Relation to undergraduate education</w:t>
      </w:r>
    </w:p>
    <w:p>
      <w:pPr>
        <w:widowControl/>
        <w:spacing w:line="480" w:lineRule="auto" w:before="0" w:after="0"/>
      </w:pPr>
      <w:r>
        <w:rPr>
          <w:rFonts w:ascii="Times New Roman" w:hAnsi="Times New Roman"/>
          <w:color w:val="000000"/>
          <w:sz w:val="24"/>
        </w:rPr>
        <w:t>CS412 Machine Learning gave me the concepts I used to start this project and develop the initial experiments. PROJ201 had introduced me to applied machine learning through a team project for an application intended to guide visually impaired users. We trained YOLOv11 on a custom dataset and integrated it into the application; our team placed first in our group. That experience gave me an initial understanding of model training and application integration. DSA210 provided my early foundations in data science, which helped me approach the data preparation and analysis in this internship.</w:t>
      </w:r>
    </w:p>
    <w:p>
      <w:pPr>
        <w:widowControl/>
        <w:spacing w:line="480" w:lineRule="auto" w:before="0" w:after="0"/>
      </w:pPr>
      <w:r>
        <w:rPr>
          <w:rFonts w:ascii="Times New Roman" w:hAnsi="Times New Roman"/>
          <w:color w:val="000000"/>
          <w:sz w:val="24"/>
        </w:rPr>
        <w:t>The internship exposed preparation needs beyond the initial model fit. Experimental design and data provenance required particular attention: valid image files could still have inconsistent labels, and different files could share scenes or generation ancestry. These issues became clearer through the project’s failed experiments and corrections.</w:t>
      </w:r>
    </w:p>
    <w:p>
      <w:pPr>
        <w:pStyle w:val="Heading2"/>
        <w:widowControl/>
        <w:spacing w:line="480" w:lineRule="auto" w:before="0" w:after="0"/>
      </w:pPr>
      <w:r>
        <w:rPr>
          <w:rFonts w:ascii="Times New Roman" w:hAnsi="Times New Roman"/>
          <w:color w:val="000000"/>
          <w:sz w:val="24"/>
        </w:rPr>
        <w:t>5.3 Major difficulties</w:t>
      </w:r>
    </w:p>
    <w:p>
      <w:pPr>
        <w:widowControl/>
        <w:spacing w:line="480" w:lineRule="auto" w:before="0" w:after="0"/>
      </w:pPr>
      <w:r>
        <w:rPr>
          <w:rFonts w:ascii="Times New Roman" w:hAnsi="Times New Roman"/>
          <w:color w:val="000000"/>
          <w:sz w:val="24"/>
        </w:rPr>
        <w:t>The first difficulty was unreliable transfer across sources. Strong internal scores did not prevent false alarms on unfamiliar real photographs. The response was to expand documented source coverage, report errors by group and distinguish training, calibration and evaluation. The generalization problem remains partly unresolved, so the report records the response without claiming a complete solution.</w:t>
      </w:r>
    </w:p>
    <w:p>
      <w:pPr>
        <w:widowControl/>
        <w:spacing w:line="480" w:lineRule="auto" w:before="0" w:after="0"/>
      </w:pPr>
      <w:r>
        <w:rPr>
          <w:rFonts w:ascii="Times New Roman" w:hAnsi="Times New Roman"/>
          <w:color w:val="000000"/>
          <w:sz w:val="24"/>
        </w:rPr>
        <w:t>The second difficulty was trustworthy measurement. Reversed source labels and an evaluation-dependent threshold procedure changed the meaning of earlier results. Explicit label mapping, isolated calibration and reruns corrected the affected evidence. The history retained both original and corrected conclusions, making the correction auditable.</w:t>
      </w:r>
    </w:p>
    <w:p>
      <w:pPr>
        <w:widowControl/>
        <w:spacing w:line="480" w:lineRule="auto" w:before="0" w:after="0"/>
      </w:pPr>
      <w:r>
        <w:rPr>
          <w:rFonts w:ascii="Times New Roman" w:hAnsi="Times New Roman"/>
          <w:color w:val="000000"/>
          <w:sz w:val="24"/>
        </w:rPr>
        <w:t>The third difficulty was running a multi-component research system within local resource and reliability limits. Feature caching, bounded batches and resource guards helped. An E150 memory failure led to a separately recorded, pixel-equivalent implementation amendment, E150B. Runtime checks addressed cancellation and artifact-manifest handling without changing the scientific model. These are concrete engineering repairs rather than proof of better detection.</w:t>
      </w:r>
    </w:p>
    <w:p>
      <w:pPr>
        <w:pStyle w:val="Heading2"/>
        <w:widowControl/>
        <w:spacing w:line="480" w:lineRule="auto" w:before="0" w:after="0"/>
      </w:pPr>
      <w:r>
        <w:rPr>
          <w:rFonts w:ascii="Times New Roman" w:hAnsi="Times New Roman"/>
          <w:color w:val="000000"/>
          <w:sz w:val="24"/>
        </w:rPr>
        <w:t>5.4 A typical day</w:t>
      </w:r>
    </w:p>
    <w:p>
      <w:pPr>
        <w:widowControl/>
        <w:spacing w:line="480" w:lineRule="auto" w:before="0" w:after="0"/>
      </w:pPr>
      <w:r>
        <w:rPr>
          <w:rFonts w:ascii="Times New Roman" w:hAnsi="Times New Roman"/>
          <w:color w:val="000000"/>
          <w:sz w:val="24"/>
        </w:rPr>
        <w:t>The approved schedule was Monday through Thursday on site and Friday remote. On office days, I usually arrived at 7:30 a.m. After breakfast, I worked through the morning until around noon or early afternoon. I continued working afterwards, with occasional short tea or coffee breaks.</w:t>
      </w:r>
    </w:p>
    <w:p>
      <w:pPr>
        <w:widowControl/>
        <w:spacing w:line="480" w:lineRule="auto" w:before="0" w:after="0"/>
      </w:pPr>
      <w:r>
        <w:rPr>
          <w:rFonts w:ascii="Times New Roman" w:hAnsi="Times New Roman"/>
          <w:color w:val="000000"/>
          <w:sz w:val="24"/>
        </w:rPr>
        <w:t>My tasks followed the stage of the project: reviewing the plan, implementing a change, running experiments, interpreting results and updating the records. When a question arose, I consulted my supervisor or mentors for clarification and then decided how to proceed. This routine helped me maintain progress during a long individual project.</w:t>
      </w:r>
    </w:p>
    <w:p>
      <w:pPr>
        <w:pStyle w:val="Heading1"/>
        <w:pageBreakBefore/>
        <w:widowControl/>
        <w:spacing w:line="480" w:lineRule="auto" w:before="0" w:after="0"/>
      </w:pPr>
      <w:r>
        <w:rPr>
          <w:rFonts w:ascii="Times New Roman" w:hAnsi="Times New Roman"/>
          <w:color w:val="000000"/>
          <w:sz w:val="24"/>
        </w:rPr>
        <w:t>6. Conclusions</w:t>
      </w:r>
    </w:p>
    <w:p>
      <w:pPr>
        <w:widowControl/>
        <w:spacing w:line="480" w:lineRule="auto" w:before="0" w:after="0"/>
      </w:pPr>
      <w:r>
        <w:rPr>
          <w:rFonts w:ascii="Times New Roman" w:hAnsi="Times New Roman"/>
          <w:color w:val="000000"/>
          <w:sz w:val="24"/>
        </w:rPr>
        <w:t>PixelProof progressed from early classifiers with large source-transfer failures to a working research demo with strong results on a defined development collection. E92 reduced real-image false alerts while maintaining high aggregate AI detection in that collection. The interface now distinguishes a model signal from an authenticity claim and separates the main model from an advisory reference.</w:t>
      </w:r>
    </w:p>
    <w:p>
      <w:pPr>
        <w:widowControl/>
        <w:spacing w:line="480" w:lineRule="auto" w:before="0" w:after="0"/>
      </w:pPr>
      <w:r>
        <w:rPr>
          <w:rFonts w:ascii="Times New Roman" w:hAnsi="Times New Roman"/>
          <w:color w:val="000000"/>
          <w:sz w:val="24"/>
        </w:rPr>
        <w:t>The main result has a clear limit. The 20 numerical checks passed, but one AI image caught by the reference became a new miss. Repeated use of the development data also restricts how far the result can be generalized. Later source tests and the Model2 pilot found further weaknesses. These findings explain why the system remains a research prototype.</w:t>
      </w:r>
    </w:p>
    <w:p>
      <w:pPr>
        <w:widowControl/>
        <w:spacing w:line="480" w:lineRule="auto" w:before="0" w:after="0"/>
      </w:pPr>
      <w:r>
        <w:rPr>
          <w:rFonts w:ascii="Times New Roman" w:hAnsi="Times New Roman"/>
          <w:color w:val="000000"/>
          <w:sz w:val="24"/>
        </w:rPr>
        <w:t>The durable outcome is both an implemented prototype and a traceable method of evaluating it. Data corrections, rejected hypotheses and runtime repairs are part of that outcome. They support a credible student engineering project while identifying exactly which claims need further evidence.</w:t>
      </w:r>
    </w:p>
    <w:p>
      <w:pPr>
        <w:pStyle w:val="Heading1"/>
        <w:pageBreakBefore/>
        <w:widowControl/>
        <w:spacing w:line="480" w:lineRule="auto" w:before="0" w:after="0"/>
      </w:pPr>
      <w:r>
        <w:rPr>
          <w:rFonts w:ascii="Times New Roman" w:hAnsi="Times New Roman"/>
          <w:color w:val="000000"/>
          <w:sz w:val="24"/>
        </w:rPr>
        <w:t>7. Recommendations</w:t>
      </w:r>
    </w:p>
    <w:p>
      <w:pPr>
        <w:widowControl/>
        <w:spacing w:line="480" w:lineRule="auto" w:before="0" w:after="0"/>
      </w:pPr>
      <w:r>
        <w:rPr>
          <w:rFonts w:ascii="Times New Roman" w:hAnsi="Times New Roman"/>
          <w:color w:val="000000"/>
          <w:sz w:val="24"/>
        </w:rPr>
        <w:t>Future internship students should establish dataset meanings, permissible data roles and error metrics before a long training run. They should learn to reproduce a saved result and inspect individual changes, since a better average can hide newly harmed examples. Basic familiarity with version control, Python testing and the host organization’s data rules would reduce avoidable delays.</w:t>
      </w:r>
    </w:p>
    <w:p>
      <w:pPr>
        <w:widowControl/>
        <w:spacing w:line="480" w:lineRule="auto" w:before="0" w:after="0"/>
      </w:pPr>
      <w:r>
        <w:rPr>
          <w:rFonts w:ascii="Times New Roman" w:hAnsi="Times New Roman"/>
          <w:color w:val="000000"/>
          <w:sz w:val="24"/>
        </w:rPr>
        <w:t>For this project, the next research priority is an explicitly independent and sufficiently diverse evaluation design. Source ancestry, scene dependence and generator coverage should be resolved before claiming independence. Calibration must remain separate from evaluation, and operating costs should determine a prospectively chosen decision policy. Model2 needs more independent parents and editors together with authentic and conventional-edit controls.</w:t>
      </w:r>
    </w:p>
    <w:p>
      <w:pPr>
        <w:widowControl/>
        <w:spacing w:line="480" w:lineRule="auto" w:before="0" w:after="0"/>
      </w:pPr>
      <w:r>
        <w:rPr>
          <w:rFonts w:ascii="Times New Roman" w:hAnsi="Times New Roman"/>
          <w:color w:val="000000"/>
          <w:sz w:val="24"/>
        </w:rPr>
        <w:t>In the workplace, students should agree on scope and review expectations with their supervisor, record incomplete work honestly and protect personal or restricted data. Results should be communicated in plain language: what changed, which population supports the finding and what still fails. AI coding assistance can accelerate work, but the student must understand and verify what will be submitted and presented.</w:t>
      </w:r>
    </w:p>
    <w:p>
      <w:pPr>
        <w:pStyle w:val="Heading1"/>
        <w:pageBreakBefore/>
        <w:widowControl/>
        <w:spacing w:line="480" w:lineRule="auto" w:before="0" w:after="0"/>
      </w:pPr>
      <w:r>
        <w:rPr>
          <w:rFonts w:ascii="Times New Roman" w:hAnsi="Times New Roman"/>
          <w:color w:val="000000"/>
          <w:sz w:val="24"/>
        </w:rPr>
        <w:t>8. References</w:t>
      </w:r>
    </w:p>
    <w:p>
      <w:pPr>
        <w:keepLines/>
        <w:widowControl/>
        <w:spacing w:line="240" w:lineRule="auto" w:before="0" w:after="240"/>
      </w:pPr>
      <w:r>
        <w:rPr>
          <w:rFonts w:ascii="Times New Roman" w:hAnsi="Times New Roman"/>
          <w:color w:val="000000"/>
          <w:sz w:val="24"/>
        </w:rPr>
        <w:t>Abdelhamed, A., Lin, S., &amp; Brown, M. S. (2018). A high-quality denoising dataset for smartphone cameras. Proceedings of the IEEE Conference on Computer Vision and Pattern Recognition. Retrieved September 25, 2026, from https://abdokamel.github.io/sidd/</w:t>
      </w:r>
    </w:p>
    <w:p>
      <w:pPr>
        <w:keepLines/>
        <w:widowControl/>
        <w:spacing w:line="240" w:lineRule="auto" w:before="0" w:after="240"/>
      </w:pPr>
      <w:r>
        <w:rPr>
          <w:rFonts w:ascii="Times New Roman" w:hAnsi="Times New Roman"/>
          <w:color w:val="000000"/>
          <w:sz w:val="24"/>
        </w:rPr>
        <w:t>Adobe. (n.d.). Content Credentials overview. Adobe Help Center. Retrieved September 25, 2026, from https://helpx.adobe.com/creative-cloud/apps/adobe-content-authenticity/content-credentials/overview.html</w:t>
      </w:r>
    </w:p>
    <w:p>
      <w:pPr>
        <w:keepLines/>
        <w:widowControl/>
        <w:spacing w:line="240" w:lineRule="auto" w:before="0" w:after="240"/>
      </w:pPr>
      <w:r>
        <w:rPr>
          <w:rFonts w:ascii="Times New Roman" w:hAnsi="Times New Roman"/>
          <w:color w:val="000000"/>
          <w:sz w:val="24"/>
        </w:rPr>
        <w:t>Chen, C., Chen, Q., Xu, J., &amp; Koltun, V. (2018). Learning to see in the dark. Proceedings of the IEEE Conference on Computer Vision and Pattern Recognition. Retrieved September 25, 2026, from https://cchen156.github.io/SID.html</w:t>
      </w:r>
    </w:p>
    <w:p>
      <w:pPr>
        <w:keepLines/>
        <w:widowControl/>
        <w:spacing w:line="240" w:lineRule="auto" w:before="0" w:after="240"/>
      </w:pPr>
      <w:r>
        <w:rPr>
          <w:rFonts w:ascii="Times New Roman" w:hAnsi="Times New Roman"/>
          <w:color w:val="000000"/>
          <w:sz w:val="24"/>
        </w:rPr>
        <w:t xml:space="preserve">Dwork, C., Feldman, V., Hardt, M., Pitassi, T., Reingold, O., &amp; Roth, A. (2015). Generalization in adaptive data analysis and holdout reuse. </w:t>
      </w:r>
      <w:r>
        <w:rPr>
          <w:rFonts w:ascii="Times New Roman" w:hAnsi="Times New Roman"/>
          <w:i/>
          <w:color w:val="000000"/>
          <w:sz w:val="24"/>
        </w:rPr>
        <w:t>Advances in Neural Information Processing Systems</w:t>
      </w:r>
      <w:r>
        <w:rPr>
          <w:rFonts w:ascii="Times New Roman" w:hAnsi="Times New Roman"/>
          <w:color w:val="000000"/>
          <w:sz w:val="24"/>
        </w:rPr>
        <w:t>, 28. Retrieved September 25, 2026, from https://proceedings.neurips.cc/paper/2015/hash/bad5f33780c42f2588878a9d07405083-Abstract.html</w:t>
      </w:r>
    </w:p>
    <w:p>
      <w:pPr>
        <w:keepLines/>
        <w:widowControl/>
        <w:spacing w:line="240" w:lineRule="auto" w:before="0" w:after="240"/>
      </w:pPr>
      <w:r>
        <w:rPr>
          <w:rFonts w:ascii="Times New Roman" w:hAnsi="Times New Roman"/>
          <w:color w:val="000000"/>
          <w:sz w:val="24"/>
        </w:rPr>
        <w:t>Grommelt, P., Weiss, L., Pfreundt, F.-J., &amp; Keuper, J. (2024). Fake or JPEG? Revealing common biases in generated image detection datasets. arXiv:2403.17608. Retrieved September 25, 2026, from https://arxiv.org/abs/2403.17608</w:t>
      </w:r>
    </w:p>
    <w:p>
      <w:pPr>
        <w:keepLines/>
        <w:widowControl/>
        <w:spacing w:line="240" w:lineRule="auto" w:before="0" w:after="240"/>
      </w:pPr>
      <w:r>
        <w:rPr>
          <w:rFonts w:ascii="Times New Roman" w:hAnsi="Times New Roman"/>
          <w:color w:val="000000"/>
          <w:sz w:val="24"/>
        </w:rPr>
        <w:t xml:space="preserve">Guo, C., Pleiss, G., Sun, Y., &amp; Weinberger, K. Q. (2017). On calibration of modern neural networks. </w:t>
      </w:r>
      <w:r>
        <w:rPr>
          <w:rFonts w:ascii="Times New Roman" w:hAnsi="Times New Roman"/>
          <w:i/>
          <w:color w:val="000000"/>
          <w:sz w:val="24"/>
        </w:rPr>
        <w:t>Proceedings of Machine Learning Research</w:t>
      </w:r>
      <w:r>
        <w:rPr>
          <w:rFonts w:ascii="Times New Roman" w:hAnsi="Times New Roman"/>
          <w:color w:val="000000"/>
          <w:sz w:val="24"/>
        </w:rPr>
        <w:t>, 70, 1321–1330. Retrieved September 25, 2026, from https://proceedings.mlr.press/v70/guo17a.html</w:t>
      </w:r>
    </w:p>
    <w:p>
      <w:pPr>
        <w:keepLines/>
        <w:widowControl/>
        <w:spacing w:line="240" w:lineRule="auto" w:before="0" w:after="240"/>
      </w:pPr>
      <w:r>
        <w:rPr>
          <w:rFonts w:ascii="Times New Roman" w:hAnsi="Times New Roman"/>
          <w:color w:val="000000"/>
          <w:sz w:val="24"/>
        </w:rPr>
        <w:t>Keleş, E. H. (2026). PixelProof experiment, history and dataset records [Software and research records, commit 497d45c]. GitHub. Retrieved September 25, 2026, from https://github.com/EfeHanKeles346/ai-image-detector/tree/497d45c</w:t>
      </w:r>
    </w:p>
    <w:p>
      <w:pPr>
        <w:keepLines/>
        <w:widowControl/>
        <w:spacing w:line="240" w:lineRule="auto" w:before="0" w:after="240"/>
      </w:pPr>
      <w:r>
        <w:rPr>
          <w:rFonts w:ascii="Times New Roman" w:hAnsi="Times New Roman"/>
          <w:color w:val="000000"/>
          <w:sz w:val="24"/>
        </w:rPr>
        <w:t>Kim, D., Choi, J., Seong, H. S., Kim, S., Lee, D., Yi, S., &amp; Choi, J.-H. (2026). Dissect and prune: Enhancing robustness in AI-generated image detection. ICML 2026; arXiv:2606.10309, version 2. Retrieved September 25, 2026, from https://arxiv.org/abs/2606.10309v2</w:t>
      </w:r>
    </w:p>
    <w:p>
      <w:pPr>
        <w:keepLines/>
        <w:widowControl/>
        <w:spacing w:line="240" w:lineRule="auto" w:before="0" w:after="240"/>
      </w:pPr>
      <w:r>
        <w:rPr>
          <w:rFonts w:ascii="Times New Roman" w:hAnsi="Times New Roman"/>
          <w:color w:val="000000"/>
          <w:sz w:val="24"/>
        </w:rPr>
        <w:t>Ojha, U., Li, Y., &amp; Lee, Y. J. (2023). Towards universal fake image detectors that generalize across generative models. Proceedings of the IEEE/CVF Conference on Computer Vision and Pattern Recognition, 24480–24489. Retrieved September 25, 2026, from https://arxiv.org/abs/2302.10174</w:t>
      </w:r>
    </w:p>
    <w:p>
      <w:pPr>
        <w:keepLines/>
        <w:widowControl/>
        <w:spacing w:line="240" w:lineRule="auto" w:before="0" w:after="240"/>
      </w:pPr>
      <w:r>
        <w:rPr>
          <w:rFonts w:ascii="Times New Roman" w:hAnsi="Times New Roman"/>
          <w:color w:val="000000"/>
          <w:sz w:val="24"/>
        </w:rPr>
        <w:t xml:space="preserve">Oquab, M., Darcet, T., Moutakanni, T., Vo, H., Szafraniec, M., Khalidov, V., Fernandez, P., Haziza, D., Massa, F., El-Nouby, A., Assran, M., Ballas, N., Galuba, W., Howes, R., Huang, P.-Y., Li, S.-W., Misra, I., Rabbat, M., Sharma, V., Synnaeve, G., Xu, H., Jégou, H., Mairal, J., Labatut, P., Joulin, A., &amp; Bojanowski, P. (2024). DINOv2: Learning robust visual features without supervision. </w:t>
      </w:r>
      <w:r>
        <w:rPr>
          <w:rFonts w:ascii="Times New Roman" w:hAnsi="Times New Roman"/>
          <w:i/>
          <w:color w:val="000000"/>
          <w:sz w:val="24"/>
        </w:rPr>
        <w:t>Transactions on Machine Learning Research</w:t>
      </w:r>
      <w:r>
        <w:rPr>
          <w:rFonts w:ascii="Times New Roman" w:hAnsi="Times New Roman"/>
          <w:color w:val="000000"/>
          <w:sz w:val="24"/>
        </w:rPr>
        <w:t>. Retrieved September 25, 2026, from https://arxiv.org/abs/2304.07193</w:t>
      </w:r>
    </w:p>
    <w:p>
      <w:pPr>
        <w:keepLines/>
        <w:widowControl/>
        <w:spacing w:line="240" w:lineRule="auto" w:before="0" w:after="240"/>
      </w:pPr>
      <w:r>
        <w:rPr>
          <w:rFonts w:ascii="Times New Roman" w:hAnsi="Times New Roman"/>
          <w:color w:val="000000"/>
          <w:sz w:val="24"/>
        </w:rPr>
        <w:t xml:space="preserve">Radford, A., Kim, J. W., Hallacy, C., Ramesh, A., Goh, G., Agarwal, S., Sastry, G., Askell, A., Mishkin, P., Clark, J., Krueger, G., &amp; Sutskever, I. (2021). Learning transferable visual models from natural language supervision. </w:t>
      </w:r>
      <w:r>
        <w:rPr>
          <w:rFonts w:ascii="Times New Roman" w:hAnsi="Times New Roman"/>
          <w:i/>
          <w:color w:val="000000"/>
          <w:sz w:val="24"/>
        </w:rPr>
        <w:t>Proceedings of Machine Learning Research</w:t>
      </w:r>
      <w:r>
        <w:rPr>
          <w:rFonts w:ascii="Times New Roman" w:hAnsi="Times New Roman"/>
          <w:color w:val="000000"/>
          <w:sz w:val="24"/>
        </w:rPr>
        <w:t>, 139, 8748–8763. Retrieved September 25, 2026, from https://proceedings.mlr.press/v139/radford21a.html</w:t>
      </w:r>
    </w:p>
    <w:p>
      <w:pPr>
        <w:keepLines/>
        <w:widowControl/>
        <w:spacing w:line="240" w:lineRule="auto" w:before="0" w:after="240"/>
      </w:pPr>
      <w:r>
        <w:rPr>
          <w:rFonts w:ascii="Times New Roman" w:hAnsi="Times New Roman"/>
          <w:color w:val="000000"/>
          <w:sz w:val="24"/>
        </w:rPr>
        <w:t>Türk Telekom. (2026a). 2025 annual report. Türk Telekom Investor Relations. Retrieved September 25, 2026, from https://www.ttyatirimciiliskileri.com.tr/media/dqsjlvxo/2025-annual-report.pdf</w:t>
      </w:r>
    </w:p>
    <w:p>
      <w:pPr>
        <w:keepLines/>
        <w:widowControl/>
        <w:spacing w:line="240" w:lineRule="auto" w:before="0" w:after="240"/>
      </w:pPr>
      <w:r>
        <w:rPr>
          <w:rFonts w:ascii="Times New Roman" w:hAnsi="Times New Roman"/>
          <w:color w:val="000000"/>
          <w:sz w:val="24"/>
        </w:rPr>
        <w:t>Türk Telekom. (2026b). Hakkımızda [About us; operating figures at June 30, 2026]. Retrieved September 25, 2026, from https://www.turktelekom.com.tr/hakkimizda/detay?p=tab3</w:t>
      </w:r>
    </w:p>
    <w:p>
      <w:pPr>
        <w:keepLines/>
        <w:widowControl/>
        <w:spacing w:line="240" w:lineRule="auto" w:before="0" w:after="240"/>
      </w:pPr>
      <w:r>
        <w:rPr>
          <w:rFonts w:ascii="Times New Roman" w:hAnsi="Times New Roman"/>
          <w:color w:val="000000"/>
          <w:sz w:val="24"/>
        </w:rPr>
        <w:t>Wang, S.-Y., Wang, O., Zhang, R., Owens, A., &amp; Efros, A. A. (2020). CNN-generated images are surprisingly easy to spot... for now. Proceedings of the IEEE/CVF Conference on Computer Vision and Pattern Recognition, 8695–8704. Retrieved September 25, 2026, from https://arxiv.org/abs/1912.11035</w:t>
      </w:r>
    </w:p>
    <w:p>
      <w:pPr>
        <w:pStyle w:val="Heading1"/>
        <w:pageBreakBefore/>
        <w:widowControl/>
        <w:spacing w:line="480" w:lineRule="auto" w:before="0" w:after="0"/>
      </w:pPr>
      <w:r>
        <w:rPr>
          <w:rFonts w:ascii="Times New Roman" w:hAnsi="Times New Roman"/>
          <w:color w:val="000000"/>
          <w:sz w:val="24"/>
        </w:rPr>
        <w:t>9. Appendices</w:t>
      </w:r>
    </w:p>
    <w:p>
      <w:pPr>
        <w:pStyle w:val="Heading2"/>
        <w:widowControl/>
        <w:spacing w:line="480" w:lineRule="auto" w:before="0" w:after="0"/>
      </w:pPr>
      <w:r>
        <w:rPr>
          <w:rFonts w:ascii="Times New Roman" w:hAnsi="Times New Roman"/>
          <w:color w:val="000000"/>
          <w:sz w:val="24"/>
        </w:rPr>
        <w:t>9.1 Development criteria</w:t>
      </w:r>
    </w:p>
    <w:p>
      <w:pPr>
        <w:widowControl/>
        <w:spacing w:line="480" w:lineRule="auto" w:before="0" w:after="0"/>
      </w:pPr>
      <w:r>
        <w:rPr>
          <w:rFonts w:ascii="Times New Roman" w:hAnsi="Times New Roman"/>
          <w:color w:val="000000"/>
          <w:sz w:val="24"/>
        </w:rPr>
        <w:t>Table 5 lists the ten inherited numerical criteria, applied separately to original and social-style views. They are project-defined requirements, not an external certification standard. Automatic coverage and uncertainty are complementary, and several other metrics are correlated. The separate rule against newly missing any reference-detected AI image failed for E92. Coverage and uncertainty here describe each view separately; they are not the paired website outcomes in Section 4.5.6.</w:t>
      </w:r>
    </w:p>
    <w:p>
      <w:pPr>
        <w:pStyle w:val="Caption"/>
        <w:keepNext/>
        <w:widowControl/>
        <w:spacing w:line="480" w:lineRule="auto" w:before="0" w:after="0"/>
        <w:jc w:val="center"/>
      </w:pPr>
      <w:r>
        <w:rPr>
          <w:rFonts w:ascii="Times New Roman" w:hAnsi="Times New Roman"/>
          <w:color w:val="000000"/>
          <w:sz w:val="24"/>
        </w:rPr>
        <w:t>Table 5. E92 numerical development checks and their measured values.</w:t>
      </w:r>
    </w:p>
    <w:tbl>
      <w:tblPr>
        <w:tblW w:type="auto" w:w="0"/>
        <w:jc w:val="center"/>
        <w:tblLayout w:type="fixed"/>
        <w:tblLook w:firstColumn="1" w:firstRow="1" w:lastColumn="0" w:lastRow="0" w:noHBand="0" w:noVBand="1" w:val="04A0"/>
      </w:tblPr>
      <w:tblGrid>
        <w:gridCol w:w="3816"/>
        <w:gridCol w:w="1685"/>
        <w:gridCol w:w="1771"/>
        <w:gridCol w:w="1757"/>
      </w:tblGrid>
      <w:tr>
        <w:trPr>
          <w:tblHeader/>
          <w:cantSplit/>
        </w:trPr>
        <w:tc>
          <w:tcPr>
            <w:tcW w:type="dxa" w:w="381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Criterion</w:t>
            </w:r>
          </w:p>
        </w:tc>
        <w:tc>
          <w:tcPr>
            <w:tcW w:type="dxa" w:w="1685"/>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Requirement</w:t>
            </w:r>
          </w:p>
        </w:tc>
        <w:tc>
          <w:tcPr>
            <w:tcW w:type="dxa" w:w="1771"/>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Original</w:t>
            </w:r>
          </w:p>
        </w:tc>
        <w:tc>
          <w:tcPr>
            <w:tcW w:type="dxa" w:w="1757"/>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Social</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Valid-score coverage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100%</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100%</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ROC-AUC</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≥0.90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0.9998</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0.9942</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Balanced accuracy</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≥85%</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99.69%</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95.31%</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Pooled real false alerts</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0.00%</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Worst real source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≤20%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0.00%</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Pooled AI detection</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99.38%</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99.38%</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Worst AI source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≥60%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98.75%</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Automatic coverage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98.75%</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98.44%</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Accuracy when automatic</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99.68%</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95.24%</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Uncertain fraction</w:t>
            </w:r>
          </w:p>
        </w:tc>
        <w:tc>
          <w:tcPr>
            <w:tcW w:type="dxa" w:w="1685"/>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≤20%</w:t>
            </w:r>
          </w:p>
        </w:tc>
        <w:tc>
          <w:tcPr>
            <w:tcW w:type="dxa" w:w="1771"/>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1.25%</w:t>
            </w:r>
          </w:p>
        </w:tc>
        <w:tc>
          <w:tcPr>
            <w:tcW w:type="dxa" w:w="1757"/>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1.56%</w:t>
            </w:r>
          </w:p>
        </w:tc>
      </w:tr>
    </w:tbl>
    <w:p>
      <w:pPr>
        <w:pStyle w:val="Heading2"/>
        <w:pageBreakBefore/>
        <w:widowControl/>
        <w:spacing w:line="480" w:lineRule="auto" w:before="0" w:after="0"/>
      </w:pPr>
      <w:r>
        <w:rPr>
          <w:rFonts w:ascii="Times New Roman" w:hAnsi="Times New Roman"/>
          <w:color w:val="000000"/>
          <w:sz w:val="24"/>
        </w:rPr>
        <w:t>9.2 Evidence and reproduction map</w:t>
      </w:r>
    </w:p>
    <w:p>
      <w:pPr>
        <w:widowControl/>
        <w:spacing w:line="480" w:lineRule="auto" w:before="0" w:after="0"/>
      </w:pPr>
      <w:r>
        <w:rPr>
          <w:rFonts w:ascii="Times New Roman" w:hAnsi="Times New Roman"/>
          <w:color w:val="000000"/>
          <w:sz w:val="24"/>
        </w:rPr>
        <w:t>Table 6 maps the principal findings to compact repository evidence. The source snapshot is commit 497d45c. Large weights, datasets and private predictions remain outside Git. Reproducing an existing receipt is distinct from training a new candidate or opening a protected final collection.</w:t>
      </w:r>
    </w:p>
    <w:p>
      <w:pPr>
        <w:pStyle w:val="Caption"/>
        <w:keepNext/>
        <w:widowControl/>
        <w:spacing w:line="480" w:lineRule="auto" w:before="0" w:after="0"/>
        <w:jc w:val="center"/>
      </w:pPr>
      <w:r>
        <w:rPr>
          <w:rFonts w:ascii="Times New Roman" w:hAnsi="Times New Roman"/>
          <w:color w:val="000000"/>
          <w:sz w:val="24"/>
        </w:rPr>
        <w:t>Table 6. Primary project evidence for the report.</w:t>
      </w:r>
    </w:p>
    <w:tbl>
      <w:tblPr>
        <w:tblW w:type="auto" w:w="0"/>
        <w:jc w:val="center"/>
        <w:tblLayout w:type="fixed"/>
        <w:tblLook w:firstColumn="1" w:firstRow="1" w:lastColumn="0" w:lastRow="0" w:noHBand="0" w:noVBand="1" w:val="04A0"/>
      </w:tblPr>
      <w:tblGrid>
        <w:gridCol w:w="3528"/>
        <w:gridCol w:w="5501"/>
      </w:tblGrid>
      <w:tr>
        <w:trPr>
          <w:tblHeader/>
          <w:cantSplit/>
        </w:trPr>
        <w:tc>
          <w:tcPr>
            <w:tcW w:type="dxa" w:w="3528"/>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Finding</w:t>
            </w:r>
          </w:p>
        </w:tc>
        <w:tc>
          <w:tcPr>
            <w:tcW w:type="dxa" w:w="5501"/>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Repository evidence</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Earlier comprehensive-final failure</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evidence/e49_final_result.json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E92 numerical result and failed retention</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evidence/e92_development.json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Unpromoted E102 successor</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evidence/e102_development.json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Bias and readiness audit</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evidence/e92_readiness_audit_2026-09-14.json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Current paired interface policy</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evidence/project_audit_20260916.json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Owner-gallery aggregate results</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evidence/e95_gallery_report.json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Model2 placement comparison</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evidence/e135_location_learning.json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Processing imbalance</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evidence/e148_processing_inventory.json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Residual-feature rejection</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evidence/e151_source_pixel_comparison.json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Fixed-model score decomposition</w:t>
            </w:r>
          </w:p>
        </w:tc>
        <w:tc>
          <w:tcPr>
            <w:tcW w:type="dxa" w:w="5501"/>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evidence/e152_logit_decomposition.json</w:t>
            </w:r>
          </w:p>
        </w:tc>
      </w:tr>
    </w:tbl>
    <w:p>
      <w:pPr>
        <w:widowControl/>
        <w:spacing w:line="480" w:lineRule="auto" w:before="0" w:after="0"/>
      </w:pPr>
      <w:r>
        <w:rPr>
          <w:rFonts w:ascii="Times New Roman" w:hAnsi="Times New Roman"/>
          <w:color w:val="000000"/>
          <w:sz w:val="24"/>
        </w:rPr>
        <w:t>AI recall is TP divided by TP plus FN. Real false-positive rate is FP divided by FP plus TN. Balanced accuracy averages AI recall and real specificity. Automatic coverage is the fraction receiving an automatic decision; accuracy among those decisions excludes abstentions from its denominator. Pixel AUC ranks edited against unedited locations, while intersection-over-union measures overlap at a chosen map threshold. These quantities answer different questions and should not be exchanged.</w:t>
      </w:r>
    </w:p>
    <w:sectPr w:rsidR="00FC693F" w:rsidRPr="0006063C" w:rsidSect="00034616">
      <w:headerReference w:type="default" r:id="rId9"/>
      <w:footerReference w:type="default" r:id="rId10"/>
      <w:pgSz w:w="11909" w:h="16834"/>
      <w:pgMar w:top="1440" w:right="1440" w:bottom="1440"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left"/>
    </w:pPr>
    <w:r>
      <w:t>CS395 INTERNSHIP REPORT                                      PIXELPROOF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left="0" w:right="0" w:firstLine="0"/>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sz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40" w:after="120" w:line="480" w:lineRule="auto"/>
      <w:ind w:left="0" w:right="0" w:firstLine="0"/>
      <w:jc w:val="left"/>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ind w:left="0" w:right="0" w:firstLine="0"/>
      <w:jc w:val="left"/>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ind w:left="0" w:right="0" w:firstLine="0"/>
      <w:jc w:val="left"/>
      <w:outlineLvl w:val="2"/>
    </w:pPr>
    <w:rPr>
      <w:rFonts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sz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4"/>
      <w:szCs w:val="20"/>
    </w:rPr>
  </w:style>
  <w:style w:type="character" w:default="1" w:styleId="DefaultParagraphFont">
    <w:name w:val="Default Paragraph Font"/>
    <w:uiPriority w:val="1"/>
    <w:semiHidden/>
    <w:unhideWhenUsed/>
    <w:rPr>
      <w:rFonts w:ascii="Times New Roman" w:hAnsi="Times New Roman" w:eastAsia="Times New Roman" w:cs="Times New Roman"/>
      <w:color w:val="000000"/>
      <w:sz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sz w:val="24"/>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4"/>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4"/>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sz w:val="24"/>
    </w:rPr>
  </w:style>
  <w:style w:type="paragraph" w:styleId="Title">
    <w:name w:val="Title"/>
    <w:basedOn w:val="Normal"/>
    <w:next w:val="Normal"/>
    <w:link w:val="TitleChar"/>
    <w:uiPriority w:val="10"/>
    <w:qFormat/>
    <w:rsid w:val="00FC693F"/>
    <w:pPr>
      <w:keepNext/>
      <w:spacing w:after="0" w:line="480" w:lineRule="auto" w:before="0"/>
      <w:ind w:left="0" w:right="0" w:firstLine="0"/>
      <w:contextualSpacing/>
      <w:jc w:val="left"/>
    </w:pPr>
    <w:rPr>
      <w:rFonts w:ascii="Times New Roman" w:hAnsi="Times New Roman" w:eastAsia="Times New Roman" w:cs="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24"/>
      <w:szCs w:val="52"/>
    </w:rPr>
  </w:style>
  <w:style w:type="paragraph" w:styleId="Subtitle">
    <w:name w:val="Subtitle"/>
    <w:basedOn w:val="Normal"/>
    <w:next w:val="Normal"/>
    <w:link w:val="SubtitleChar"/>
    <w:uiPriority w:val="11"/>
    <w:qFormat/>
    <w:rsid w:val="00FC693F"/>
    <w:pPr>
      <w:numPr>
        <w:ilvl w:val="1"/>
      </w:numPr>
      <w:spacing w:line="480" w:lineRule="auto" w:before="0" w:after="0"/>
      <w:ind w:left="0" w:right="0" w:firstLine="0"/>
      <w:jc w:val="both"/>
    </w:pPr>
    <w:rPr>
      <w:rFonts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sz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sz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sz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sz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sz w:val="24"/>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24"/>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24"/>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sz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sz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sz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sz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sz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sz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sz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sz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sz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sz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4"/>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4"/>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sz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sz w:val="24"/>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sz w:val="24"/>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sz w:val="24"/>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sz w:val="24"/>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sz w:val="24"/>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4"/>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4"/>
      <w:szCs w:val="20"/>
    </w:rPr>
  </w:style>
  <w:style w:type="paragraph" w:styleId="Caption">
    <w:name w:val="caption"/>
    <w:basedOn w:val="Normal"/>
    <w:next w:val="Normal"/>
    <w:uiPriority w:val="35"/>
    <w:semiHidden/>
    <w:unhideWhenUsed/>
    <w:qFormat/>
    <w:rsid w:val="00FC693F"/>
    <w:pPr>
      <w:spacing w:line="480" w:lineRule="auto" w:before="0" w:after="0"/>
      <w:ind w:left="0" w:right="0" w:firstLine="0"/>
      <w:jc w:val="both"/>
    </w:pPr>
    <w:rPr>
      <w:rFonts w:ascii="Times New Roman" w:hAnsi="Times New Roman" w:eastAsia="Times New Roman" w:cs="Times New Roman"/>
      <w:b/>
      <w:bCs/>
      <w:color w:val="000000"/>
      <w:sz w:val="24"/>
      <w:szCs w:val="18"/>
    </w:rPr>
  </w:style>
  <w:style w:type="character" w:styleId="Strong">
    <w:name w:val="Strong"/>
    <w:basedOn w:val="DefaultParagraphFont"/>
    <w:uiPriority w:val="22"/>
    <w:qFormat/>
    <w:rsid w:val="00FC693F"/>
    <w:rPr>
      <w:rFonts w:ascii="Times New Roman" w:hAnsi="Times New Roman" w:eastAsia="Times New Roman" w:cs="Times New Roman"/>
      <w:b/>
      <w:bCs/>
      <w:color w:val="000000"/>
      <w:sz w:val="24"/>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sz w:val="24"/>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bCs/>
      <w:i/>
      <w:iCs/>
      <w:color w:val="000000"/>
      <w:sz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sz w:val="24"/>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sz w:val="24"/>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sz w:val="24"/>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sz w:val="24"/>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sz w:val="24"/>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sz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PixelProof AI Image Detection and Reliability Evaluation</dc:title>
  <dc:subject>CS395 internship report</dc:subject>
  <dc:creator>Efe Han Keleş</dc:creator>
  <cp:keywords/>
  <dc:description>generated by python-docx</dc:description>
  <cp:lastModifiedBy/>
  <cp:revision>1</cp:revision>
  <dcterms:created xsi:type="dcterms:W3CDTF">2013-12-23T23:15:00Z</dcterms:created>
  <dcterms:modified xsi:type="dcterms:W3CDTF">2013-12-23T23:15:00Z</dcterms:modified>
  <cp:category/>
</cp:coreProperties>
</file>