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[TO COMPLETE]</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25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as a research prototype for examining whether an image contains evidence of AI generation. A second, experimental module investigated where a local AI edit might occur. The work combined dataset auditing, machine learning experiments and a local web demonstration. Early models performed well on familiar data but failed on different image sources. Subsequent work therefore emphasized correct labels, separated data roles, processing robustness and reproducible evaluation. The E92 model detected 159 of 160 AI images in each of two conditions on a repeatedly used development set. False alerts on 160 real images decreased from 68 to zero for original inputs and from 68 to 14 after a fixed resizing and JPEG transformation, compared with the E43 reference. E92 met all 20 numerical development criteria but still missed one original AI image previously detected by E43, so it failed the complete acceptance contract. Later source-separated diagnostics and localization experiments exposed additional limitations. The completed deliverables include trained research artifacts, a guarded web demo, experiment and dataset records, and automated software checks. The project demonstrates a working, traceable prototype and substantial improvement on a defined development collection. It does not establish universal detection or production readiness. Future work should prioritize genuinely independent sources, calibration separated from evaluation and broader localization tests before stronger claims.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13</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14</w:t>
      </w:r>
    </w:p>
    <w:p>
      <w:pPr>
        <w:tabs>
          <w:tab w:pos="9029" w:val="right" w:leader="dot"/>
        </w:tabs>
        <w:spacing w:line="348" w:lineRule="auto"/>
        <w:jc w:val="left"/>
      </w:pPr>
      <w:r>
        <w:rPr>
          <w:rFonts w:ascii="Times New Roman" w:hAnsi="Times New Roman"/>
          <w:color w:val="000000"/>
          <w:sz w:val="24"/>
        </w:rPr>
        <w:t>4.5.3 Data roles and processing conditions</w:t>
        <w:tab/>
        <w:t>15</w:t>
      </w:r>
    </w:p>
    <w:p>
      <w:pPr>
        <w:tabs>
          <w:tab w:pos="9029" w:val="right" w:leader="dot"/>
        </w:tabs>
        <w:spacing w:line="348" w:lineRule="auto"/>
        <w:jc w:val="left"/>
      </w:pPr>
      <w:r>
        <w:rPr>
          <w:rFonts w:ascii="Times New Roman" w:hAnsi="Times New Roman"/>
          <w:color w:val="000000"/>
          <w:sz w:val="24"/>
        </w:rPr>
        <w:t>4.5.4 E92 representation and learning</w:t>
        <w:tab/>
        <w:t>16</w:t>
      </w:r>
    </w:p>
    <w:p>
      <w:pPr>
        <w:tabs>
          <w:tab w:pos="9029" w:val="right" w:leader="dot"/>
        </w:tabs>
        <w:spacing w:line="348" w:lineRule="auto"/>
        <w:jc w:val="left"/>
      </w:pPr>
      <w:r>
        <w:rPr>
          <w:rFonts w:ascii="Times New Roman" w:hAnsi="Times New Roman"/>
          <w:color w:val="000000"/>
          <w:sz w:val="24"/>
        </w:rPr>
        <w:t>4.5.5 Development improvement and acceptance limits</w:t>
        <w:tab/>
        <w:t>17</w:t>
      </w:r>
    </w:p>
    <w:p>
      <w:pPr>
        <w:tabs>
          <w:tab w:pos="9029" w:val="right" w:leader="dot"/>
        </w:tabs>
        <w:spacing w:line="348" w:lineRule="auto"/>
        <w:jc w:val="left"/>
      </w:pPr>
      <w:r>
        <w:rPr>
          <w:rFonts w:ascii="Times New Roman" w:hAnsi="Times New Roman"/>
          <w:color w:val="000000"/>
          <w:sz w:val="24"/>
        </w:rPr>
        <w:t>4.5.6 Honest scores and the web demonstration</w:t>
        <w:tab/>
        <w:t>19</w:t>
      </w:r>
    </w:p>
    <w:p>
      <w:pPr>
        <w:tabs>
          <w:tab w:pos="9029" w:val="right" w:leader="dot"/>
        </w:tabs>
        <w:spacing w:line="348" w:lineRule="auto"/>
        <w:jc w:val="left"/>
      </w:pPr>
      <w:r>
        <w:rPr>
          <w:rFonts w:ascii="Times New Roman" w:hAnsi="Times New Roman"/>
          <w:color w:val="000000"/>
          <w:sz w:val="24"/>
        </w:rPr>
        <w:t>4.5.7 Broader checks and rejected improvements</w:t>
        <w:tab/>
        <w:t>20</w:t>
      </w:r>
    </w:p>
    <w:p>
      <w:pPr>
        <w:tabs>
          <w:tab w:pos="9029" w:val="right" w:leader="dot"/>
        </w:tabs>
        <w:spacing w:line="348" w:lineRule="auto"/>
        <w:jc w:val="left"/>
      </w:pPr>
      <w:r>
        <w:rPr>
          <w:rFonts w:ascii="Times New Roman" w:hAnsi="Times New Roman"/>
          <w:color w:val="000000"/>
          <w:sz w:val="24"/>
        </w:rPr>
        <w:t>4.5.8 Model2 localization and its limits</w:t>
        <w:tab/>
        <w:t>21</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22</w:t>
      </w:r>
    </w:p>
    <w:p>
      <w:pPr>
        <w:tabs>
          <w:tab w:pos="9029" w:val="right" w:leader="dot"/>
        </w:tabs>
        <w:spacing w:line="348" w:lineRule="auto"/>
        <w:jc w:val="left"/>
      </w:pPr>
      <w:r>
        <w:rPr>
          <w:rFonts w:ascii="Times New Roman" w:hAnsi="Times New Roman"/>
          <w:color w:val="000000"/>
          <w:sz w:val="24"/>
        </w:rPr>
        <w:t>5. Internship experience</w:t>
        <w:tab/>
        <w:t>23</w:t>
      </w:r>
    </w:p>
    <w:p>
      <w:pPr>
        <w:tabs>
          <w:tab w:pos="9029" w:val="right" w:leader="dot"/>
        </w:tabs>
        <w:spacing w:line="348" w:lineRule="auto"/>
        <w:jc w:val="left"/>
      </w:pPr>
      <w:r>
        <w:rPr>
          <w:rFonts w:ascii="Times New Roman" w:hAnsi="Times New Roman"/>
          <w:color w:val="000000"/>
          <w:sz w:val="24"/>
        </w:rPr>
        <w:t>5.1 Learning</w:t>
        <w:tab/>
        <w:t>23</w:t>
      </w:r>
    </w:p>
    <w:p>
      <w:pPr>
        <w:tabs>
          <w:tab w:pos="9029" w:val="right" w:leader="dot"/>
        </w:tabs>
        <w:spacing w:line="348" w:lineRule="auto"/>
        <w:jc w:val="left"/>
      </w:pPr>
      <w:r>
        <w:rPr>
          <w:rFonts w:ascii="Times New Roman" w:hAnsi="Times New Roman"/>
          <w:color w:val="000000"/>
          <w:sz w:val="24"/>
        </w:rPr>
        <w:t>5.2 Relation to undergraduate education</w:t>
        <w:tab/>
        <w:t>23</w:t>
      </w:r>
    </w:p>
    <w:p>
      <w:pPr>
        <w:tabs>
          <w:tab w:pos="9029" w:val="right" w:leader="dot"/>
        </w:tabs>
        <w:spacing w:line="348" w:lineRule="auto"/>
        <w:jc w:val="left"/>
      </w:pPr>
      <w:r>
        <w:rPr>
          <w:rFonts w:ascii="Times New Roman" w:hAnsi="Times New Roman"/>
          <w:color w:val="000000"/>
          <w:sz w:val="24"/>
        </w:rPr>
        <w:t>5.3 Major difficulties</w:t>
        <w:tab/>
        <w:t>24</w:t>
      </w:r>
    </w:p>
    <w:p>
      <w:pPr>
        <w:tabs>
          <w:tab w:pos="9029" w:val="right" w:leader="dot"/>
        </w:tabs>
        <w:spacing w:line="348" w:lineRule="auto"/>
        <w:jc w:val="left"/>
      </w:pPr>
      <w:r>
        <w:rPr>
          <w:rFonts w:ascii="Times New Roman" w:hAnsi="Times New Roman"/>
          <w:color w:val="000000"/>
          <w:sz w:val="24"/>
        </w:rPr>
        <w:t>5.4 A typical day</w:t>
        <w:tab/>
        <w:t>24</w:t>
      </w:r>
    </w:p>
    <w:p>
      <w:pPr>
        <w:tabs>
          <w:tab w:pos="9029" w:val="right" w:leader="dot"/>
        </w:tabs>
        <w:spacing w:line="348" w:lineRule="auto"/>
        <w:jc w:val="left"/>
      </w:pPr>
      <w:r>
        <w:rPr>
          <w:rFonts w:ascii="Times New Roman" w:hAnsi="Times New Roman"/>
          <w:color w:val="000000"/>
          <w:sz w:val="24"/>
        </w:rPr>
        <w:t>6. Conclusions</w:t>
        <w:tab/>
        <w:t>25</w:t>
      </w:r>
    </w:p>
    <w:p>
      <w:pPr>
        <w:tabs>
          <w:tab w:pos="9029" w:val="right" w:leader="dot"/>
        </w:tabs>
        <w:spacing w:line="348" w:lineRule="auto"/>
        <w:jc w:val="left"/>
      </w:pPr>
      <w:r>
        <w:rPr>
          <w:rFonts w:ascii="Times New Roman" w:hAnsi="Times New Roman"/>
          <w:color w:val="000000"/>
          <w:sz w:val="24"/>
        </w:rPr>
        <w:t>7. Recommendations</w:t>
        <w:tab/>
        <w:t>26</w:t>
      </w:r>
    </w:p>
    <w:p>
      <w:pPr>
        <w:tabs>
          <w:tab w:pos="9029" w:val="right" w:leader="dot"/>
        </w:tabs>
        <w:spacing w:line="348" w:lineRule="auto"/>
        <w:jc w:val="left"/>
      </w:pPr>
      <w:r>
        <w:rPr>
          <w:rFonts w:ascii="Times New Roman" w:hAnsi="Times New Roman"/>
          <w:color w:val="000000"/>
          <w:sz w:val="24"/>
        </w:rPr>
        <w:t>8. References</w:t>
        <w:tab/>
        <w:t>27</w:t>
      </w:r>
    </w:p>
    <w:p>
      <w:pPr>
        <w:tabs>
          <w:tab w:pos="9029" w:val="right" w:leader="dot"/>
        </w:tabs>
        <w:spacing w:line="348" w:lineRule="auto"/>
        <w:jc w:val="left"/>
      </w:pPr>
      <w:r>
        <w:rPr>
          <w:rFonts w:ascii="Times New Roman" w:hAnsi="Times New Roman"/>
          <w:color w:val="000000"/>
          <w:sz w:val="24"/>
        </w:rPr>
        <w:t>9. Appendices</w:t>
        <w:tab/>
        <w:t>29</w:t>
      </w:r>
    </w:p>
    <w:p>
      <w:pPr>
        <w:tabs>
          <w:tab w:pos="9029" w:val="right" w:leader="dot"/>
        </w:tabs>
        <w:spacing w:line="348" w:lineRule="auto"/>
        <w:jc w:val="left"/>
      </w:pPr>
      <w:r>
        <w:rPr>
          <w:rFonts w:ascii="Times New Roman" w:hAnsi="Times New Roman"/>
          <w:color w:val="000000"/>
          <w:sz w:val="24"/>
        </w:rPr>
        <w:t>9.1 Development criteria</w:t>
        <w:tab/>
        <w:t>29</w:t>
      </w:r>
    </w:p>
    <w:p>
      <w:pPr>
        <w:tabs>
          <w:tab w:pos="9029" w:val="right" w:leader="dot"/>
        </w:tabs>
        <w:spacing w:line="348" w:lineRule="auto"/>
        <w:jc w:val="left"/>
      </w:pPr>
      <w:r>
        <w:rPr>
          <w:rFonts w:ascii="Times New Roman" w:hAnsi="Times New Roman"/>
          <w:color w:val="000000"/>
          <w:sz w:val="24"/>
        </w:rPr>
        <w:t>9.2 Evidence and reproduction map</w:t>
        <w:tab/>
        <w:t>30</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current local demonstration uses E92. Its success is qualified: it satisfies 20 numerical checks on reused development observations, but fails a separate rule that protects previously detected AI examples.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(Türk Telekom, 2026a). I completed my internship at Fatih Sultan Mehmet Mah., Balkan Cad. No:49, 34771 Ümraniye, İstanbul. This is the internship office, distinct from the registered headquarters. The corporate website is https://www.turktelekom.com.tr. The internship contact supplied in the approved record is +90 312 555 93 92.</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Competitors and suppliers were mentioned during my internship, but we did not discuss them in detail. The main competitors and major suppliers relevant to the unit remain [TO COMPLETE: confirmed competitor and supplier names]. I have not inferred a supplier ranking from these brief discussions.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provides corporate context; the reporting line of my host unit still requires confirmation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My host unit was Planlama ve Geliştirme Müdürlüğü (Planning and Development Directorate). Its formal reporting line remains [TO COMPLETE: department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was Planlama ve Geliştirme Müdürlüğü (Planning and Development Directorate). Its specific responsibilities remain [TO COMPLETE: department responsibilities]. My supervisor was Önder Çelebi, whose supplied contact is onder.celebi@turktelekom.com.tr. His title remains [TO COMPLETE: supervisor title]. I also consulted mentors, whose names, titles and work email addresses remain [TO COMPLETE: mentor details]. These consultations supported an individually conducted project.</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widowControl/>
        <w:spacing w:line="480" w:lineRule="auto" w:before="0" w:after="0"/>
      </w:pPr>
      <w:r>
        <w:rPr>
          <w:rFonts w:ascii="Times New Roman" w:hAnsi="Times New Roman"/>
          <w:color w:val="000000"/>
          <w:sz w:val="24"/>
        </w:rPr>
        <w:t>An industry example addresses the same trust problem through a different form of evidence. Adobe Content Credentials can record a file’s origin, edits and use of generative AI (Adobe, n.d.). PixelProof instead estimates a signal from image pixels. These approaches could complement each other, but this project did not implement credential verification. The comparison helps explain why a detector score alone should not be presented as proof of authenticity.</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I carried out the project individually. I consulted my supervisor and mentors when I needed guidance, but generally made the project decisions myself. They explained evaluation concepts such as true positives and false negatives. Their role was advisory rather than shared implementation. My work covered dataset acquisition and admission records, label mapping, duplicate and ancestry checks, model experiments, API and interface development, and maintenance of PLAN.md, HISTORY.md, ml/EXPERIMENTS.md and DATASETS.md.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The workflow became more disciplined as problems emerged. Before a later experiment, the plan stated the question, data and acceptance rules. After the run, the experiment log recorded results and failures, and the history explained the decision. The dataset register recorded what was acquired and why it could be used. For example, correcting reversed labels required rerunning affected experiments and withdrawing an earlier conclusion. These records show how a result changed the next step; they are not simply a collection of successful scores.</w:t>
      </w:r>
    </w:p>
    <w:p>
      <w:pPr>
        <w:widowControl/>
        <w:spacing w:line="480" w:lineRule="auto" w:before="0" w:after="0"/>
      </w:pPr>
      <w:r>
        <w:rPr>
          <w:rFonts w:ascii="Times New Roman" w:hAnsi="Times New Roman"/>
          <w:color w:val="000000"/>
          <w:sz w:val="24"/>
        </w:rPr>
        <w:t>Training data taught the model. Calibration data helped choose the score threshold. Development data revealed weaknesses and guided further changes. Final evaluation required data that had not influenced these decisions. Repeatedly checking the same collection makes it development evidence, even when each new run has fixed settings. The main error measures were AI detection rate and false alerts on real photographs. AUC measured ranking across thresholds; it did not establish that a particular decision rule was safe.</w:t>
      </w:r>
    </w:p>
    <w:p>
      <w:pPr>
        <w:widowControl/>
        <w:spacing w:line="480" w:lineRule="auto" w:before="0" w:after="0"/>
      </w:pPr>
      <w:r>
        <w:rPr>
          <w:rFonts w:ascii="Times New Roman" w:hAnsi="Times New Roman"/>
          <w:color w:val="000000"/>
          <w:sz w:val="24"/>
        </w:rPr>
        <w:t>Python, PyTorch, NumPy, SciPy and scikit-learn supported modelling and analysis. The local interface used React and TypeScript with a FastAPI inference service. Git preserved implementation history, while automated Python and web checks supported reproducibility. Model artifacts and important input records were bound to cryptographic hashes. Table 1 distinguishes these components by purpose.</w:t>
      </w:r>
    </w:p>
    <w:p>
      <w:pPr>
        <w:pStyle w:val="Caption"/>
        <w:keepNext/>
        <w:widowControl/>
        <w:spacing w:line="480" w:lineRule="auto" w:before="0" w:after="0"/>
        <w:jc w:val="center"/>
      </w:pPr>
      <w:r>
        <w:rPr>
          <w:rFonts w:ascii="Times New Roman" w:hAnsi="Times New Roman"/>
          <w:color w:val="000000"/>
          <w:sz w:val="24"/>
        </w:rPr>
        <w:t>Table 1. Main tools and their roles in the project.</w:t>
      </w:r>
    </w:p>
    <w:tbl>
      <w:tblPr>
        <w:tblW w:type="auto" w:w="0"/>
        <w:jc w:val="center"/>
        <w:tblLayout w:type="fixed"/>
        <w:tblLook w:firstColumn="1" w:firstRow="1" w:lastColumn="0" w:lastRow="0" w:noHBand="0" w:noVBand="1" w:val="04A0"/>
      </w:tblPr>
      <w:tblGrid>
        <w:gridCol w:w="3024"/>
        <w:gridCol w:w="6005"/>
      </w:tblGrid>
      <w:tr>
        <w:trPr>
          <w:tblHeader/>
          <w:cantSplit/>
        </w:trPr>
        <w:tc>
          <w:tcPr>
            <w:tcW w:type="dxa" w:w="30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Component</w:t>
            </w:r>
          </w:p>
        </w:tc>
        <w:tc>
          <w:tcPr>
            <w:tcW w:type="dxa" w:w="600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Purpose</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PyTorch and pretrained encoders</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Visual features and learned adaptation</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NumPy, SciPy and scikit-learn</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Feature transforms, optimization and metrics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FastAPI</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Validated local inference requests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React and TypeScript</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Uploads and understandable result display</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Git and GitHub Actions</w:t>
            </w:r>
          </w:p>
        </w:tc>
        <w:tc>
          <w:tcPr>
            <w:tcW w:type="dxa" w:w="600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Version history and automated checks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On the familiar CIFAKE test, the ResNet result improved to 97.66%, yet its accuracy on the 995-image external collection fell to 25.2%. A control that reproduced the training resolution bottleneck recovered much of the loss. This showed that a stronger architecture could still fail when image preparation changed (Keleş, 2026, E1–E6).</w:t>
      </w:r>
    </w:p>
    <w:p>
      <w:pPr>
        <w:widowControl/>
        <w:spacing w:line="480" w:lineRule="auto" w:before="0" w:after="0"/>
      </w:pPr>
      <w:r>
        <w:rPr>
          <w:rFonts w:ascii="Times New Roman" w:hAnsi="Times New Roman"/>
          <w:color w:val="000000"/>
          <w:sz w:val="24"/>
        </w:rPr>
        <w:t>Later experiments used native-resolution data, image statistics and tile-based features. The goal was to retain fine detail without allowing dimensions or processing history to dominate the decision. Some specialist methods helped particular sources but harmed others. Simple averaging of model scores did not supply a consistently better detector. These comparisons redirected the work toward source coverage and evaluation design rather than selecting the most impressive isolated score.</w:t>
      </w:r>
    </w:p>
    <w:p>
      <w:pPr>
        <w:widowControl/>
        <w:spacing w:line="480" w:lineRule="auto" w:before="0" w:after="0"/>
      </w:pPr>
      <w:r>
        <w:rPr>
          <w:rFonts w:ascii="Times New Roman" w:hAnsi="Times New Roman"/>
          <w:color w:val="000000"/>
          <w:sz w:val="24"/>
        </w:rPr>
        <w:t>The early conclusions also required correction. Fixed-size crops do not automatically make a biased dataset safe, and a plausible physical explanation does not prove what a learned model uses. Later notes explicitly qualified the original camera-noise and preprocessing assumptions. The report follows those corrections rather than repeating the strongest early wording.</w:t>
      </w:r>
    </w:p>
    <w:p>
      <w:pPr>
        <w:widowControl/>
        <w:spacing w:line="480" w:lineRule="auto" w:before="0" w:after="0"/>
      </w:pPr>
      <w:r>
        <w:rPr>
          <w:rFonts w:ascii="Times New Roman" w:hAnsi="Times New Roman"/>
          <w:color w:val="000000"/>
          <w:sz w:val="24"/>
        </w:rPr>
        <w:t>The next phase compared the project-trained E20 tile model with frozen Community-Forensics and B-Free detectors. External representations improved some results, but each still produced severe false alerts on particular real-image sources. The E26 comparison used a union of source-calibrated alerts, while later modern-generator probes exposed remaining blind spots. E31 and E32 then showed that strong internal results could collapse on new real-image sources. These stages explain why the project continued beyond its first working demo (Keleş, 2026, E20–E32).</w:t>
      </w:r>
    </w:p>
    <w:p>
      <w:pPr>
        <w:widowControl/>
        <w:spacing w:line="480" w:lineRule="auto" w:before="0" w:after="0"/>
      </w:pPr>
      <w:r>
        <w:rPr>
          <w:rFonts w:ascii="Times New Roman" w:hAnsi="Times New Roman"/>
          <w:color w:val="000000"/>
          <w:sz w:val="24"/>
        </w:rPr>
        <w:t>Threshold changes and more balanced training sources did not consistently solve transfer failures. E42 still failed a larger RR evaluation covering 16,953 original images and 50,858 linked versions. Its successor, E43, improved on familiar RR data but struggled with reconstructed images. Combining specialist detectors then exposed two opposing problems: false alerts on real photographs and missed GAN-generated images. The next phase therefore aimed to correct real-photo errors while retaining AI detections already made by the reference (Keleş, 2026, E33–E50).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One consequence was especially instructive: a DINOv2 result previously interpreted as near chance on Defactify changed from AUC 0.480 to 0.764 after label correction. The original explanation for failure was therefore withdrawn. This was a data-semantics error, not an architectural discovery. The record preserves the mistake and the correction so later conclusions do not silently inherit invalid evidence.</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The dataset register recorded each source, its licence, intended use and integrity checks. Downloading a collection did not make it training data. The audit checked identical files, similar images and known shared scenes or prompts. Where the original source could not be established, the report keeps that uncertainty. A parent image means the original observation before this project creates resized or compressed versions of it.</w:t>
      </w:r>
    </w:p>
    <w:p>
      <w:pPr>
        <w:widowControl/>
        <w:spacing w:line="480" w:lineRule="auto" w:before="0" w:after="0"/>
      </w:pPr>
      <w:r>
        <w:rPr>
          <w:rFonts w:ascii="Times New Roman" w:hAnsi="Times New Roman"/>
          <w:color w:val="000000"/>
          <w:sz w:val="24"/>
        </w:rPr>
        <w:t>E92 used 12,269 training parent images, comprising 7,674 real and 4,595 AI examples. Four processing conditions produced 49,076 views. Later research expanded the real population to 7,930, giving 12,525 parents and 50,100 views. These later counts must not be attributed to the earlier E92 fit. Table 2 separates the main populations (Keleş, 2026, E92 and E139).</w:t>
      </w:r>
    </w:p>
    <w:p>
      <w:pPr>
        <w:pStyle w:val="Caption"/>
        <w:keepNext/>
        <w:widowControl/>
        <w:spacing w:line="480" w:lineRule="auto" w:before="0" w:after="0"/>
        <w:jc w:val="center"/>
      </w:pPr>
      <w:r>
        <w:rPr>
          <w:rFonts w:ascii="Times New Roman" w:hAnsi="Times New Roman"/>
          <w:color w:val="000000"/>
          <w:sz w:val="24"/>
        </w:rPr>
        <w:t>Table 2. Distinct populations and their permissible interpretation.</w:t>
      </w:r>
    </w:p>
    <w:tbl>
      <w:tblPr>
        <w:tblW w:type="auto" w:w="0"/>
        <w:jc w:val="center"/>
        <w:tblLayout w:type="fixed"/>
        <w:tblLook w:firstColumn="1" w:firstRow="1" w:lastColumn="0" w:lastRow="0" w:noHBand="0" w:noVBand="1" w:val="04A0"/>
      </w:tblPr>
      <w:tblGrid>
        <w:gridCol w:w="3456"/>
        <w:gridCol w:w="1152"/>
        <w:gridCol w:w="1584"/>
        <w:gridCol w:w="2837"/>
      </w:tblGrid>
      <w:tr>
        <w:trPr>
          <w:tblHeader/>
          <w:cantSplit/>
        </w:trPr>
        <w:tc>
          <w:tcPr>
            <w:tcW w:type="dxa" w:w="345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58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283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E66 comparison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58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283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widowControl/>
        <w:spacing w:line="480" w:lineRule="auto" w:before="0" w:after="0"/>
      </w:pPr>
      <w:r>
        <w:rPr>
          <w:rFonts w:ascii="Times New Roman" w:hAnsi="Times New Roman"/>
          <w:color w:val="000000"/>
          <w:sz w:val="24"/>
        </w:rPr>
        <w:t>An earlier, larger E49-C test contained 1,000 real and 1,000 AI parent images. E43 falsely flagged 391 real originals and 490 processed copies, while detecting 943 and 955 AI images respectively. It passed 11 of 20 checks. After inspection, these results could guide research but no longer serve as an untouched final test. E92 was not evaluated on this collection because it failed the earlier acceptance stage. Its later 20/20 development result therefore cannot be reported as passing E49-C (Keleş, 2026, E49 and E92).</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The route to E92 involved several rejected alternatives. Broader real-image coverage reduced false alerts but sometimes lost AI detections. Fine-tuning, grayscale input and small score corrections did not meet the full requirements. Later work added CLIP and DEAR features, a learned representation, and processing conditions closer to web use. E83 and E86 each passed 17 of 20 development checks. Additional training coverage preceded E92, although this sequence alone does not prove which added source caused the improvement (Keleş, 2026, E51–E92).</w:t>
      </w:r>
    </w:p>
    <w:p>
      <w:pPr>
        <w:widowControl/>
        <w:spacing w:line="480" w:lineRule="auto" w:before="0" w:after="0"/>
      </w:pPr>
      <w:r>
        <w:rPr>
          <w:rFonts w:ascii="Times New Roman" w:hAnsi="Times New Roman"/>
          <w:color w:val="000000"/>
          <w:sz w:val="24"/>
        </w:rPr>
        <w:t>E92 uses pretrained DINOv2, CLIP and DEAR components to turn images into numerical features. Their weights stay fixed. Project-trained components then learn how to use those features, and a correction adjusts the reference score. The correction was constrained to protect AI responses on training examples while reducing errors on difficult real-image sources. This protection had to be checked again on development images; a training constraint alone could not guarantee it.</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complete acceptance contract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widowControl/>
        <w:spacing w:line="480" w:lineRule="auto" w:before="0" w:after="0"/>
      </w:pPr>
      <w:r>
        <w:rPr>
          <w:rFonts w:ascii="Times New Roman" w:hAnsi="Times New Roman"/>
          <w:color w:val="000000"/>
          <w:sz w:val="24"/>
        </w:rPr>
        <w:t>The later E102 candidate reduced processed-view real false alerts further, from 14 to 12 of 160, and retained every E92-detected AI image. Nevertheless, it still missed the same E43-detected original AI example and failed complete acceptance. It was not promoted, and its gallery and E49 evaluations were not opened. E92 therefore identifies the current demo version, not the lowest value ever recorded in a development table (Keleş, 2026,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local demonstration reports AI evidence, no clear AI evidence or uncertainty. It does not certify a photograph as real. On the displayed 0–100 score scale, the upper threshold is about 7.94 and the lower threshold about 1.15. The upper threshold came from earlier E48 calibration with limits on real-photo false alerts. The lower one came from E49 analysis of already-used calibration and development data. Neither is a probability or a universal optimum. Exact values are preserved in the project records.</w:t>
      </w:r>
    </w:p>
    <w:p>
      <w:pPr>
        <w:widowControl/>
        <w:spacing w:line="480" w:lineRule="auto" w:before="0" w:after="0"/>
      </w:pPr>
      <w:r>
        <w:rPr>
          <w:rFonts w:ascii="Times New Roman" w:hAnsi="Times New Roman"/>
          <w:color w:val="000000"/>
          <w:sz w:val="24"/>
        </w:rPr>
        <w:t>An original score at or above the upper cut keeps an AI alert visible. If both E92 views are below the lower cut, the interface reports no clear signal. Other cases need uncertainty handling. An original AI alert with disagreement can carry a review warning. E43 supplies a separate advisory and no longer vetoes two low E92 scores. Thus the final paired display cannot be reconstructed from one displayed percentage or from an assumed 50% boundary.</w:t>
      </w:r>
    </w:p>
    <w:p>
      <w:pPr>
        <w:widowControl/>
        <w:spacing w:line="480" w:lineRule="auto" w:before="0" w:after="0"/>
      </w:pPr>
      <w:r>
        <w:rPr>
          <w:rFonts w:ascii="Times New Roman" w:hAnsi="Times New Roman"/>
          <w:color w:val="000000"/>
          <w:sz w:val="24"/>
        </w:rPr>
        <w:t>The final interface rule was also checked on the same 320 development images. Of 160 real images, 139 received no clear AI evidence and 21 remained uncertain; none received an AI alert. Of 160 AI images, 159 received an AI alert and one remained uncertain. These counts combine two views into one user result. They differ from the separate-view rates reported earlier, and they do not predict the outcome of every future upload (Keleş, 2026, current-policy audit).</w:t>
      </w:r>
    </w:p>
    <w:p>
      <w:pPr>
        <w:widowControl/>
        <w:spacing w:line="480" w:lineRule="auto" w:before="0" w:after="0"/>
      </w:pPr>
      <w:r>
        <w:rPr>
          <w:rFonts w:ascii="Times New Roman" w:hAnsi="Times New Roman"/>
          <w:color w:val="000000"/>
          <w:sz w:val="24"/>
        </w:rPr>
        <w:t>The service rejects unsupported or oversized uploads and gives an explicit error when the model is unavailable. It checks the saved model files before loading them. Cancellation handling prevents a second heavy inference job from starting while an earlier one still runs. The browser checks the response format before showing a result. These repairs make the demo more dependable to use; they do not increase the model’s measured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check found 9 false AI alerts among 206 distinct original real-image files, rising to 18 after social-style processing: 4.37% and 8.74%. The gallery mostly represents one phone and related scenes. It had already influenced earlier development and calibration decisions, so it is not an independent test. It nevertheless shows practical mistakes that the main development result could hide. Private photographs and individual file identifiers are excluded from this report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The added features slightly improved clean-image averages but reduced AI detection after all three tested processing conditions. In one JPEG75 comparison, detection fell from 75.73% to 74.15%. A follow-up analysis examined 131 newly missed AI views. The added residual feature term was the largest harmful score change in 94 cases. This helped locate a weakness, but did not prove that removing the term would fix it. The candidate was rejected (Keleş, 2026, E151–E152).</w:t>
      </w:r>
    </w:p>
    <w:p>
      <w:pPr>
        <w:widowControl/>
        <w:spacing w:line="480" w:lineRule="auto" w:before="0" w:after="0"/>
      </w:pPr>
      <w:r>
        <w:rPr>
          <w:rFonts w:ascii="Times New Roman" w:hAnsi="Times New Roman"/>
          <w:color w:val="000000"/>
          <w:sz w:val="24"/>
        </w:rPr>
        <w:t>The later training audit could form only three AI-bearing groups under the known source relationships. Some shared origins and prompts remained unknown. Another 300 AI images in MNW and 100 real images in HDR+ remained unscored, but they had not been approved together as a balanced, independent final test. Unused data are useful only if their coverage and independence answer the intended question (Keleş, 2026, E139–E146).</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edit regions with reference masks and checks authentic images for false alarms. Early tests used the true mask size to choose the predicted area, which made their overlap scores misleading. In the later 120-image CocoGlide evaluation, a simple central-region baseline still outperformed the detector. This prompted tests with edits placed elsewhere. A separate audit also found shared COCO image origins, limiting claims of independent data (Keleş, 2026, E17, E107 and E115–E117).</w:t>
      </w:r>
    </w:p>
    <w:p>
      <w:pPr>
        <w:widowControl/>
        <w:spacing w:line="480" w:lineRule="auto" w:before="0" w:after="0"/>
      </w:pPr>
      <w:r>
        <w:rPr>
          <w:rFonts w:ascii="Times New Roman" w:hAnsi="Times New Roman"/>
          <w:color w:val="000000"/>
          <w:sz w:val="24"/>
        </w:rPr>
        <w:t>The controlled pilot used sixteen previously inspected images and one Stable Diffusion 1.5 editor. Moving edits reduced the earlier model’s pixel AUC from 0.742 to 0.566. Training on both placements partly recovered new-placement performance, but harmed original-placement performance and highlighted more authentic pixels incorrectly. Table 3 summarizes these trade-offs, with AUC rounded to two decimals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most useful lesson from the work is to ask what a good score actually proves. The first high accuracy values encouraged further development, but errors on new sources changed the priority. The project then needed better data checks and comparisons, not just a larger model. The reversed-label incident is the clearest example: checking the inputs overturned an explanation that had sounded convincing.</w:t>
      </w:r>
    </w:p>
    <w:p>
      <w:pPr>
        <w:widowControl/>
        <w:spacing w:line="480" w:lineRule="auto" w:before="0" w:after="0"/>
      </w:pPr>
      <w:r>
        <w:rPr>
          <w:rFonts w:ascii="Times New Roman" w:hAnsi="Times New Roman"/>
          <w:color w:val="000000"/>
          <w:sz w:val="24"/>
        </w:rPr>
        <w:t>I learned how to sustain a long project on my own and reduce its scope when the work became too complex. Asking focused questions helped me communicate problems and use advice while remaining responsible for my decisions. Running my own experiments made machine learning concepts more concrete. I was already interested in this field before the internship; applying it in a substantial project strengthened that interest and gave me a clearer understanding of the work involved.</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gave me the concepts I used to start this project and develop the initial experiments. PROJ201 had introduced me to applied machine learning through a team project for an application intended to guide visually impaired users. We trained YOLOv11 on a custom dataset and integrated it into the application; our team placed first in our group. That experience gave me an initial understanding of model training and application integration. DSA210 provided my early foundations in data science, which helped me approach the data preparation and analysis in this internship.</w:t>
      </w:r>
    </w:p>
    <w:p>
      <w:pPr>
        <w:widowControl/>
        <w:spacing w:line="480" w:lineRule="auto" w:before="0" w:after="0"/>
      </w:pPr>
      <w:r>
        <w:rPr>
          <w:rFonts w:ascii="Times New Roman" w:hAnsi="Times New Roman"/>
          <w:color w:val="000000"/>
          <w:sz w:val="24"/>
        </w:rPr>
        <w:t>The internship exposed preparation needs beyond the initial model fit. Experimental design and data provenance required particular attention: valid image files could still have inconsistent labels, and different files could share scenes or generation ancestry. These issues became clearer through the project’s failed experiments and corrections.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On office days, I usually arrived at 7:30 a.m. After breakfast, I worked through the morning until around noon or early afternoon. I continued working afterwards, with occasional short tea or coffee breaks.</w:t>
      </w:r>
    </w:p>
    <w:p>
      <w:pPr>
        <w:widowControl/>
        <w:spacing w:line="480" w:lineRule="auto" w:before="0" w:after="0"/>
      </w:pPr>
      <w:r>
        <w:rPr>
          <w:rFonts w:ascii="Times New Roman" w:hAnsi="Times New Roman"/>
          <w:color w:val="000000"/>
          <w:sz w:val="24"/>
        </w:rPr>
        <w:t>My tasks followed the stage of the project: reviewing the plan, implementing a change, running experiments, interpreting results and updating the records. When a question arose, I consulted my supervisor or mentors for clarification and then decided how to proceed. This routine helped me maintain progress during a long individual project.</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main result has a clear limit. The 20 numerical checks passed, but one AI image caught by the reference became a new miss. Repeated use of the development data also restricts how far the result can be generalized. Later source tests and the Model2 pilot found further weaknesses. These findings explain why the system remains a research prototype.</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(n.d.). Content Credentials overview. Adobe Help Center. Retrieved September 25,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extra zero-new-reference-AI-miss requirement remains separate and failed for E92.</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comprehensive-final failure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evidence/e49_final_result.json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Unpromoted E102 successor</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evidence/e102_development.json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