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via the school website, increasing teacher collaboration and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accuracy and cutting processing time by 75%, while applying data-driven teaching strategies that lifted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project-based computer science curriculum aligned with industry trends, driving a 30% increase in STEM extracurricular enrollment, and coached the school's coding team to a first-place regional competition win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2026-07-24T07:54:20.452Z</dcterms:created>
  <dcterms:modified xsi:type="dcterms:W3CDTF">2026-07-24T07:54:20.452Z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