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and Python Developer with 5+ years of expertise in backend development, database engineering, and machine learning. Proven track record of architecting production-ready platforms (FastAPI, Flask, Node.js, React) with 88.3% ML prediction accuracy and 500+ API routes. Specialized in Python, PostgreSQL, JavaScript/TypeScript, and cloud technologies (AWS, Docker). Strong experience building enterprise-grade systems with XGBoost, Scikit-learn, and real-time data pipelines.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HTML5 • CSS3 • SQL • Java • React • Tailwind CSS • Bootstrap • Vite • Responsive Design • Flask • FastAPI • Node.js • Express.js • RESTful APIs • JWT • Docker • Git • Scikit-learn • XGBoost • LightGBM • Random Forest • AutoML • OpenAI API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Consultant</w:t>
      </w:r>
      <w:r>
        <w:rPr>
          <w:sz w:val="22"/>
          <w:szCs w:val="22"/>
          <w:rFonts w:ascii="Times New Roman" w:cs="Times New Roman" w:eastAsia="Times New Roman" w:hAnsi="Times New Roman"/>
        </w:rPr>
        <w:t xml:space="preserve"> | Finecare Diagnostic Limited</w:t>
      </w:r>
    </w:p>
    <w:p>
      <w:pPr>
        <w:spacing w:after="100"/>
      </w:pPr>
      <w:r>
        <w:rPr>
          <w:i/>
          <w:iCs/>
          <w:sz w:val="20"/>
          <w:szCs w:val="20"/>
          <w:rFonts w:ascii="Times New Roman" w:cs="Times New Roman" w:eastAsia="Times New Roman" w:hAnsi="Times New Roman"/>
        </w:rPr>
        <w:t xml:space="preserve">Sapele, Nigeria | Oct 2020 – Oct 2021</w:t>
      </w:r>
    </w:p>
    <w:p>
      <w:pPr>
        <w:spacing w:after="50"/>
        <w:ind w:left="360"/>
      </w:pPr>
      <w:r>
        <w:rPr>
          <w:sz w:val="20"/>
          <w:szCs w:val="20"/>
          <w:rFonts w:ascii="Times New Roman" w:cs="Times New Roman" w:eastAsia="Times New Roman" w:hAnsi="Times New Roman"/>
        </w:rPr>
        <w:t xml:space="preserve">• Devised and executed IT infrastructure solutions, including network setup and maintenance, boosting operational efficiency</w:t>
      </w:r>
    </w:p>
    <w:p>
      <w:pPr>
        <w:spacing w:after="50"/>
        <w:ind w:left="360"/>
      </w:pPr>
      <w:r>
        <w:rPr>
          <w:sz w:val="20"/>
          <w:szCs w:val="20"/>
          <w:rFonts w:ascii="Times New Roman" w:cs="Times New Roman" w:eastAsia="Times New Roman" w:hAnsi="Times New Roman"/>
        </w:rPr>
        <w:t xml:space="preserve">• Achieved a 65% increase in accounting accuracy by introducing invoicing software for receipts generation</w:t>
      </w:r>
    </w:p>
    <w:p>
      <w:pPr>
        <w:spacing w:after="50"/>
        <w:ind w:left="360"/>
      </w:pPr>
      <w:r>
        <w:rPr>
          <w:sz w:val="20"/>
          <w:szCs w:val="20"/>
          <w:rFonts w:ascii="Times New Roman" w:cs="Times New Roman" w:eastAsia="Times New Roman" w:hAnsi="Times New Roman"/>
        </w:rPr>
        <w:t xml:space="preserve">• Conducted market research and customer surveys to identify business expansion opportunities</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2018 – Oct 2020</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(Feb 2026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Powered by Gemini 2.0 Flash, it provides comprehensive job search optimization including ATS resume scoring with keyword gap analysis, AI-powered contextual resume rewriting using X-Y-Z impact framework, tailored cover letter generation, and resume version control. Features tough AI recruiter mock interviews with STAR method coaching, Canadian salary intelligence with NOC code matching and negotiation strategies, and LinkedIn profile optimization. Built for the Canadian market with full PIPEDA compliance, Canadian data residency (Montreal), and bilingual support. Includes subscription tiers (Free/Pro/Premium) with Stripe, Apple IAP, and Google Play Billing integration,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Compose Multiplatform, Gemini 2.0 Flash, Ktor, PostgreSQL, SQLDelight, Firebase,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2026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Comprehensive web-based statistical analysis platform (v4.2.1) with AI-powered report generation. Features 17 analysis types including Bayesian analysis, survival analysis, power analysis, and time series forecasting. Includes complete data management tools (merge, append, split, filter, sort, transform), WCAG 2.1 AA accessibility compliance, GDPR-compliant user authentication, and multi-format export (SPSS, Stata, SAS). Built with Flask, PostgreSQL, and OpenAI GPT-4 integration for intelligent result interpretation. Features health endpoints for container orchestration, keyboard shortcuts for power users, and professional report generation in DOCX/PDF formats. Available globally with Canadian PIPEDA compliance.</w:t>
      </w:r>
    </w:p>
    <w:p>
      <w:pPr>
        <w:spacing w:after="50"/>
        <w:ind w:left="360"/>
      </w:pPr>
      <w:r>
        <w:rPr>
          <w:color w:val="0066CC"/>
          <w:sz w:val="18"/>
          <w:szCs w:val="18"/>
          <w:rFonts w:ascii="Times New Roman" w:cs="Times New Roman" w:eastAsia="Times New Roman" w:hAnsi="Times New Roman"/>
        </w:rPr>
        <w:t xml:space="preserve">  Live: https://tekvwarho-analysis-production.up.railway.app/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OpenAI API, Plotly.js, Bootstrap, Python</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(Oct 2024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2025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a 52% volume surge to a $6.71B peak in 2015, ~80% capital concentration in Nashville proper, and a 2016 cooling trend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2026-07-19T19:53:47.398Z</dcterms:created>
  <dcterms:modified xsi:type="dcterms:W3CDTF">2026-07-19T19:53:47.398Z</dcterms:modified>
</cp:coreProperties>
</file>

<file path=docProps/custom.xml><?xml version="1.0" encoding="utf-8"?>
<Properties xmlns="http://schemas.openxmlformats.org/officeDocument/2006/custom-properties" xmlns:vt="http://schemas.openxmlformats.org/officeDocument/2006/docPropsVTypes"/>
</file>