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and Python Developer with 5+ years of expertise in backend development, database engineering, and machine learning. Proven track record of architecting production-ready platforms (FastAPI, Flask, Node.js, React) with 88.3% ML prediction accuracy and 500+ API routes. Specialized in Python, PostgreSQL, JavaScript/TypeScript, and cloud technologies (AWS, Docker). Strong experience building enterprise-grade systems with XGBoost, Scikit-learn, and real-time data pipelines.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HTML5 • CSS3 • SQL • Java • React • Tailwind CSS • Bootstrap • Vite • Responsive Design • Flask • FastAPI • Node.js • Express.js • RESTful APIs • JWT • Docker • Git • Scikit-learn • XGBoost • LightGBM • Random Forest • AutoML • OpenAI API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Powered by Gemini 2.0 Flash, it provides comprehensive job search optimization including ATS resume scoring with keyword gap analysis, AI-powered contextual resume rewriting using X-Y-Z impact framework, tailored cover letter generation, and resume version control. Features tough AI recruiter mock interviews with STAR method coaching, Canadian salary intelligence with NOC code matching and negotiation strategies, and LinkedIn profile optimization. Built for the Canadian market with full PIPEDA compliance, Canadian data residency (Montreal), and bilingual support. Includes subscription tiers (Free/Pro/Premium) with Stripe, Apple IAP, and Google Play Billing integration,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Compose Multiplatform, Gemini 2.0 Flash, Ktor, PostgreSQL, SQLDelight, Firebase,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Comprehensive web-based statistical analysis platform (v4.2.1) with AI-powered report generation. Features 17 analysis types including Bayesian analysis, survival analysis, power analysis, and time series forecasting. Includes complete data management tools (merge, append, split, filter, sort, transform), WCAG 2.1 AA accessibility compliance, GDPR-compliant user authentication, and multi-format export (SPSS, Stata, SAS). Built with Flask, PostgreSQL, and OpenAI GPT-4 integration for intelligent result interpretation. Features health endpoints for container orchestration, keyboard shortcuts for power users, and professional report generation in DOCX/PDF formats. Available globally with Canadian PIPEDA compliance.</w:t>
      </w:r>
    </w:p>
    <w:p>
      <w:pPr>
        <w:spacing w:after="50"/>
        <w:ind w:left="360"/>
      </w:pPr>
      <w:r>
        <w:rPr>
          <w:color w:val="0066CC"/>
          <w:sz w:val="18"/>
          <w:szCs w:val="18"/>
          <w:rFonts w:ascii="Times New Roman" w:cs="Times New Roman" w:eastAsia="Times New Roman" w:hAnsi="Times New Roman"/>
        </w:rPr>
        <w:t xml:space="preserve">  Live: https://tekvwarho-analysis-production.up.railway.app/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OpenAI API,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a 52% volume surge to a $6.71B peak in 2015, ~80% capital concentration in Nashville proper, and a 2016 cooling trend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2026-07-20T02:52:15.562Z</dcterms:created>
  <dcterms:modified xsi:type="dcterms:W3CDTF">2026-07-20T02:52:15.562Z</dcterms:modified>
</cp:coreProperties>
</file>

<file path=docProps/custom.xml><?xml version="1.0" encoding="utf-8"?>
<Properties xmlns="http://schemas.openxmlformats.org/officeDocument/2006/custom-properties" xmlns:vt="http://schemas.openxmlformats.org/officeDocument/2006/docPropsVTypes"/>
</file>