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Findings from Sponsor meeting @ ICU spy shop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Important Functionality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Log all interactions including door opening and closing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Take a photo each time door open/close and doorbell is rung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Remote monitoring (video feed to cell phone option)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Consider short range motion sensor to activate camera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A UPS or Motorcycle battery would make a good reserve power supply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Consider a self contained system so that people can take the unit with them when they move (renters)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Possible business users include warehouses and job sites with a gate that is separate from the onsite office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 Remote functionality should be paired to a particular smartphone to log WHO interacts with the 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Key Characteristics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Portability of system (see 6 above)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Unobtrusive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No contract for monitoring (IMPORTANT benefit compared to traditional security system)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Immediate response (many security system monitoring companies do not notify police for up to 5-10 minutes after alarm is triggered)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Secure system (lock it in a cage or equivalent)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Existing tech and companies check 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Look into compatibility with IP datatell (Emelio 713-452-2700)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Consider interfacing with Zigby and Zware platforms, our product could be an extension of these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Look at deer stand monitoring cameras as a design goal for hardware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Costs of Established products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Video doorbell ~$300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Deer Stand camera and bracket ~$450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Cheap DVR security system from FRY’S  4 Camera 270, 8 Camera w/1TB hard drive $650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Install from FRY’S 4 Camera $280, 8 Camera $470, Connect DVR to Internet $60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Basic Monitoring ~$20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Interactive Monitoring ~$40 to ~$100+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Findings From Sponsor Meeting.docx</dc:title>
</cp:coreProperties>
</file>