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0F172A"/>
          <w:sz w:val="56"/>
        </w:rPr>
        <w:t>AIntern UAT Plan and User Manual</w:t>
      </w:r>
    </w:p>
    <w:p>
      <w:pPr>
        <w:spacing w:after="240"/>
      </w:pPr>
      <w:r>
        <w:rPr>
          <w:color w:val="505050"/>
          <w:sz w:val="26"/>
        </w:rPr>
        <w:t>Professional pilot testing guide for intern daily logs, supervisor review, official logbook, Weekly/Monthly reports, Final Report Studio, PDF/Word export, QR verification, and offline behavior.</w:t>
      </w:r>
    </w:p>
    <w:tbl>
      <w:tblPr>
        <w:tblStyle w:val="TableGrid"/>
        <w:tblW w:type="auto" w:w="0"/>
        <w:jc w:val="left"/>
        <w:tblLayout w:type="fixed"/>
        <w:tblLook w:firstColumn="1" w:firstRow="1" w:lastColumn="0" w:lastRow="0" w:noHBand="0" w:noVBand="1" w:val="04A0"/>
      </w:tblPr>
      <w:tblGrid>
        <w:gridCol w:w="4680"/>
        <w:gridCol w:w="4680"/>
      </w:tblGrid>
      <w:tr>
        <w:tc>
          <w:tcPr>
            <w:tcW w:type="dxa" w:w="2520"/>
            <w:tcMar>
              <w:top w:w="80" w:type="dxa"/>
              <w:start w:w="120" w:type="dxa"/>
              <w:bottom w:w="80" w:type="dxa"/>
              <w:end w:w="120" w:type="dxa"/>
            </w:tcMar>
            <w:vAlign w:val="center"/>
          </w:tcPr>
          <w:p>
            <w:pPr>
              <w:spacing w:after="0"/>
            </w:pPr>
            <w:r/>
            <w:r>
              <w:rPr>
                <w:color w:val="1F2937"/>
                <w:sz w:val="20"/>
              </w:rPr>
              <w:t>Document owner</w:t>
            </w:r>
          </w:p>
        </w:tc>
        <w:tc>
          <w:tcPr>
            <w:tcW w:type="dxa" w:w="6840"/>
            <w:tcMar>
              <w:top w:w="80" w:type="dxa"/>
              <w:start w:w="120" w:type="dxa"/>
              <w:bottom w:w="80" w:type="dxa"/>
              <w:end w:w="120" w:type="dxa"/>
            </w:tcMar>
            <w:vAlign w:val="center"/>
          </w:tcPr>
          <w:p>
            <w:pPr>
              <w:spacing w:after="0"/>
            </w:pPr>
            <w:r/>
            <w:r>
              <w:rPr>
                <w:color w:val="1F2937"/>
                <w:sz w:val="20"/>
              </w:rPr>
              <w:t>Effort Studio / AIntern</w:t>
            </w:r>
          </w:p>
        </w:tc>
        <w:trPr>
          <w:tblHeader/>
        </w:trPr>
      </w:tr>
      <w:tr>
        <w:tc>
          <w:tcPr>
            <w:tcW w:type="dxa" w:w="2520"/>
            <w:tcMar>
              <w:top w:w="80" w:type="dxa"/>
              <w:start w:w="120" w:type="dxa"/>
              <w:bottom w:w="80" w:type="dxa"/>
              <w:end w:w="120" w:type="dxa"/>
            </w:tcMar>
            <w:vAlign w:val="center"/>
          </w:tcPr>
          <w:p>
            <w:pPr>
              <w:spacing w:after="0"/>
            </w:pPr>
            <w:r/>
            <w:r>
              <w:rPr>
                <w:color w:val="1F2937"/>
                <w:sz w:val="20"/>
              </w:rPr>
              <w:t>Prepared date</w:t>
            </w:r>
          </w:p>
        </w:tc>
        <w:tc>
          <w:tcPr>
            <w:tcW w:type="dxa" w:w="6840"/>
            <w:tcMar>
              <w:top w:w="80" w:type="dxa"/>
              <w:start w:w="120" w:type="dxa"/>
              <w:bottom w:w="80" w:type="dxa"/>
              <w:end w:w="120" w:type="dxa"/>
            </w:tcMar>
            <w:vAlign w:val="center"/>
          </w:tcPr>
          <w:p>
            <w:pPr>
              <w:spacing w:after="0"/>
            </w:pPr>
            <w:r/>
            <w:r>
              <w:rPr>
                <w:color w:val="1F2937"/>
                <w:sz w:val="20"/>
              </w:rPr>
              <w:t>28 July 2026</w:t>
            </w:r>
          </w:p>
        </w:tc>
      </w:tr>
      <w:tr>
        <w:tc>
          <w:tcPr>
            <w:tcW w:type="dxa" w:w="2520"/>
            <w:tcMar>
              <w:top w:w="80" w:type="dxa"/>
              <w:start w:w="120" w:type="dxa"/>
              <w:bottom w:w="80" w:type="dxa"/>
              <w:end w:w="120" w:type="dxa"/>
            </w:tcMar>
            <w:vAlign w:val="center"/>
          </w:tcPr>
          <w:p>
            <w:pPr>
              <w:spacing w:after="0"/>
            </w:pPr>
            <w:r/>
            <w:r>
              <w:rPr>
                <w:color w:val="1F2937"/>
                <w:sz w:val="20"/>
              </w:rPr>
              <w:t>Application</w:t>
            </w:r>
          </w:p>
        </w:tc>
        <w:tc>
          <w:tcPr>
            <w:tcW w:type="dxa" w:w="6840"/>
            <w:tcMar>
              <w:top w:w="80" w:type="dxa"/>
              <w:start w:w="120" w:type="dxa"/>
              <w:bottom w:w="80" w:type="dxa"/>
              <w:end w:w="120" w:type="dxa"/>
            </w:tcMar>
            <w:vAlign w:val="center"/>
          </w:tcPr>
          <w:p>
            <w:pPr>
              <w:spacing w:after="0"/>
            </w:pPr>
            <w:r/>
            <w:r>
              <w:rPr>
                <w:color w:val="1F2937"/>
                <w:sz w:val="20"/>
              </w:rPr>
              <w:t>AIntern PWA</w:t>
            </w:r>
          </w:p>
        </w:tc>
      </w:tr>
      <w:tr>
        <w:tc>
          <w:tcPr>
            <w:tcW w:type="dxa" w:w="2520"/>
            <w:tcMar>
              <w:top w:w="80" w:type="dxa"/>
              <w:start w:w="120" w:type="dxa"/>
              <w:bottom w:w="80" w:type="dxa"/>
              <w:end w:w="120" w:type="dxa"/>
            </w:tcMar>
            <w:vAlign w:val="center"/>
          </w:tcPr>
          <w:p>
            <w:pPr>
              <w:spacing w:after="0"/>
            </w:pPr>
            <w:r/>
            <w:r>
              <w:rPr>
                <w:color w:val="1F2937"/>
                <w:sz w:val="20"/>
              </w:rPr>
              <w:t>Primary test URL</w:t>
            </w:r>
          </w:p>
        </w:tc>
        <w:tc>
          <w:tcPr>
            <w:tcW w:type="dxa" w:w="6840"/>
            <w:tcMar>
              <w:top w:w="80" w:type="dxa"/>
              <w:start w:w="120" w:type="dxa"/>
              <w:bottom w:w="80" w:type="dxa"/>
              <w:end w:w="120" w:type="dxa"/>
            </w:tcMar>
            <w:vAlign w:val="center"/>
          </w:tcPr>
          <w:p>
            <w:pPr>
              <w:spacing w:after="0"/>
            </w:pPr>
            <w:r/>
            <w:r>
              <w:rPr>
                <w:color w:val="1F2937"/>
                <w:sz w:val="20"/>
              </w:rPr>
              <w:t>https://a-intern.vercel.app</w:t>
            </w:r>
          </w:p>
        </w:tc>
      </w:tr>
      <w:tr>
        <w:tc>
          <w:tcPr>
            <w:tcW w:type="dxa" w:w="2520"/>
            <w:tcMar>
              <w:top w:w="80" w:type="dxa"/>
              <w:start w:w="120" w:type="dxa"/>
              <w:bottom w:w="80" w:type="dxa"/>
              <w:end w:w="120" w:type="dxa"/>
            </w:tcMar>
            <w:vAlign w:val="center"/>
          </w:tcPr>
          <w:p>
            <w:pPr>
              <w:spacing w:after="0"/>
            </w:pPr>
            <w:r/>
            <w:r>
              <w:rPr>
                <w:color w:val="1F2937"/>
                <w:sz w:val="20"/>
              </w:rPr>
              <w:t>Local test URL</w:t>
            </w:r>
          </w:p>
        </w:tc>
        <w:tc>
          <w:tcPr>
            <w:tcW w:type="dxa" w:w="6840"/>
            <w:tcMar>
              <w:top w:w="80" w:type="dxa"/>
              <w:start w:w="120" w:type="dxa"/>
              <w:bottom w:w="80" w:type="dxa"/>
              <w:end w:w="120" w:type="dxa"/>
            </w:tcMar>
            <w:vAlign w:val="center"/>
          </w:tcPr>
          <w:p>
            <w:pPr>
              <w:spacing w:after="0"/>
            </w:pPr>
            <w:r/>
            <w:r>
              <w:rPr>
                <w:color w:val="1F2937"/>
                <w:sz w:val="20"/>
              </w:rPr>
              <w:t>http://localhost:4900</w:t>
            </w:r>
          </w:p>
        </w:tc>
      </w:tr>
      <w:tr>
        <w:tc>
          <w:tcPr>
            <w:tcW w:type="dxa" w:w="2520"/>
            <w:tcMar>
              <w:top w:w="80" w:type="dxa"/>
              <w:start w:w="120" w:type="dxa"/>
              <w:bottom w:w="80" w:type="dxa"/>
              <w:end w:w="120" w:type="dxa"/>
            </w:tcMar>
            <w:vAlign w:val="center"/>
          </w:tcPr>
          <w:p>
            <w:pPr>
              <w:spacing w:after="0"/>
            </w:pPr>
            <w:r/>
            <w:r>
              <w:rPr>
                <w:color w:val="1F2937"/>
                <w:sz w:val="20"/>
              </w:rPr>
              <w:t>Supabase project</w:t>
            </w:r>
          </w:p>
        </w:tc>
        <w:tc>
          <w:tcPr>
            <w:tcW w:type="dxa" w:w="6840"/>
            <w:tcMar>
              <w:top w:w="80" w:type="dxa"/>
              <w:start w:w="120" w:type="dxa"/>
              <w:bottom w:w="80" w:type="dxa"/>
              <w:end w:w="120" w:type="dxa"/>
            </w:tcMar>
            <w:vAlign w:val="center"/>
          </w:tcPr>
          <w:p>
            <w:pPr>
              <w:spacing w:after="0"/>
            </w:pPr>
            <w:r/>
            <w:r>
              <w:rPr>
                <w:color w:val="1F2937"/>
                <w:sz w:val="20"/>
              </w:rPr>
              <w:t>wdhdjhvvngssnszqgiyk</w:t>
            </w:r>
          </w:p>
        </w:tc>
      </w:tr>
      <w:tr>
        <w:tc>
          <w:tcPr>
            <w:tcW w:type="dxa" w:w="2520"/>
            <w:tcMar>
              <w:top w:w="80" w:type="dxa"/>
              <w:start w:w="120" w:type="dxa"/>
              <w:bottom w:w="80" w:type="dxa"/>
              <w:end w:w="120" w:type="dxa"/>
            </w:tcMar>
            <w:vAlign w:val="center"/>
          </w:tcPr>
          <w:p>
            <w:pPr>
              <w:spacing w:after="0"/>
            </w:pPr>
            <w:r/>
            <w:r>
              <w:rPr>
                <w:color w:val="1F2937"/>
                <w:sz w:val="20"/>
              </w:rPr>
              <w:t>Test account</w:t>
            </w:r>
          </w:p>
        </w:tc>
        <w:tc>
          <w:tcPr>
            <w:tcW w:type="dxa" w:w="6840"/>
            <w:tcMar>
              <w:top w:w="80" w:type="dxa"/>
              <w:start w:w="120" w:type="dxa"/>
              <w:bottom w:w="80" w:type="dxa"/>
              <w:end w:w="120" w:type="dxa"/>
            </w:tcMar>
            <w:vAlign w:val="center"/>
          </w:tcPr>
          <w:p>
            <w:pPr>
              <w:spacing w:after="0"/>
            </w:pPr>
            <w:r/>
            <w:r>
              <w:rPr>
                <w:color w:val="1F2937"/>
                <w:sz w:val="19"/>
              </w:rPr>
              <w:t>Use the provided pilot account. Do not publish passwords in UAT evidence.</w:t>
            </w:r>
          </w:p>
        </w:tc>
      </w:tr>
    </w:tbl>
    <w:p>
      <w:pPr>
        <w:spacing w:after="40"/>
      </w:pPr>
    </w:p>
    <w:tbl>
      <w:tblPr>
        <w:tblStyle w:val="TableGrid"/>
        <w:tblW w:type="auto" w:w="0"/>
        <w:tblLayout w:type="fixed"/>
        <w:tblLook w:firstColumn="1" w:firstRow="1" w:lastColumn="0" w:lastRow="0" w:noHBand="0" w:noVBand="1" w:val="04A0"/>
      </w:tblPr>
      <w:tblGrid>
        <w:gridCol w:w="9360"/>
      </w:tblGrid>
      <w:tr>
        <w:tc>
          <w:tcPr>
            <w:tcW w:type="dxa" w:w="9360"/>
            <w:tcMar>
              <w:top w:w="80" w:type="dxa"/>
              <w:start w:w="120" w:type="dxa"/>
              <w:bottom w:w="80" w:type="dxa"/>
              <w:end w:w="120" w:type="dxa"/>
            </w:tcMar>
            <w:vAlign w:val="center"/>
            <w:shd w:fill="EEF2FF"/>
          </w:tcPr>
          <w:p>
            <w:pPr>
              <w:spacing w:after="60"/>
            </w:pPr>
            <w:r/>
            <w:r>
              <w:rPr>
                <w:b/>
                <w:color w:val="0F172A"/>
                <w:sz w:val="21"/>
              </w:rPr>
              <w:t>Purpose</w:t>
            </w:r>
          </w:p>
          <w:p>
            <w:pPr>
              <w:spacing w:after="0"/>
            </w:pPr>
            <w:r>
              <w:rPr>
                <w:color w:val="334155"/>
                <w:sz w:val="20"/>
              </w:rPr>
              <w:t>This document gives testers one clear place to understand the product, run UAT, record evidence, and learn the AIntern user workflow. It is written for pilot users, internal testers, supervisors, and institution reviewers.</w:t>
            </w:r>
          </w:p>
        </w:tc>
        <w:trPr>
          <w:tblHeader/>
        </w:trPr>
      </w:tr>
    </w:tbl>
    <w:p>
      <w:pPr>
        <w:spacing w:after="40"/>
      </w:pPr>
    </w:p>
    <w:p>
      <w:r>
        <w:drawing>
          <wp:inline xmlns:a="http://schemas.openxmlformats.org/drawingml/2006/main" xmlns:pic="http://schemas.openxmlformats.org/drawingml/2006/picture">
            <wp:extent cx="5943600" cy="3343275"/>
            <wp:docPr id="1" name="Picture 1" descr="Image: image1.png"/>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3343275"/>
                    </a:xfrm>
                    <a:prstGeom prst="rect"/>
                  </pic:spPr>
                </pic:pic>
              </a:graphicData>
            </a:graphic>
          </wp:inline>
        </w:drawing>
      </w:r>
    </w:p>
    <w:p>
      <w:r>
        <w:br w:type="page"/>
      </w:r>
    </w:p>
    <w:p>
      <w:pPr>
        <w:spacing w:after="160"/>
      </w:pPr>
      <w:r>
        <w:rPr>
          <w:rFonts w:ascii="Calibri" w:hAnsi="Calibri"/>
          <w:b/>
          <w:color w:val="0F172A"/>
          <w:sz w:val="44"/>
        </w:rPr>
        <w:t>Document Contents</w:t>
      </w:r>
    </w:p>
    <w:p>
      <w:pPr>
        <w:pStyle w:val="ListBullet"/>
        <w:spacing w:after="80"/>
      </w:pPr>
      <w:r>
        <w:t>1. Product architecture summary</w:t>
      </w:r>
    </w:p>
    <w:p>
      <w:pPr>
        <w:pStyle w:val="ListBullet"/>
        <w:spacing w:after="80"/>
      </w:pPr>
      <w:r>
        <w:t>2. Current release status</w:t>
      </w:r>
    </w:p>
    <w:p>
      <w:pPr>
        <w:pStyle w:val="ListBullet"/>
        <w:spacing w:after="80"/>
      </w:pPr>
      <w:r>
        <w:t>3. UAT scope and entry criteria</w:t>
      </w:r>
    </w:p>
    <w:p>
      <w:pPr>
        <w:pStyle w:val="ListBullet"/>
        <w:spacing w:after="80"/>
      </w:pPr>
      <w:r>
        <w:t>4. UAT test cases</w:t>
      </w:r>
    </w:p>
    <w:p>
      <w:pPr>
        <w:pStyle w:val="ListBullet"/>
        <w:spacing w:after="80"/>
      </w:pPr>
      <w:r>
        <w:t>5. User manual</w:t>
      </w:r>
    </w:p>
    <w:p>
      <w:pPr>
        <w:pStyle w:val="ListBullet"/>
        <w:spacing w:after="80"/>
      </w:pPr>
      <w:r>
        <w:t>6. Troubleshooting guide</w:t>
      </w:r>
    </w:p>
    <w:p>
      <w:pPr>
        <w:pStyle w:val="ListBullet"/>
        <w:spacing w:after="80"/>
      </w:pPr>
      <w:r>
        <w:t>7. Acceptance and sign-off</w:t>
      </w:r>
    </w:p>
    <w:p>
      <w:r>
        <w:br w:type="page"/>
      </w:r>
    </w:p>
    <w:p>
      <w:pPr>
        <w:spacing w:after="80"/>
      </w:pPr>
      <w:r>
        <w:rPr>
          <w:rFonts w:ascii="Calibri" w:hAnsi="Calibri"/>
          <w:b/>
          <w:color w:val="0F172A"/>
          <w:sz w:val="40"/>
        </w:rPr>
        <w:t>1. Product Architecture Summary</w:t>
      </w:r>
    </w:p>
    <w:p>
      <w:r>
        <w:t>AIntern is a mobile-first internship logbook platform. The intern owns the account and draft workflow. Supervisors approve through audited no-account review links. Official records are stored as immutable Supabase snapshots and exported as PDF or Word reports with public verification IDs.</w:t>
      </w:r>
    </w:p>
    <w:tbl>
      <w:tblPr>
        <w:tblStyle w:val="TableGrid"/>
        <w:tblW w:type="auto" w:w="0"/>
        <w:tblLayout w:type="fixed"/>
        <w:tblLook w:firstColumn="1" w:firstRow="1" w:lastColumn="0" w:lastRow="0" w:noHBand="0" w:noVBand="1" w:val="04A0"/>
      </w:tblPr>
      <w:tblGrid>
        <w:gridCol w:w="9360"/>
      </w:tblGrid>
      <w:tr>
        <w:tc>
          <w:tcPr>
            <w:tcW w:type="dxa" w:w="9360"/>
            <w:tcMar>
              <w:top w:w="80" w:type="dxa"/>
              <w:start w:w="120" w:type="dxa"/>
              <w:bottom w:w="80" w:type="dxa"/>
              <w:end w:w="120" w:type="dxa"/>
            </w:tcMar>
            <w:vAlign w:val="center"/>
            <w:shd w:fill="ECFDF5"/>
          </w:tcPr>
          <w:p>
            <w:pPr>
              <w:spacing w:after="60"/>
            </w:pPr>
            <w:r/>
            <w:r>
              <w:rPr>
                <w:b/>
                <w:color w:val="166534"/>
                <w:sz w:val="21"/>
              </w:rPr>
              <w:t>Core trust model</w:t>
            </w:r>
          </w:p>
          <w:p>
            <w:pPr>
              <w:spacing w:after="0"/>
            </w:pPr>
            <w:r>
              <w:rPr>
                <w:color w:val="334155"/>
                <w:sz w:val="20"/>
              </w:rPr>
              <w:t>Device and IndexedDB are the draft authority. Supabase is the approval, audit, and official report authority. Approved snapshots, evaluations, and report versions must not be edited after creation.</w:t>
            </w:r>
          </w:p>
        </w:tc>
        <w:trPr>
          <w:tblHeader/>
        </w:trPr>
      </w:tr>
    </w:tbl>
    <w:p>
      <w:pPr>
        <w:spacing w:after="40"/>
      </w:pPr>
    </w:p>
    <w:p>
      <w:pPr>
        <w:pStyle w:val="ListBullet"/>
        <w:spacing w:after="80"/>
      </w:pPr>
      <w:r>
        <w:t>React/Vite PWA provides Home, Log, History, Report, and Profile navigation on mobile and desktop.</w:t>
      </w:r>
    </w:p>
    <w:p>
      <w:pPr>
        <w:pStyle w:val="ListBullet"/>
        <w:spacing w:after="80"/>
      </w:pPr>
      <w:r>
        <w:t>Dexie/IndexedDB stores local drafts and cached templates for offline daily logging.</w:t>
      </w:r>
    </w:p>
    <w:p>
      <w:pPr>
        <w:pStyle w:val="ListBullet"/>
        <w:spacing w:after="80"/>
      </w:pPr>
      <w:r>
        <w:t>Supabase Auth identifies interns; owner-based RLS restricts intern data.</w:t>
      </w:r>
    </w:p>
    <w:p>
      <w:pPr>
        <w:pStyle w:val="ListBullet"/>
        <w:spacing w:after="80"/>
      </w:pPr>
      <w:r>
        <w:t>Supabase Edge Functions handle AI gateway actions and supervisor token review.</w:t>
      </w:r>
    </w:p>
    <w:p>
      <w:pPr>
        <w:pStyle w:val="ListBullet"/>
        <w:spacing w:after="80"/>
      </w:pPr>
      <w:r>
        <w:t>Postgres report_versions freezes official content and template metadata for exports.</w:t>
      </w:r>
    </w:p>
    <w:p>
      <w:pPr>
        <w:pStyle w:val="ListBullet"/>
        <w:spacing w:after="80"/>
      </w:pPr>
      <w:r>
        <w:t>Public /verify confirms AIN Verification IDs without exposing private report content.</w:t>
      </w:r>
    </w:p>
    <w:p>
      <w:r>
        <w:drawing>
          <wp:inline xmlns:a="http://schemas.openxmlformats.org/drawingml/2006/main" xmlns:pic="http://schemas.openxmlformats.org/drawingml/2006/picture">
            <wp:extent cx="5943600" cy="3343275"/>
            <wp:docPr id="2" name="Picture 2" descr="Image: image2.png"/>
            <wp:cNvGraphicFramePr>
              <a:graphicFrameLocks noChangeAspect="1"/>
            </wp:cNvGraphicFramePr>
            <a:graphic>
              <a:graphicData uri="http://schemas.openxmlformats.org/drawingml/2006/picture">
                <pic:pic>
                  <pic:nvPicPr>
                    <pic:cNvPr id="0" name="navigation.png"/>
                    <pic:cNvPicPr/>
                  </pic:nvPicPr>
                  <pic:blipFill>
                    <a:blip r:embed="rId12"/>
                    <a:stretch>
                      <a:fillRect/>
                    </a:stretch>
                  </pic:blipFill>
                  <pic:spPr>
                    <a:xfrm>
                      <a:off x="0" y="0"/>
                      <a:ext cx="5943600" cy="3343275"/>
                    </a:xfrm>
                    <a:prstGeom prst="rect"/>
                  </pic:spPr>
                </pic:pic>
              </a:graphicData>
            </a:graphic>
          </wp:inline>
        </w:drawing>
      </w:r>
    </w:p>
    <w:p>
      <w:pPr>
        <w:spacing w:after="80"/>
      </w:pPr>
      <w:r>
        <w:rPr>
          <w:rFonts w:ascii="Calibri" w:hAnsi="Calibri"/>
          <w:b/>
          <w:color w:val="0F172A"/>
          <w:sz w:val="40"/>
        </w:rPr>
        <w:t>2. Current Release Status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944"/>
            <w:tcMar>
              <w:top w:w="80" w:type="dxa"/>
              <w:start w:w="120" w:type="dxa"/>
              <w:bottom w:w="80" w:type="dxa"/>
              <w:end w:w="120" w:type="dxa"/>
            </w:tcMar>
            <w:vAlign w:val="center"/>
            <w:shd w:fill="F2F4F7"/>
          </w:tcPr>
          <w:p>
            <w:pPr>
              <w:spacing w:after="0"/>
            </w:pPr>
            <w:r/>
            <w:r>
              <w:rPr>
                <w:b/>
                <w:color w:val="0F172A"/>
                <w:sz w:val="20"/>
              </w:rPr>
              <w:t>Area</w:t>
            </w:r>
          </w:p>
        </w:tc>
        <w:tc>
          <w:tcPr>
            <w:tcW w:type="dxa" w:w="2160"/>
            <w:tcMar>
              <w:top w:w="80" w:type="dxa"/>
              <w:start w:w="120" w:type="dxa"/>
              <w:bottom w:w="80" w:type="dxa"/>
              <w:end w:w="120" w:type="dxa"/>
            </w:tcMar>
            <w:vAlign w:val="center"/>
            <w:shd w:fill="F2F4F7"/>
          </w:tcPr>
          <w:p>
            <w:pPr>
              <w:spacing w:after="0"/>
            </w:pPr>
            <w:r/>
            <w:r>
              <w:rPr>
                <w:b/>
                <w:color w:val="0F172A"/>
                <w:sz w:val="20"/>
              </w:rPr>
              <w:t>Status</w:t>
            </w:r>
          </w:p>
        </w:tc>
        <w:tc>
          <w:tcPr>
            <w:tcW w:type="dxa" w:w="5256"/>
            <w:tcMar>
              <w:top w:w="80" w:type="dxa"/>
              <w:start w:w="120" w:type="dxa"/>
              <w:bottom w:w="80" w:type="dxa"/>
              <w:end w:w="120" w:type="dxa"/>
            </w:tcMar>
            <w:vAlign w:val="center"/>
            <w:shd w:fill="F2F4F7"/>
          </w:tcPr>
          <w:p>
            <w:pPr>
              <w:spacing w:after="0"/>
            </w:pPr>
            <w:r/>
            <w:r>
              <w:rPr>
                <w:b/>
                <w:color w:val="0F172A"/>
                <w:sz w:val="20"/>
              </w:rPr>
              <w:t>Notes</w:t>
            </w:r>
          </w:p>
        </w:tc>
        <w:trPr>
          <w:tblHeader/>
        </w:trPr>
      </w:tr>
      <w:tr>
        <w:tc>
          <w:tcPr>
            <w:tcW w:type="dxa" w:w="1944"/>
            <w:tcMar>
              <w:top w:w="80" w:type="dxa"/>
              <w:start w:w="120" w:type="dxa"/>
              <w:bottom w:w="80" w:type="dxa"/>
              <w:end w:w="120" w:type="dxa"/>
            </w:tcMar>
            <w:vAlign w:val="center"/>
          </w:tcPr>
          <w:p>
            <w:pPr>
              <w:spacing w:after="0"/>
            </w:pPr>
            <w:r/>
            <w:r>
              <w:rPr>
                <w:color w:val="1F2937"/>
                <w:sz w:val="20"/>
              </w:rPr>
              <w:t>Daily logging</w:t>
            </w:r>
          </w:p>
        </w:tc>
        <w:tc>
          <w:tcPr>
            <w:tcW w:type="dxa" w:w="2160"/>
            <w:tcMar>
              <w:top w:w="80" w:type="dxa"/>
              <w:start w:w="120" w:type="dxa"/>
              <w:bottom w:w="80" w:type="dxa"/>
              <w:end w:w="120" w:type="dxa"/>
            </w:tcMar>
            <w:vAlign w:val="center"/>
          </w:tcPr>
          <w:p>
            <w:pPr>
              <w:spacing w:after="0"/>
            </w:pPr>
            <w:r/>
            <w:r>
              <w:rPr>
                <w:color w:val="1F2937"/>
                <w:sz w:val="20"/>
              </w:rPr>
              <w:t>Built</w:t>
            </w:r>
          </w:p>
        </w:tc>
        <w:tc>
          <w:tcPr>
            <w:tcW w:type="dxa" w:w="5256"/>
            <w:tcMar>
              <w:top w:w="80" w:type="dxa"/>
              <w:start w:w="120" w:type="dxa"/>
              <w:bottom w:w="80" w:type="dxa"/>
              <w:end w:w="120" w:type="dxa"/>
            </w:tcMar>
            <w:vAlign w:val="center"/>
          </w:tcPr>
          <w:p>
            <w:pPr>
              <w:spacing w:after="0"/>
            </w:pPr>
            <w:r/>
            <w:r>
              <w:rPr>
                <w:color w:val="1F2937"/>
                <w:sz w:val="20"/>
              </w:rPr>
              <w:t>Autosave, offline drafts, AI polish, History, submit flow.</w:t>
            </w:r>
          </w:p>
        </w:tc>
      </w:tr>
      <w:tr>
        <w:tc>
          <w:tcPr>
            <w:tcW w:type="dxa" w:w="1944"/>
            <w:tcMar>
              <w:top w:w="80" w:type="dxa"/>
              <w:start w:w="120" w:type="dxa"/>
              <w:bottom w:w="80" w:type="dxa"/>
              <w:end w:w="120" w:type="dxa"/>
            </w:tcMar>
            <w:vAlign w:val="center"/>
          </w:tcPr>
          <w:p>
            <w:pPr>
              <w:spacing w:after="0"/>
            </w:pPr>
            <w:r/>
            <w:r>
              <w:rPr>
                <w:color w:val="1F2937"/>
                <w:sz w:val="20"/>
              </w:rPr>
              <w:t>Supervisor approval</w:t>
            </w:r>
          </w:p>
        </w:tc>
        <w:tc>
          <w:tcPr>
            <w:tcW w:type="dxa" w:w="2160"/>
            <w:tcMar>
              <w:top w:w="80" w:type="dxa"/>
              <w:start w:w="120" w:type="dxa"/>
              <w:bottom w:w="80" w:type="dxa"/>
              <w:end w:w="120" w:type="dxa"/>
            </w:tcMar>
            <w:vAlign w:val="center"/>
          </w:tcPr>
          <w:p>
            <w:pPr>
              <w:spacing w:after="0"/>
            </w:pPr>
            <w:r/>
            <w:r>
              <w:rPr>
                <w:color w:val="1F2937"/>
                <w:sz w:val="20"/>
              </w:rPr>
              <w:t>Built</w:t>
            </w:r>
          </w:p>
        </w:tc>
        <w:tc>
          <w:tcPr>
            <w:tcW w:type="dxa" w:w="5256"/>
            <w:tcMar>
              <w:top w:w="80" w:type="dxa"/>
              <w:start w:w="120" w:type="dxa"/>
              <w:bottom w:w="80" w:type="dxa"/>
              <w:end w:w="120" w:type="dxa"/>
            </w:tcMar>
            <w:vAlign w:val="center"/>
          </w:tcPr>
          <w:p>
            <w:pPr>
              <w:spacing w:after="0"/>
            </w:pPr>
            <w:r/>
            <w:r>
              <w:rPr>
                <w:color w:val="1F2937"/>
                <w:sz w:val="19"/>
              </w:rPr>
              <w:t>Token-only review links, approve/reject, comments, signatures, evaluations.</w:t>
            </w:r>
          </w:p>
        </w:tc>
      </w:tr>
      <w:tr>
        <w:tc>
          <w:tcPr>
            <w:tcW w:type="dxa" w:w="1944"/>
            <w:tcMar>
              <w:top w:w="80" w:type="dxa"/>
              <w:start w:w="120" w:type="dxa"/>
              <w:bottom w:w="80" w:type="dxa"/>
              <w:end w:w="120" w:type="dxa"/>
            </w:tcMar>
            <w:vAlign w:val="center"/>
          </w:tcPr>
          <w:p>
            <w:pPr>
              <w:spacing w:after="0"/>
            </w:pPr>
            <w:r/>
            <w:r>
              <w:rPr>
                <w:color w:val="1F2937"/>
                <w:sz w:val="20"/>
              </w:rPr>
              <w:t>Official logbook</w:t>
            </w:r>
          </w:p>
        </w:tc>
        <w:tc>
          <w:tcPr>
            <w:tcW w:type="dxa" w:w="2160"/>
            <w:tcMar>
              <w:top w:w="80" w:type="dxa"/>
              <w:start w:w="120" w:type="dxa"/>
              <w:bottom w:w="80" w:type="dxa"/>
              <w:end w:w="120" w:type="dxa"/>
            </w:tcMar>
            <w:vAlign w:val="center"/>
          </w:tcPr>
          <w:p>
            <w:pPr>
              <w:spacing w:after="0"/>
            </w:pPr>
            <w:r/>
            <w:r>
              <w:rPr>
                <w:color w:val="1F2937"/>
                <w:sz w:val="20"/>
              </w:rPr>
              <w:t>Built and verified</w:t>
            </w:r>
          </w:p>
        </w:tc>
        <w:tc>
          <w:tcPr>
            <w:tcW w:type="dxa" w:w="5256"/>
            <w:tcMar>
              <w:top w:w="80" w:type="dxa"/>
              <w:start w:w="120" w:type="dxa"/>
              <w:bottom w:w="80" w:type="dxa"/>
              <w:end w:w="120" w:type="dxa"/>
            </w:tcMar>
            <w:vAlign w:val="center"/>
          </w:tcPr>
          <w:p>
            <w:pPr>
              <w:spacing w:after="0"/>
            </w:pPr>
            <w:r/>
            <w:r>
              <w:rPr>
                <w:color w:val="1F2937"/>
                <w:sz w:val="20"/>
              </w:rPr>
              <w:t>Ready Check, official versions, PDF/Word, QR, public verify page.</w:t>
            </w:r>
          </w:p>
        </w:tc>
      </w:tr>
      <w:tr>
        <w:tc>
          <w:tcPr>
            <w:tcW w:type="dxa" w:w="1944"/>
            <w:tcMar>
              <w:top w:w="80" w:type="dxa"/>
              <w:start w:w="120" w:type="dxa"/>
              <w:bottom w:w="80" w:type="dxa"/>
              <w:end w:w="120" w:type="dxa"/>
            </w:tcMar>
            <w:vAlign w:val="center"/>
          </w:tcPr>
          <w:p>
            <w:pPr>
              <w:spacing w:after="0"/>
            </w:pPr>
            <w:r/>
            <w:r>
              <w:rPr>
                <w:color w:val="1F2937"/>
                <w:sz w:val="20"/>
              </w:rPr>
              <w:t>Report Center</w:t>
            </w:r>
          </w:p>
        </w:tc>
        <w:tc>
          <w:tcPr>
            <w:tcW w:type="dxa" w:w="2160"/>
            <w:tcMar>
              <w:top w:w="80" w:type="dxa"/>
              <w:start w:w="120" w:type="dxa"/>
              <w:bottom w:w="80" w:type="dxa"/>
              <w:end w:w="120" w:type="dxa"/>
            </w:tcMar>
            <w:vAlign w:val="center"/>
          </w:tcPr>
          <w:p>
            <w:pPr>
              <w:spacing w:after="0"/>
            </w:pPr>
            <w:r/>
            <w:r>
              <w:rPr>
                <w:color w:val="1F2937"/>
                <w:sz w:val="20"/>
              </w:rPr>
              <w:t>Built; awaiting real-sample UAT</w:t>
            </w:r>
          </w:p>
        </w:tc>
        <w:tc>
          <w:tcPr>
            <w:tcW w:type="dxa" w:w="5256"/>
            <w:tcMar>
              <w:top w:w="80" w:type="dxa"/>
              <w:start w:w="120" w:type="dxa"/>
              <w:bottom w:w="80" w:type="dxa"/>
              <w:end w:w="120" w:type="dxa"/>
            </w:tcMar>
            <w:vAlign w:val="center"/>
          </w:tcPr>
          <w:p>
            <w:pPr>
              <w:spacing w:after="0"/>
            </w:pPr>
            <w:r/>
            <w:r>
              <w:rPr>
                <w:color w:val="1F2937"/>
                <w:sz w:val="20"/>
              </w:rPr>
              <w:t>Settings, Weekly, Monthly, Final tabs with breadcrumbs.</w:t>
            </w:r>
          </w:p>
        </w:tc>
      </w:tr>
      <w:tr>
        <w:tc>
          <w:tcPr>
            <w:tcW w:type="dxa" w:w="1944"/>
            <w:tcMar>
              <w:top w:w="80" w:type="dxa"/>
              <w:start w:w="120" w:type="dxa"/>
              <w:bottom w:w="80" w:type="dxa"/>
              <w:end w:w="120" w:type="dxa"/>
            </w:tcMar>
            <w:vAlign w:val="center"/>
          </w:tcPr>
          <w:p>
            <w:pPr>
              <w:spacing w:after="0"/>
            </w:pPr>
            <w:r/>
            <w:r>
              <w:rPr>
                <w:color w:val="1F2937"/>
                <w:sz w:val="20"/>
              </w:rPr>
              <w:t>Weekly report</w:t>
            </w:r>
          </w:p>
        </w:tc>
        <w:tc>
          <w:tcPr>
            <w:tcW w:type="dxa" w:w="2160"/>
            <w:tcMar>
              <w:top w:w="80" w:type="dxa"/>
              <w:start w:w="120" w:type="dxa"/>
              <w:bottom w:w="80" w:type="dxa"/>
              <w:end w:w="120" w:type="dxa"/>
            </w:tcMar>
            <w:vAlign w:val="center"/>
          </w:tcPr>
          <w:p>
            <w:pPr>
              <w:spacing w:after="0"/>
            </w:pPr>
            <w:r/>
            <w:r>
              <w:rPr>
                <w:color w:val="1F2937"/>
                <w:sz w:val="20"/>
              </w:rPr>
              <w:t>Built; awaiting sample UAT</w:t>
            </w:r>
          </w:p>
        </w:tc>
        <w:tc>
          <w:tcPr>
            <w:tcW w:type="dxa" w:w="5256"/>
            <w:tcMar>
              <w:top w:w="80" w:type="dxa"/>
              <w:start w:w="120" w:type="dxa"/>
              <w:bottom w:w="80" w:type="dxa"/>
              <w:end w:w="120" w:type="dxa"/>
            </w:tcMar>
            <w:vAlign w:val="center"/>
          </w:tcPr>
          <w:p>
            <w:pPr>
              <w:spacing w:after="0"/>
            </w:pPr>
            <w:r/>
            <w:r>
              <w:rPr>
                <w:color w:val="1F2937"/>
                <w:sz w:val="19"/>
              </w:rPr>
              <w:t>Narrative or Table default templates, upload sample, visual preview, official export.</w:t>
            </w:r>
          </w:p>
        </w:tc>
      </w:tr>
      <w:tr>
        <w:tc>
          <w:tcPr>
            <w:tcW w:type="dxa" w:w="1944"/>
            <w:tcMar>
              <w:top w:w="80" w:type="dxa"/>
              <w:start w:w="120" w:type="dxa"/>
              <w:bottom w:w="80" w:type="dxa"/>
              <w:end w:w="120" w:type="dxa"/>
            </w:tcMar>
            <w:vAlign w:val="center"/>
          </w:tcPr>
          <w:p>
            <w:pPr>
              <w:spacing w:after="0"/>
            </w:pPr>
            <w:r/>
            <w:r>
              <w:rPr>
                <w:color w:val="1F2937"/>
                <w:sz w:val="20"/>
              </w:rPr>
              <w:t>Monthly report</w:t>
            </w:r>
          </w:p>
        </w:tc>
        <w:tc>
          <w:tcPr>
            <w:tcW w:type="dxa" w:w="2160"/>
            <w:tcMar>
              <w:top w:w="80" w:type="dxa"/>
              <w:start w:w="120" w:type="dxa"/>
              <w:bottom w:w="80" w:type="dxa"/>
              <w:end w:w="120" w:type="dxa"/>
            </w:tcMar>
            <w:vAlign w:val="center"/>
          </w:tcPr>
          <w:p>
            <w:pPr>
              <w:spacing w:after="0"/>
            </w:pPr>
            <w:r/>
            <w:r>
              <w:rPr>
                <w:color w:val="1F2937"/>
                <w:sz w:val="20"/>
              </w:rPr>
              <w:t>Built; awaiting sample UAT</w:t>
            </w:r>
          </w:p>
        </w:tc>
        <w:tc>
          <w:tcPr>
            <w:tcW w:type="dxa" w:w="5256"/>
            <w:tcMar>
              <w:top w:w="80" w:type="dxa"/>
              <w:start w:w="120" w:type="dxa"/>
              <w:bottom w:w="80" w:type="dxa"/>
              <w:end w:w="120" w:type="dxa"/>
            </w:tcMar>
            <w:vAlign w:val="center"/>
          </w:tcPr>
          <w:p>
            <w:pPr>
              <w:spacing w:after="0"/>
            </w:pPr>
            <w:r/>
            <w:r>
              <w:rPr>
                <w:color w:val="1F2937"/>
                <w:sz w:val="19"/>
              </w:rPr>
              <w:t>Combined tables and narrative reflection, upload sample, visual preview, official export.</w:t>
            </w:r>
          </w:p>
        </w:tc>
      </w:tr>
      <w:tr>
        <w:tc>
          <w:tcPr>
            <w:tcW w:type="dxa" w:w="1944"/>
            <w:tcMar>
              <w:top w:w="80" w:type="dxa"/>
              <w:start w:w="120" w:type="dxa"/>
              <w:bottom w:w="80" w:type="dxa"/>
              <w:end w:w="120" w:type="dxa"/>
            </w:tcMar>
            <w:vAlign w:val="center"/>
          </w:tcPr>
          <w:p>
            <w:pPr>
              <w:spacing w:after="0"/>
            </w:pPr>
            <w:r/>
            <w:r>
              <w:rPr>
                <w:color w:val="1F2937"/>
                <w:sz w:val="20"/>
              </w:rPr>
              <w:t>Final report</w:t>
            </w:r>
          </w:p>
        </w:tc>
        <w:tc>
          <w:tcPr>
            <w:tcW w:type="dxa" w:w="2160"/>
            <w:tcMar>
              <w:top w:w="80" w:type="dxa"/>
              <w:start w:w="120" w:type="dxa"/>
              <w:bottom w:w="80" w:type="dxa"/>
              <w:end w:w="120" w:type="dxa"/>
            </w:tcMar>
            <w:vAlign w:val="center"/>
          </w:tcPr>
          <w:p>
            <w:pPr>
              <w:spacing w:after="0"/>
            </w:pPr>
            <w:r/>
            <w:r>
              <w:rPr>
                <w:color w:val="1F2937"/>
                <w:sz w:val="20"/>
              </w:rPr>
              <w:t>Built; awaiting sample UAT</w:t>
            </w:r>
          </w:p>
        </w:tc>
        <w:tc>
          <w:tcPr>
            <w:tcW w:type="dxa" w:w="5256"/>
            <w:tcMar>
              <w:top w:w="80" w:type="dxa"/>
              <w:start w:w="120" w:type="dxa"/>
              <w:bottom w:w="80" w:type="dxa"/>
              <w:end w:w="120" w:type="dxa"/>
            </w:tcMar>
            <w:vAlign w:val="center"/>
          </w:tcPr>
          <w:p>
            <w:pPr>
              <w:spacing w:after="0"/>
            </w:pPr>
            <w:r/>
            <w:r>
              <w:rPr>
                <w:color w:val="1F2937"/>
                <w:sz w:val="19"/>
              </w:rPr>
              <w:t>Chapter extraction, narrative authoring, AI draft assist, official export.</w:t>
            </w:r>
          </w:p>
        </w:tc>
      </w:tr>
      <w:tr>
        <w:tc>
          <w:tcPr>
            <w:tcW w:type="dxa" w:w="1944"/>
            <w:tcMar>
              <w:top w:w="80" w:type="dxa"/>
              <w:start w:w="120" w:type="dxa"/>
              <w:bottom w:w="80" w:type="dxa"/>
              <w:end w:w="120" w:type="dxa"/>
            </w:tcMar>
            <w:vAlign w:val="center"/>
          </w:tcPr>
          <w:p>
            <w:pPr>
              <w:spacing w:after="0"/>
            </w:pPr>
            <w:r/>
            <w:r>
              <w:rPr>
                <w:color w:val="1F2937"/>
                <w:sz w:val="20"/>
              </w:rPr>
              <w:t>Monetization</w:t>
            </w:r>
          </w:p>
        </w:tc>
        <w:tc>
          <w:tcPr>
            <w:tcW w:type="dxa" w:w="2160"/>
            <w:tcMar>
              <w:top w:w="80" w:type="dxa"/>
              <w:start w:w="120" w:type="dxa"/>
              <w:bottom w:w="80" w:type="dxa"/>
              <w:end w:w="120" w:type="dxa"/>
            </w:tcMar>
            <w:vAlign w:val="center"/>
          </w:tcPr>
          <w:p>
            <w:pPr>
              <w:spacing w:after="0"/>
            </w:pPr>
            <w:r/>
            <w:r>
              <w:rPr>
                <w:color w:val="1F2937"/>
                <w:sz w:val="20"/>
              </w:rPr>
              <w:t>Built; awaiting pilot</w:t>
            </w:r>
          </w:p>
        </w:tc>
        <w:tc>
          <w:tcPr>
            <w:tcW w:type="dxa" w:w="5256"/>
            <w:tcMar>
              <w:top w:w="80" w:type="dxa"/>
              <w:start w:w="120" w:type="dxa"/>
              <w:bottom w:w="80" w:type="dxa"/>
              <w:end w:w="120" w:type="dxa"/>
            </w:tcMar>
            <w:vAlign w:val="center"/>
          </w:tcPr>
          <w:p>
            <w:pPr>
              <w:spacing w:after="0"/>
            </w:pPr>
            <w:r/>
            <w:r>
              <w:rPr>
                <w:color w:val="1F2937"/>
                <w:sz w:val="20"/>
              </w:rPr>
              <w:t>Trial/pass gating for official report creation and export.</w:t>
            </w:r>
          </w:p>
        </w:tc>
      </w:tr>
    </w:tbl>
    <w:p>
      <w:pPr>
        <w:spacing w:after="40"/>
      </w:pPr>
    </w:p>
    <w:tbl>
      <w:tblPr>
        <w:tblStyle w:val="TableGrid"/>
        <w:tblW w:type="auto" w:w="0"/>
        <w:tblLayout w:type="fixed"/>
        <w:tblLook w:firstColumn="1" w:firstRow="1" w:lastColumn="0" w:lastRow="0" w:noHBand="0" w:noVBand="1" w:val="04A0"/>
      </w:tblPr>
      <w:tblGrid>
        <w:gridCol w:w="9360"/>
      </w:tblGrid>
      <w:tr>
        <w:tc>
          <w:tcPr>
            <w:tcW w:type="dxa" w:w="9360"/>
            <w:tcMar>
              <w:top w:w="80" w:type="dxa"/>
              <w:start w:w="120" w:type="dxa"/>
              <w:bottom w:w="80" w:type="dxa"/>
              <w:end w:w="120" w:type="dxa"/>
            </w:tcMar>
            <w:vAlign w:val="center"/>
            <w:shd w:fill="FFF7ED"/>
          </w:tcPr>
          <w:p>
            <w:pPr>
              <w:spacing w:after="60"/>
            </w:pPr>
            <w:r/>
            <w:r>
              <w:rPr>
                <w:b/>
                <w:color w:val="92400E"/>
                <w:sz w:val="21"/>
              </w:rPr>
              <w:t>Known pilot note</w:t>
            </w:r>
          </w:p>
          <w:p>
            <w:pPr>
              <w:spacing w:after="0"/>
            </w:pPr>
            <w:r>
              <w:rPr>
                <w:color w:val="334155"/>
                <w:sz w:val="20"/>
              </w:rPr>
              <w:t>The AI narrative quality check is advisory. Deterministic Ready Check and server-side snapshot rules remain the authority for Verified or Unverified status.</w:t>
            </w:r>
          </w:p>
        </w:tc>
        <w:trPr>
          <w:tblHeader/>
        </w:trPr>
      </w:tr>
    </w:tbl>
    <w:p>
      <w:pPr>
        <w:spacing w:after="40"/>
      </w:pPr>
    </w:p>
    <w:p>
      <w:r>
        <w:br w:type="page"/>
      </w:r>
    </w:p>
    <w:p>
      <w:pPr>
        <w:spacing w:after="80"/>
      </w:pPr>
      <w:r>
        <w:rPr>
          <w:rFonts w:ascii="Calibri" w:hAnsi="Calibri"/>
          <w:b/>
          <w:color w:val="0F172A"/>
          <w:sz w:val="40"/>
        </w:rPr>
        <w:t>3. UAT Scope and Entry Criteria</w:t>
      </w:r>
    </w:p>
    <w:p>
      <w:pPr>
        <w:spacing w:after="80"/>
      </w:pPr>
      <w:r>
        <w:rPr>
          <w:rFonts w:ascii="Calibri" w:hAnsi="Calibri"/>
          <w:b/>
          <w:color w:val="0F172A"/>
          <w:sz w:val="28"/>
        </w:rPr>
        <w:t>3.1 Roles</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Role</w:t>
            </w:r>
          </w:p>
        </w:tc>
        <w:tc>
          <w:tcPr>
            <w:tcW w:type="dxa" w:w="7416"/>
            <w:tcMar>
              <w:top w:w="80" w:type="dxa"/>
              <w:start w:w="120" w:type="dxa"/>
              <w:bottom w:w="80" w:type="dxa"/>
              <w:end w:w="120" w:type="dxa"/>
            </w:tcMar>
            <w:vAlign w:val="center"/>
            <w:shd w:fill="F2F4F7"/>
          </w:tcPr>
          <w:p>
            <w:pPr>
              <w:spacing w:after="0"/>
            </w:pPr>
            <w:r/>
            <w:r>
              <w:rPr>
                <w:b/>
                <w:color w:val="0F172A"/>
                <w:sz w:val="20"/>
              </w:rPr>
              <w:t>What to test</w:t>
            </w:r>
          </w:p>
        </w:tc>
        <w:trPr>
          <w:tblHeader/>
        </w:trPr>
      </w:tr>
      <w:tr>
        <w:tc>
          <w:tcPr>
            <w:tcW w:type="dxa" w:w="1944"/>
            <w:tcMar>
              <w:top w:w="80" w:type="dxa"/>
              <w:start w:w="120" w:type="dxa"/>
              <w:bottom w:w="80" w:type="dxa"/>
              <w:end w:w="120" w:type="dxa"/>
            </w:tcMar>
            <w:vAlign w:val="center"/>
          </w:tcPr>
          <w:p>
            <w:pPr>
              <w:spacing w:after="0"/>
            </w:pPr>
            <w:r/>
            <w:r>
              <w:rPr>
                <w:color w:val="1F2937"/>
                <w:sz w:val="20"/>
              </w:rPr>
              <w:t>Intern</w:t>
            </w:r>
          </w:p>
        </w:tc>
        <w:tc>
          <w:tcPr>
            <w:tcW w:type="dxa" w:w="7416"/>
            <w:tcMar>
              <w:top w:w="80" w:type="dxa"/>
              <w:start w:w="120" w:type="dxa"/>
              <w:bottom w:w="80" w:type="dxa"/>
              <w:end w:w="120" w:type="dxa"/>
            </w:tcMar>
            <w:vAlign w:val="center"/>
          </w:tcPr>
          <w:p>
            <w:pPr>
              <w:spacing w:after="0"/>
            </w:pPr>
            <w:r/>
            <w:r>
              <w:rPr>
                <w:color w:val="1F2937"/>
                <w:sz w:val="19"/>
              </w:rPr>
              <w:t>Login, onboarding/profile, daily logs, History, Report Center, official exports, offline behavior.</w:t>
            </w:r>
          </w:p>
        </w:tc>
      </w:tr>
      <w:tr>
        <w:tc>
          <w:tcPr>
            <w:tcW w:type="dxa" w:w="1944"/>
            <w:tcMar>
              <w:top w:w="80" w:type="dxa"/>
              <w:start w:w="120" w:type="dxa"/>
              <w:bottom w:w="80" w:type="dxa"/>
              <w:end w:w="120" w:type="dxa"/>
            </w:tcMar>
            <w:vAlign w:val="center"/>
          </w:tcPr>
          <w:p>
            <w:pPr>
              <w:spacing w:after="0"/>
            </w:pPr>
            <w:r/>
            <w:r>
              <w:rPr>
                <w:color w:val="1F2937"/>
                <w:sz w:val="20"/>
              </w:rPr>
              <w:t>Supervisor</w:t>
            </w:r>
          </w:p>
        </w:tc>
        <w:tc>
          <w:tcPr>
            <w:tcW w:type="dxa" w:w="7416"/>
            <w:tcMar>
              <w:top w:w="80" w:type="dxa"/>
              <w:start w:w="120" w:type="dxa"/>
              <w:bottom w:w="80" w:type="dxa"/>
              <w:end w:w="120" w:type="dxa"/>
            </w:tcMar>
            <w:vAlign w:val="center"/>
          </w:tcPr>
          <w:p>
            <w:pPr>
              <w:spacing w:after="0"/>
            </w:pPr>
            <w:r/>
            <w:r>
              <w:rPr>
                <w:color w:val="1F2937"/>
                <w:sz w:val="19"/>
              </w:rPr>
              <w:t>Open review link without account, approve/reject entries, complete evaluation, sign, submit.</w:t>
            </w:r>
          </w:p>
        </w:tc>
      </w:tr>
      <w:tr>
        <w:tc>
          <w:tcPr>
            <w:tcW w:type="dxa" w:w="1944"/>
            <w:tcMar>
              <w:top w:w="80" w:type="dxa"/>
              <w:start w:w="120" w:type="dxa"/>
              <w:bottom w:w="80" w:type="dxa"/>
              <w:end w:w="120" w:type="dxa"/>
            </w:tcMar>
            <w:vAlign w:val="center"/>
          </w:tcPr>
          <w:p>
            <w:pPr>
              <w:spacing w:after="0"/>
            </w:pPr>
            <w:r/>
            <w:r>
              <w:rPr>
                <w:color w:val="1F2937"/>
                <w:sz w:val="20"/>
              </w:rPr>
              <w:t>Verifier</w:t>
            </w:r>
          </w:p>
        </w:tc>
        <w:tc>
          <w:tcPr>
            <w:tcW w:type="dxa" w:w="7416"/>
            <w:tcMar>
              <w:top w:w="80" w:type="dxa"/>
              <w:start w:w="120" w:type="dxa"/>
              <w:bottom w:w="80" w:type="dxa"/>
              <w:end w:w="120" w:type="dxa"/>
            </w:tcMar>
            <w:vAlign w:val="center"/>
          </w:tcPr>
          <w:p>
            <w:pPr>
              <w:spacing w:after="0"/>
            </w:pPr>
            <w:r/>
            <w:r>
              <w:rPr>
                <w:color w:val="1F2937"/>
                <w:sz w:val="19"/>
              </w:rPr>
              <w:t>Open /verify or scan QR and confirm only public-safe verification information appears.</w:t>
            </w:r>
          </w:p>
        </w:tc>
      </w:tr>
    </w:tbl>
    <w:p>
      <w:pPr>
        <w:spacing w:after="40"/>
      </w:pPr>
    </w:p>
    <w:p>
      <w:pPr>
        <w:spacing w:after="80"/>
      </w:pPr>
      <w:r>
        <w:rPr>
          <w:rFonts w:ascii="Calibri" w:hAnsi="Calibri"/>
          <w:b/>
          <w:color w:val="0F172A"/>
          <w:sz w:val="28"/>
        </w:rPr>
        <w:t>3.2 Required Test Material</w:t>
      </w:r>
    </w:p>
    <w:p>
      <w:pPr>
        <w:pStyle w:val="ListBullet"/>
        <w:spacing w:after="80"/>
      </w:pPr>
      <w:r>
        <w:t>At least one real Weekly institution sample report in PDF or image format.</w:t>
      </w:r>
    </w:p>
    <w:p>
      <w:pPr>
        <w:pStyle w:val="ListBullet"/>
        <w:spacing w:after="80"/>
      </w:pPr>
      <w:r>
        <w:t>At least one real Monthly institution sample report in PDF or image format.</w:t>
      </w:r>
    </w:p>
    <w:p>
      <w:pPr>
        <w:pStyle w:val="ListBullet"/>
        <w:spacing w:after="80"/>
      </w:pPr>
      <w:r>
        <w:t>One Final report sample or table of contents from an institution.</w:t>
      </w:r>
    </w:p>
    <w:p>
      <w:pPr>
        <w:pStyle w:val="ListBullet"/>
        <w:spacing w:after="80"/>
      </w:pPr>
      <w:r>
        <w:t>A mobile phone with camera or QR scanning capability.</w:t>
      </w:r>
    </w:p>
    <w:p>
      <w:pPr>
        <w:pStyle w:val="ListBullet"/>
        <w:spacing w:after="80"/>
      </w:pPr>
      <w:r>
        <w:t>Microsoft Word for opening and editing DOCX exports.</w:t>
      </w:r>
    </w:p>
    <w:p>
      <w:pPr>
        <w:pStyle w:val="ListBullet"/>
        <w:spacing w:after="80"/>
      </w:pPr>
      <w:r>
        <w:t>Browser DevTools for offline simulation.</w:t>
      </w:r>
    </w:p>
    <w:p>
      <w:pPr>
        <w:spacing w:after="80"/>
      </w:pPr>
      <w:r>
        <w:rPr>
          <w:rFonts w:ascii="Calibri" w:hAnsi="Calibri"/>
          <w:b/>
          <w:color w:val="0F172A"/>
          <w:sz w:val="28"/>
        </w:rPr>
        <w:t>3.3 Entry Criteria</w:t>
      </w:r>
    </w:p>
    <w:p>
      <w:pPr>
        <w:pStyle w:val="ListBullet"/>
        <w:spacing w:after="80"/>
      </w:pPr>
      <w:r>
        <w:t>Tester can access https://a-intern.vercel.app or local http://localhost:4900.</w:t>
      </w:r>
    </w:p>
    <w:p>
      <w:pPr>
        <w:pStyle w:val="ListBullet"/>
        <w:spacing w:after="80"/>
      </w:pPr>
      <w:r>
        <w:t>Intern has completed basic profile and internship setup.</w:t>
      </w:r>
    </w:p>
    <w:p>
      <w:pPr>
        <w:pStyle w:val="ListBullet"/>
        <w:spacing w:after="80"/>
      </w:pPr>
      <w:r>
        <w:t>At least one daily log can be submitted and approved.</w:t>
      </w:r>
    </w:p>
    <w:p>
      <w:pPr>
        <w:pStyle w:val="ListBullet"/>
        <w:spacing w:after="80"/>
      </w:pPr>
      <w:r>
        <w:t>AI provider key or bundled AI access is available for sample extraction tests.</w:t>
      </w:r>
    </w:p>
    <w:p>
      <w:pPr>
        <w:pStyle w:val="ListBullet"/>
        <w:spacing w:after="80"/>
      </w:pPr>
      <w:r>
        <w:t>Supervisor review link can be opened, or copied manually if email delivery hangs.</w:t>
      </w:r>
    </w:p>
    <w:p>
      <w:pPr>
        <w:spacing w:after="80"/>
      </w:pPr>
      <w:r>
        <w:rPr>
          <w:rFonts w:ascii="Calibri" w:hAnsi="Calibri"/>
          <w:b/>
          <w:color w:val="0F172A"/>
          <w:sz w:val="28"/>
        </w:rPr>
        <w:t>3.4 Exit Criteria</w:t>
      </w:r>
    </w:p>
    <w:p>
      <w:pPr>
        <w:pStyle w:val="ListBullet"/>
        <w:spacing w:after="80"/>
      </w:pPr>
      <w:r>
        <w:t>All Critical and High UAT cases pass or have accepted defects.</w:t>
      </w:r>
    </w:p>
    <w:p>
      <w:pPr>
        <w:pStyle w:val="ListBullet"/>
        <w:spacing w:after="80"/>
      </w:pPr>
      <w:r>
        <w:t>Verified official version produces an AIN ID and a PDF with QR on the verification appendix.</w:t>
      </w:r>
    </w:p>
    <w:p>
      <w:pPr>
        <w:pStyle w:val="ListBullet"/>
        <w:spacing w:after="80"/>
      </w:pPr>
      <w:r>
        <w:t>/verify succeeds for a real ID and shows a red warning for a fake ID.</w:t>
      </w:r>
    </w:p>
    <w:p>
      <w:pPr>
        <w:pStyle w:val="ListBullet"/>
        <w:spacing w:after="80"/>
      </w:pPr>
      <w:r>
        <w:t>Weekly, Monthly, and Final report flows can create official versions and export PDF/Word.</w:t>
      </w:r>
    </w:p>
    <w:p>
      <w:pPr>
        <w:pStyle w:val="ListBullet"/>
        <w:spacing w:after="80"/>
      </w:pPr>
      <w:r>
        <w:t>Offline daily log reload and autosave behavior passes.</w:t>
      </w:r>
    </w:p>
    <w:p>
      <w:r>
        <w:drawing>
          <wp:inline xmlns:a="http://schemas.openxmlformats.org/drawingml/2006/main" xmlns:pic="http://schemas.openxmlformats.org/drawingml/2006/picture">
            <wp:extent cx="5943600" cy="3343275"/>
            <wp:docPr id="3" name="Picture 3" descr="Image: image3.png"/>
            <wp:cNvGraphicFramePr>
              <a:graphicFrameLocks noChangeAspect="1"/>
            </wp:cNvGraphicFramePr>
            <a:graphic>
              <a:graphicData uri="http://schemas.openxmlformats.org/drawingml/2006/picture">
                <pic:pic>
                  <pic:nvPicPr>
                    <pic:cNvPr id="0" name="report_flow.png"/>
                    <pic:cNvPicPr/>
                  </pic:nvPicPr>
                  <pic:blipFill>
                    <a:blip r:embed="rId13"/>
                    <a:stretch>
                      <a:fillRect/>
                    </a:stretch>
                  </pic:blipFill>
                  <pic:spPr>
                    <a:xfrm>
                      <a:off x="0" y="0"/>
                      <a:ext cx="5943600" cy="3343275"/>
                    </a:xfrm>
                    <a:prstGeom prst="rect"/>
                  </pic:spPr>
                </pic:pic>
              </a:graphicData>
            </a:graphic>
          </wp:inline>
        </w:drawing>
      </w:r>
    </w:p>
    <w:p>
      <w:r>
        <w:br w:type="page"/>
      </w:r>
    </w:p>
    <w:p>
      <w:pPr>
        <w:spacing w:after="80"/>
      </w:pPr>
      <w:r>
        <w:rPr>
          <w:rFonts w:ascii="Calibri" w:hAnsi="Calibri"/>
          <w:b/>
          <w:color w:val="0F172A"/>
          <w:sz w:val="40"/>
        </w:rPr>
        <w:t>4. UAT Test Cases</w:t>
      </w:r>
    </w:p>
    <w:tbl>
      <w:tblPr>
        <w:tblStyle w:val="TableGrid"/>
        <w:tblW w:type="auto" w:w="0"/>
        <w:tblLayout w:type="fixed"/>
        <w:tblLook w:firstColumn="1" w:firstRow="1" w:lastColumn="0" w:lastRow="0" w:noHBand="0" w:noVBand="1" w:val="04A0"/>
      </w:tblPr>
      <w:tblGrid>
        <w:gridCol w:w="9360"/>
      </w:tblGrid>
      <w:tr>
        <w:tc>
          <w:tcPr>
            <w:tcW w:type="dxa" w:w="9360"/>
            <w:tcMar>
              <w:top w:w="80" w:type="dxa"/>
              <w:start w:w="120" w:type="dxa"/>
              <w:bottom w:w="80" w:type="dxa"/>
              <w:end w:w="120" w:type="dxa"/>
            </w:tcMar>
            <w:vAlign w:val="center"/>
            <w:shd w:fill="EEF2FF"/>
          </w:tcPr>
          <w:p>
            <w:pPr>
              <w:spacing w:after="60"/>
            </w:pPr>
            <w:r/>
            <w:r>
              <w:rPr>
                <w:b/>
                <w:color w:val="0F172A"/>
                <w:sz w:val="21"/>
              </w:rPr>
              <w:t>How to record results</w:t>
            </w:r>
          </w:p>
          <w:p>
            <w:pPr>
              <w:spacing w:after="0"/>
            </w:pPr>
            <w:r>
              <w:rPr>
                <w:color w:val="334155"/>
                <w:sz w:val="20"/>
              </w:rPr>
              <w:t>For each case, mark Pass, Fail, or Blocked. Attach screenshots, exported files, or notes. Do not paste passwords, API keys, tokens, or private supervisor links into shared evidence.</w:t>
            </w:r>
          </w:p>
        </w:tc>
        <w:trPr>
          <w:tblHeader/>
        </w:trPr>
      </w:tr>
    </w:tbl>
    <w:p>
      <w:pPr>
        <w:spacing w:after="40"/>
      </w:pPr>
    </w:p>
    <w:p>
      <w:pPr>
        <w:spacing w:after="80"/>
      </w:pPr>
      <w:r>
        <w:rPr>
          <w:rFonts w:ascii="Calibri" w:hAnsi="Calibri"/>
          <w:b/>
          <w:color w:val="0F172A"/>
          <w:sz w:val="26"/>
        </w:rPr>
        <w:t>UAT-01 - Login and first screen</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Intern account exists</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20"/>
              </w:rPr>
              <w:t>Open app, login, confirm bottom navigation is visible.</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Home loads with Home, Log, History, Report, Profile navigation.</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UAT-02 - Profile and internship data</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High</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Logged in as intern</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Open Profile, confirm intern details, company, supervisor, cadence, AI assistant area.</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Profile settings are editable without report settings clutter.</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UAT-03 - Daily log autosave</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Profile/internship complete</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Open Log, type daily work notes, wait for Autosaved indicator, reload page.</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Draft remains after reload.</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UAT-04 - AI polish daily note</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High</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AI access available</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20"/>
              </w:rPr>
              <w:t>In Log, type rough notes, click Polish with AI, review output.</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Text becomes formal, same facts/language retained, user can edit.</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UAT-05 - Offline daily log</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Draft exists</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20"/>
              </w:rPr>
              <w:t>DevTools Network Offline, reload /log, edit field, return online.</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Form loads from cache and edits continue saving locally.</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UAT-06 - Submit for review</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Ready daily log exists</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Open History, select/submit log, use email review or Copy review link fallback.</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19"/>
              </w:rPr>
              <w:t>Submission status becomes submitted/pending and review link is available.</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UAT-07 - Supervisor approve</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Valid review link</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20"/>
              </w:rPr>
              <w:t>Open review link in browser, approve one entry, sign, submit.</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Approved snapshot appears in intern Logbook/History after sync.</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UAT-08 - Supervisor reject and resubmit</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High</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Valid review link</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Reject one entry with comment, revise it as intern, submit again, approve.</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19"/>
              </w:rPr>
              <w:t>Rejected comment appears, revised log can be resubmitted and later approved.</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UAT-09 - Supervisor evaluation</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High</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Evaluation is due</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Open review link with evaluation section, enter scores/comments, sign, submit.</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Evaluation appears in Official logbook and exports.</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UAT-10 - Official logbook Ready Check</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At least one approved log</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20"/>
              </w:rPr>
              <w:t>Report &gt; Settings &gt; Official logbook, run Ready Check.</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19"/>
              </w:rPr>
              <w:t>Blocking issues show red; warnings show amber; clean state says Verified version can be created.</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UAT-11 - Verified official logbook</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Ready Check clean</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20"/>
              </w:rPr>
              <w:t>Create official version, download PDF and Word.</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Version has Verified chip, AIN ID, PDF/Word buttons work.</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UAT-12 - QR phone verification</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Verified PDF downloaded</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20"/>
              </w:rPr>
              <w:t>Open PDF on phone, scan last-page QR.</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Phone lands on /verify?id=AIN-... and confirms record.</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UAT-13 - Word edit does not alter official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Verified DOCX downloaded</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20"/>
              </w:rPr>
              <w:t>Open DOCX in Word, edit text, save locally, re-open /verify ID.</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19"/>
              </w:rPr>
              <w:t>Public verification remains unchanged; edited Word copy is not official source.</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UAT-14 - Negative verify ID</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None</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20"/>
              </w:rPr>
              <w:t>Open /verify, type AIN-FAKE-0000 or another fake ID, click Verify.</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Red no-record card appears.</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UAT-15 - Report Center Settings</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High</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Logged in</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20"/>
              </w:rPr>
              <w:t>Bottom nav Report, Settings tab.</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19"/>
              </w:rPr>
              <w:t>Breadcrumb shows Report / Settings; Official logbook and Daily log Template Studio links work.</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UAT-16 - Weekly default narrative</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High</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Approved entries exist</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Report &gt; Weekly, choose Narrative, preview current template, set dates, create official version, export PDF/Word.</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Narrative style report is created and exports from frozen version.</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UAT-17 - Weekly default table</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High</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Approved entries exist</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Report &gt; Weekly, choose Table, create official version, export PDF/Word.</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Table report uses approved activity rows and supervisor verification.</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UAT-18 - Weekly sample extraction</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Weekly sample file ready</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Report &gt; Weekly, upload PDF/photo, select provider, Extract sample template, review visual modal, Apply.</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19"/>
              </w:rPr>
              <w:t>Preview is understandable visually; custom template chip appears; official export uses custom structure.</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UAT-19 - Monthly combined default</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High</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Approved entries exist</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Report &gt; Monthly, preview combined template, set dates, create official version, export PDF/Word.</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Monthly report combines data tables and narrative/reflection sections.</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UAT-20 - Monthly sample extraction</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Monthly sample file ready</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Report &gt; Monthly, upload PDF/photo, Extract, preview, Apply, create/export.</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19"/>
              </w:rPr>
              <w:t>Custom monthly template is visually reviewed and used in frozen official export.</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UAT-21 - Daily log Template Studio</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High</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Institution daily form sample ready</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Report &gt; Settings &gt; Daily log Template Studio, upload daily form, extract, review fields, apply.</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New logs use imported daily form; approved old entries stay unchanged.</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UAT-22 - Final report structure extraction</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Final report/TOC sample ready</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Report &gt; Final &gt; Continue final report workflow, upload sample, extract, preview, use structure.</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Chapter list visually matches institution format before applying.</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UAT-23 - Final report authoring and export</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Approved entries exist</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Write narrative chapters, optionally draft from evidence, create official final version, export PDF/Word.</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19"/>
              </w:rPr>
              <w:t>Final version freezes title, chapters, narrative draft, evidence appendices, QR if Verified.</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pPr>
        <w:spacing w:after="80"/>
      </w:pPr>
      <w:r>
        <w:rPr>
          <w:rFonts w:ascii="Calibri" w:hAnsi="Calibri"/>
          <w:b/>
          <w:color w:val="0F172A"/>
          <w:sz w:val="26"/>
        </w:rPr>
        <w:t>UAT-24 - Access and privacy spot check</w:t>
      </w:r>
    </w:p>
    <w:tbl>
      <w:tblPr>
        <w:tblStyle w:val="TableGrid"/>
        <w:tblW w:type="auto" w:w="0"/>
        <w:jc w:val="left"/>
        <w:tblLayout w:type="fixed"/>
        <w:tblLook w:firstColumn="1" w:firstRow="1" w:lastColumn="0" w:lastRow="0" w:noHBand="0" w:noVBand="1" w:val="04A0"/>
      </w:tblPr>
      <w:tblGrid>
        <w:gridCol w:w="4680"/>
        <w:gridCol w:w="4680"/>
      </w:tblGrid>
      <w:tr>
        <w:tc>
          <w:tcPr>
            <w:tcW w:type="dxa" w:w="1944"/>
            <w:tcMar>
              <w:top w:w="80" w:type="dxa"/>
              <w:start w:w="120" w:type="dxa"/>
              <w:bottom w:w="80" w:type="dxa"/>
              <w:end w:w="120" w:type="dxa"/>
            </w:tcMar>
            <w:vAlign w:val="center"/>
            <w:shd w:fill="F2F4F7"/>
          </w:tcPr>
          <w:p>
            <w:pPr>
              <w:spacing w:after="0"/>
            </w:pPr>
            <w:r/>
            <w:r>
              <w:rPr>
                <w:b/>
                <w:color w:val="0F172A"/>
                <w:sz w:val="20"/>
              </w:rPr>
              <w:t>Field</w:t>
            </w:r>
          </w:p>
        </w:tc>
        <w:tc>
          <w:tcPr>
            <w:tcW w:type="dxa" w:w="7416"/>
            <w:tcMar>
              <w:top w:w="80" w:type="dxa"/>
              <w:start w:w="120" w:type="dxa"/>
              <w:bottom w:w="80" w:type="dxa"/>
              <w:end w:w="120" w:type="dxa"/>
            </w:tcMar>
            <w:vAlign w:val="center"/>
            <w:shd w:fill="F2F4F7"/>
          </w:tcPr>
          <w:p>
            <w:pPr>
              <w:spacing w:after="0"/>
            </w:pPr>
            <w:r/>
            <w:r>
              <w:rPr>
                <w:b/>
                <w:color w:val="0F172A"/>
                <w:sz w:val="20"/>
              </w:rPr>
              <w:t>Detail</w:t>
            </w:r>
          </w:p>
        </w:tc>
        <w:trPr>
          <w:tblHeader/>
        </w:trPr>
      </w:tr>
      <w:tr>
        <w:tc>
          <w:tcPr>
            <w:tcW w:type="dxa" w:w="1944"/>
            <w:tcMar>
              <w:top w:w="80" w:type="dxa"/>
              <w:start w:w="120" w:type="dxa"/>
              <w:bottom w:w="80" w:type="dxa"/>
              <w:end w:w="120" w:type="dxa"/>
            </w:tcMar>
            <w:vAlign w:val="center"/>
          </w:tcPr>
          <w:p>
            <w:pPr>
              <w:spacing w:after="0"/>
            </w:pPr>
            <w:r/>
            <w:r>
              <w:rPr>
                <w:color w:val="1F2937"/>
                <w:sz w:val="20"/>
              </w:rPr>
              <w:t>Priority</w:t>
            </w:r>
          </w:p>
        </w:tc>
        <w:tc>
          <w:tcPr>
            <w:tcW w:type="dxa" w:w="7416"/>
            <w:tcMar>
              <w:top w:w="80" w:type="dxa"/>
              <w:start w:w="120" w:type="dxa"/>
              <w:bottom w:w="80" w:type="dxa"/>
              <w:end w:w="120" w:type="dxa"/>
            </w:tcMar>
            <w:vAlign w:val="center"/>
          </w:tcPr>
          <w:p>
            <w:pPr>
              <w:spacing w:after="0"/>
            </w:pPr>
            <w:r/>
            <w:r>
              <w:rPr>
                <w:color w:val="1F2937"/>
                <w:sz w:val="20"/>
              </w:rPr>
              <w:t>Critical</w:t>
            </w:r>
          </w:p>
        </w:tc>
      </w:tr>
      <w:tr>
        <w:tc>
          <w:tcPr>
            <w:tcW w:type="dxa" w:w="1944"/>
            <w:tcMar>
              <w:top w:w="80" w:type="dxa"/>
              <w:start w:w="120" w:type="dxa"/>
              <w:bottom w:w="80" w:type="dxa"/>
              <w:end w:w="120" w:type="dxa"/>
            </w:tcMar>
            <w:vAlign w:val="center"/>
          </w:tcPr>
          <w:p>
            <w:pPr>
              <w:spacing w:after="0"/>
            </w:pPr>
            <w:r/>
            <w:r>
              <w:rPr>
                <w:color w:val="1F2937"/>
                <w:sz w:val="20"/>
              </w:rPr>
              <w:t>Precondition</w:t>
            </w:r>
          </w:p>
        </w:tc>
        <w:tc>
          <w:tcPr>
            <w:tcW w:type="dxa" w:w="7416"/>
            <w:tcMar>
              <w:top w:w="80" w:type="dxa"/>
              <w:start w:w="120" w:type="dxa"/>
              <w:bottom w:w="80" w:type="dxa"/>
              <w:end w:w="120" w:type="dxa"/>
            </w:tcMar>
            <w:vAlign w:val="center"/>
          </w:tcPr>
          <w:p>
            <w:pPr>
              <w:spacing w:after="0"/>
            </w:pPr>
            <w:r/>
            <w:r>
              <w:rPr>
                <w:color w:val="1F2937"/>
                <w:sz w:val="20"/>
              </w:rPr>
              <w:t>Two users or incognito available</w:t>
            </w:r>
          </w:p>
        </w:tc>
      </w:tr>
      <w:tr>
        <w:tc>
          <w:tcPr>
            <w:tcW w:type="dxa" w:w="1944"/>
            <w:tcMar>
              <w:top w:w="80" w:type="dxa"/>
              <w:start w:w="120" w:type="dxa"/>
              <w:bottom w:w="80" w:type="dxa"/>
              <w:end w:w="120" w:type="dxa"/>
            </w:tcMar>
            <w:vAlign w:val="center"/>
          </w:tcPr>
          <w:p>
            <w:pPr>
              <w:spacing w:after="0"/>
            </w:pPr>
            <w:r/>
            <w:r>
              <w:rPr>
                <w:color w:val="1F2937"/>
                <w:sz w:val="20"/>
              </w:rPr>
              <w:t>Steps</w:t>
            </w:r>
          </w:p>
        </w:tc>
        <w:tc>
          <w:tcPr>
            <w:tcW w:type="dxa" w:w="7416"/>
            <w:tcMar>
              <w:top w:w="80" w:type="dxa"/>
              <w:start w:w="120" w:type="dxa"/>
              <w:bottom w:w="80" w:type="dxa"/>
              <w:end w:w="120" w:type="dxa"/>
            </w:tcMar>
            <w:vAlign w:val="center"/>
          </w:tcPr>
          <w:p>
            <w:pPr>
              <w:spacing w:after="0"/>
            </w:pPr>
            <w:r/>
            <w:r>
              <w:rPr>
                <w:color w:val="1F2937"/>
                <w:sz w:val="19"/>
              </w:rPr>
              <w:t>Confirm intern sees only own data; supervisor link opens only review page; verify page exposes public-safe fields only.</w:t>
            </w:r>
          </w:p>
        </w:tc>
      </w:tr>
      <w:tr>
        <w:tc>
          <w:tcPr>
            <w:tcW w:type="dxa" w:w="1944"/>
            <w:tcMar>
              <w:top w:w="80" w:type="dxa"/>
              <w:start w:w="120" w:type="dxa"/>
              <w:bottom w:w="80" w:type="dxa"/>
              <w:end w:w="120" w:type="dxa"/>
            </w:tcMar>
            <w:vAlign w:val="center"/>
          </w:tcPr>
          <w:p>
            <w:pPr>
              <w:spacing w:after="0"/>
            </w:pPr>
            <w:r/>
            <w:r>
              <w:rPr>
                <w:color w:val="1F2937"/>
                <w:sz w:val="20"/>
              </w:rPr>
              <w:t>Expected result</w:t>
            </w:r>
          </w:p>
        </w:tc>
        <w:tc>
          <w:tcPr>
            <w:tcW w:type="dxa" w:w="7416"/>
            <w:tcMar>
              <w:top w:w="80" w:type="dxa"/>
              <w:start w:w="120" w:type="dxa"/>
              <w:bottom w:w="80" w:type="dxa"/>
              <w:end w:w="120" w:type="dxa"/>
            </w:tcMar>
            <w:vAlign w:val="center"/>
          </w:tcPr>
          <w:p>
            <w:pPr>
              <w:spacing w:after="0"/>
            </w:pPr>
            <w:r/>
            <w:r>
              <w:rPr>
                <w:color w:val="1F2937"/>
                <w:sz w:val="20"/>
              </w:rPr>
              <w:t>No cross-user data exposure; no report content displayed publicly.</w:t>
            </w:r>
          </w:p>
        </w:tc>
      </w:tr>
      <w:tr>
        <w:tc>
          <w:tcPr>
            <w:tcW w:type="dxa" w:w="1944"/>
            <w:tcMar>
              <w:top w:w="80" w:type="dxa"/>
              <w:start w:w="120" w:type="dxa"/>
              <w:bottom w:w="80" w:type="dxa"/>
              <w:end w:w="120" w:type="dxa"/>
            </w:tcMar>
            <w:vAlign w:val="center"/>
          </w:tcPr>
          <w:p>
            <w:pPr>
              <w:spacing w:after="0"/>
            </w:pPr>
            <w:r/>
            <w:r>
              <w:rPr>
                <w:color w:val="1F2937"/>
                <w:sz w:val="20"/>
              </w:rPr>
              <w:t>Actual result</w:t>
            </w:r>
          </w:p>
        </w:tc>
        <w:tc>
          <w:tcPr>
            <w:tcW w:type="dxa" w:w="7416"/>
            <w:tcMar>
              <w:top w:w="80" w:type="dxa"/>
              <w:start w:w="120" w:type="dxa"/>
              <w:bottom w:w="80" w:type="dxa"/>
              <w:end w:w="120" w:type="dxa"/>
            </w:tcMar>
            <w:vAlign w:val="center"/>
          </w:tcPr>
          <w:p>
            <w:pPr>
              <w:spacing w:after="0"/>
            </w:pPr>
            <w:r/>
            <w:r>
              <w:rPr>
                <w:color w:val="1F2937"/>
                <w:sz w:val="20"/>
              </w:rPr>
            </w:r>
          </w:p>
        </w:tc>
      </w:tr>
      <w:tr>
        <w:tc>
          <w:tcPr>
            <w:tcW w:type="dxa" w:w="1944"/>
            <w:tcMar>
              <w:top w:w="80" w:type="dxa"/>
              <w:start w:w="120" w:type="dxa"/>
              <w:bottom w:w="80" w:type="dxa"/>
              <w:end w:w="120" w:type="dxa"/>
            </w:tcMar>
            <w:vAlign w:val="center"/>
          </w:tcPr>
          <w:p>
            <w:pPr>
              <w:spacing w:after="0"/>
            </w:pPr>
            <w:r/>
            <w:r>
              <w:rPr>
                <w:color w:val="1F2937"/>
                <w:sz w:val="20"/>
              </w:rPr>
              <w:t>Status</w:t>
            </w:r>
          </w:p>
        </w:tc>
        <w:tc>
          <w:tcPr>
            <w:tcW w:type="dxa" w:w="7416"/>
            <w:tcMar>
              <w:top w:w="80" w:type="dxa"/>
              <w:start w:w="120" w:type="dxa"/>
              <w:bottom w:w="80" w:type="dxa"/>
              <w:end w:w="120" w:type="dxa"/>
            </w:tcMar>
            <w:vAlign w:val="center"/>
          </w:tcPr>
          <w:p>
            <w:pPr>
              <w:spacing w:after="0"/>
            </w:pPr>
            <w:r/>
            <w:r>
              <w:rPr>
                <w:color w:val="1F2937"/>
                <w:sz w:val="20"/>
              </w:rPr>
              <w:t>Pass / Fail / Blocked</w:t>
            </w:r>
          </w:p>
        </w:tc>
      </w:tr>
      <w:tr>
        <w:tc>
          <w:tcPr>
            <w:tcW w:type="dxa" w:w="1944"/>
            <w:tcMar>
              <w:top w:w="80" w:type="dxa"/>
              <w:start w:w="120" w:type="dxa"/>
              <w:bottom w:w="80" w:type="dxa"/>
              <w:end w:w="120" w:type="dxa"/>
            </w:tcMar>
            <w:vAlign w:val="center"/>
          </w:tcPr>
          <w:p>
            <w:pPr>
              <w:spacing w:after="0"/>
            </w:pPr>
            <w:r/>
            <w:r>
              <w:rPr>
                <w:color w:val="1F2937"/>
                <w:sz w:val="20"/>
              </w:rPr>
              <w:t>Evidence / notes</w:t>
            </w:r>
          </w:p>
        </w:tc>
        <w:tc>
          <w:tcPr>
            <w:tcW w:type="dxa" w:w="7416"/>
            <w:tcMar>
              <w:top w:w="80" w:type="dxa"/>
              <w:start w:w="120" w:type="dxa"/>
              <w:bottom w:w="80" w:type="dxa"/>
              <w:end w:w="120" w:type="dxa"/>
            </w:tcMar>
            <w:vAlign w:val="center"/>
          </w:tcPr>
          <w:p>
            <w:pPr>
              <w:spacing w:after="0"/>
            </w:pPr>
            <w:r/>
            <w:r>
              <w:rPr>
                <w:color w:val="1F2937"/>
                <w:sz w:val="20"/>
              </w:rPr>
            </w:r>
          </w:p>
        </w:tc>
      </w:tr>
    </w:tbl>
    <w:p>
      <w:pPr>
        <w:spacing w:after="40"/>
      </w:pPr>
    </w:p>
    <w:p>
      <w:r>
        <w:br w:type="page"/>
      </w:r>
    </w:p>
    <w:p>
      <w:pPr>
        <w:spacing w:after="80"/>
      </w:pPr>
      <w:r>
        <w:rPr>
          <w:rFonts w:ascii="Calibri" w:hAnsi="Calibri"/>
          <w:b/>
          <w:color w:val="0F172A"/>
          <w:sz w:val="40"/>
        </w:rPr>
        <w:t>5. User Manual</w:t>
      </w:r>
    </w:p>
    <w:p>
      <w:pPr>
        <w:spacing w:after="80"/>
      </w:pPr>
      <w:r>
        <w:rPr>
          <w:rFonts w:ascii="Calibri" w:hAnsi="Calibri"/>
          <w:b/>
          <w:color w:val="0F172A"/>
          <w:sz w:val="28"/>
        </w:rPr>
        <w:t>5.1 Navigation</w:t>
      </w:r>
    </w:p>
    <w:tbl>
      <w:tblPr>
        <w:tblStyle w:val="TableGrid"/>
        <w:tblW w:type="auto" w:w="0"/>
        <w:jc w:val="left"/>
        <w:tblLayout w:type="fixed"/>
        <w:tblLook w:firstColumn="1" w:firstRow="1" w:lastColumn="0" w:lastRow="0" w:noHBand="0" w:noVBand="1" w:val="04A0"/>
      </w:tblPr>
      <w:tblGrid>
        <w:gridCol w:w="4680"/>
        <w:gridCol w:w="4680"/>
      </w:tblGrid>
      <w:tr>
        <w:tc>
          <w:tcPr>
            <w:tcW w:type="dxa" w:w="1800"/>
            <w:tcMar>
              <w:top w:w="80" w:type="dxa"/>
              <w:start w:w="120" w:type="dxa"/>
              <w:bottom w:w="80" w:type="dxa"/>
              <w:end w:w="120" w:type="dxa"/>
            </w:tcMar>
            <w:vAlign w:val="center"/>
            <w:shd w:fill="F2F4F7"/>
          </w:tcPr>
          <w:p>
            <w:pPr>
              <w:spacing w:after="0"/>
            </w:pPr>
            <w:r/>
            <w:r>
              <w:rPr>
                <w:b/>
                <w:color w:val="0F172A"/>
                <w:sz w:val="20"/>
              </w:rPr>
              <w:t>Area</w:t>
            </w:r>
          </w:p>
        </w:tc>
        <w:tc>
          <w:tcPr>
            <w:tcW w:type="dxa" w:w="7560"/>
            <w:tcMar>
              <w:top w:w="80" w:type="dxa"/>
              <w:start w:w="120" w:type="dxa"/>
              <w:bottom w:w="80" w:type="dxa"/>
              <w:end w:w="120" w:type="dxa"/>
            </w:tcMar>
            <w:vAlign w:val="center"/>
            <w:shd w:fill="F2F4F7"/>
          </w:tcPr>
          <w:p>
            <w:pPr>
              <w:spacing w:after="0"/>
            </w:pPr>
            <w:r/>
            <w:r>
              <w:rPr>
                <w:b/>
                <w:color w:val="0F172A"/>
                <w:sz w:val="20"/>
              </w:rPr>
              <w:t>Purpose</w:t>
            </w:r>
          </w:p>
        </w:tc>
        <w:trPr>
          <w:tblHeader/>
        </w:trPr>
      </w:tr>
      <w:tr>
        <w:tc>
          <w:tcPr>
            <w:tcW w:type="dxa" w:w="1800"/>
            <w:tcMar>
              <w:top w:w="80" w:type="dxa"/>
              <w:start w:w="120" w:type="dxa"/>
              <w:bottom w:w="80" w:type="dxa"/>
              <w:end w:w="120" w:type="dxa"/>
            </w:tcMar>
            <w:vAlign w:val="center"/>
          </w:tcPr>
          <w:p>
            <w:pPr>
              <w:spacing w:after="0"/>
            </w:pPr>
            <w:r/>
            <w:r>
              <w:rPr>
                <w:color w:val="1F2937"/>
                <w:sz w:val="20"/>
              </w:rPr>
              <w:t>Home</w:t>
            </w:r>
          </w:p>
        </w:tc>
        <w:tc>
          <w:tcPr>
            <w:tcW w:type="dxa" w:w="7560"/>
            <w:tcMar>
              <w:top w:w="80" w:type="dxa"/>
              <w:start w:w="120" w:type="dxa"/>
              <w:bottom w:w="80" w:type="dxa"/>
              <w:end w:w="120" w:type="dxa"/>
            </w:tcMar>
            <w:vAlign w:val="center"/>
          </w:tcPr>
          <w:p>
            <w:pPr>
              <w:spacing w:after="0"/>
            </w:pPr>
            <w:r/>
            <w:r>
              <w:rPr>
                <w:color w:val="1F2937"/>
                <w:sz w:val="20"/>
              </w:rPr>
              <w:t>Start or continue today's log and access major workflows.</w:t>
            </w:r>
          </w:p>
        </w:tc>
      </w:tr>
      <w:tr>
        <w:tc>
          <w:tcPr>
            <w:tcW w:type="dxa" w:w="1800"/>
            <w:tcMar>
              <w:top w:w="80" w:type="dxa"/>
              <w:start w:w="120" w:type="dxa"/>
              <w:bottom w:w="80" w:type="dxa"/>
              <w:end w:w="120" w:type="dxa"/>
            </w:tcMar>
            <w:vAlign w:val="center"/>
          </w:tcPr>
          <w:p>
            <w:pPr>
              <w:spacing w:after="0"/>
            </w:pPr>
            <w:r/>
            <w:r>
              <w:rPr>
                <w:color w:val="1F2937"/>
                <w:sz w:val="20"/>
              </w:rPr>
              <w:t>Log</w:t>
            </w:r>
          </w:p>
        </w:tc>
        <w:tc>
          <w:tcPr>
            <w:tcW w:type="dxa" w:w="7560"/>
            <w:tcMar>
              <w:top w:w="80" w:type="dxa"/>
              <w:start w:w="120" w:type="dxa"/>
              <w:bottom w:w="80" w:type="dxa"/>
              <w:end w:w="120" w:type="dxa"/>
            </w:tcMar>
            <w:vAlign w:val="center"/>
          </w:tcPr>
          <w:p>
            <w:pPr>
              <w:spacing w:after="0"/>
            </w:pPr>
            <w:r/>
            <w:r>
              <w:rPr>
                <w:color w:val="1F2937"/>
                <w:sz w:val="20"/>
              </w:rPr>
              <w:t>Fill the daily log. Drafts autosave locally and work offline.</w:t>
            </w:r>
          </w:p>
        </w:tc>
      </w:tr>
      <w:tr>
        <w:tc>
          <w:tcPr>
            <w:tcW w:type="dxa" w:w="1800"/>
            <w:tcMar>
              <w:top w:w="80" w:type="dxa"/>
              <w:start w:w="120" w:type="dxa"/>
              <w:bottom w:w="80" w:type="dxa"/>
              <w:end w:w="120" w:type="dxa"/>
            </w:tcMar>
            <w:vAlign w:val="center"/>
          </w:tcPr>
          <w:p>
            <w:pPr>
              <w:spacing w:after="0"/>
            </w:pPr>
            <w:r/>
            <w:r>
              <w:rPr>
                <w:color w:val="1F2937"/>
                <w:sz w:val="20"/>
              </w:rPr>
              <w:t>History</w:t>
            </w:r>
          </w:p>
        </w:tc>
        <w:tc>
          <w:tcPr>
            <w:tcW w:type="dxa" w:w="7560"/>
            <w:tcMar>
              <w:top w:w="80" w:type="dxa"/>
              <w:start w:w="120" w:type="dxa"/>
              <w:bottom w:w="80" w:type="dxa"/>
              <w:end w:w="120" w:type="dxa"/>
            </w:tcMar>
            <w:vAlign w:val="center"/>
          </w:tcPr>
          <w:p>
            <w:pPr>
              <w:spacing w:after="0"/>
            </w:pPr>
            <w:r/>
            <w:r>
              <w:rPr>
                <w:color w:val="1F2937"/>
                <w:sz w:val="20"/>
              </w:rPr>
              <w:t>Review daily log statuses, submit logs, resend or copy review links.</w:t>
            </w:r>
          </w:p>
        </w:tc>
      </w:tr>
      <w:tr>
        <w:tc>
          <w:tcPr>
            <w:tcW w:type="dxa" w:w="1800"/>
            <w:tcMar>
              <w:top w:w="80" w:type="dxa"/>
              <w:start w:w="120" w:type="dxa"/>
              <w:bottom w:w="80" w:type="dxa"/>
              <w:end w:w="120" w:type="dxa"/>
            </w:tcMar>
            <w:vAlign w:val="center"/>
          </w:tcPr>
          <w:p>
            <w:pPr>
              <w:spacing w:after="0"/>
            </w:pPr>
            <w:r/>
            <w:r>
              <w:rPr>
                <w:color w:val="1F2937"/>
                <w:sz w:val="20"/>
              </w:rPr>
              <w:t>Report</w:t>
            </w:r>
          </w:p>
        </w:tc>
        <w:tc>
          <w:tcPr>
            <w:tcW w:type="dxa" w:w="7560"/>
            <w:tcMar>
              <w:top w:w="80" w:type="dxa"/>
              <w:start w:w="120" w:type="dxa"/>
              <w:bottom w:w="80" w:type="dxa"/>
              <w:end w:w="120" w:type="dxa"/>
            </w:tcMar>
            <w:vAlign w:val="center"/>
          </w:tcPr>
          <w:p>
            <w:pPr>
              <w:spacing w:after="0"/>
            </w:pPr>
            <w:r/>
            <w:r>
              <w:rPr>
                <w:color w:val="1F2937"/>
                <w:sz w:val="19"/>
              </w:rPr>
              <w:t>Central place for reporting settings, Weekly, Monthly, and Final reports.</w:t>
            </w:r>
          </w:p>
        </w:tc>
      </w:tr>
      <w:tr>
        <w:tc>
          <w:tcPr>
            <w:tcW w:type="dxa" w:w="1800"/>
            <w:tcMar>
              <w:top w:w="80" w:type="dxa"/>
              <w:start w:w="120" w:type="dxa"/>
              <w:bottom w:w="80" w:type="dxa"/>
              <w:end w:w="120" w:type="dxa"/>
            </w:tcMar>
            <w:vAlign w:val="center"/>
          </w:tcPr>
          <w:p>
            <w:pPr>
              <w:spacing w:after="0"/>
            </w:pPr>
            <w:r/>
            <w:r>
              <w:rPr>
                <w:color w:val="1F2937"/>
                <w:sz w:val="20"/>
              </w:rPr>
              <w:t>Profile</w:t>
            </w:r>
          </w:p>
        </w:tc>
        <w:tc>
          <w:tcPr>
            <w:tcW w:type="dxa" w:w="7560"/>
            <w:tcMar>
              <w:top w:w="80" w:type="dxa"/>
              <w:start w:w="120" w:type="dxa"/>
              <w:bottom w:w="80" w:type="dxa"/>
              <w:end w:w="120" w:type="dxa"/>
            </w:tcMar>
            <w:vAlign w:val="center"/>
          </w:tcPr>
          <w:p>
            <w:pPr>
              <w:spacing w:after="0"/>
            </w:pPr>
            <w:r/>
            <w:r>
              <w:rPr>
                <w:color w:val="1F2937"/>
                <w:sz w:val="19"/>
              </w:rPr>
              <w:t>Personal details, internship pass, supervisor review settings, and AI keys.</w:t>
            </w:r>
          </w:p>
        </w:tc>
      </w:tr>
    </w:tbl>
    <w:p>
      <w:pPr>
        <w:spacing w:after="40"/>
      </w:pPr>
    </w:p>
    <w:p>
      <w:pPr>
        <w:spacing w:after="80"/>
      </w:pPr>
      <w:r>
        <w:rPr>
          <w:rFonts w:ascii="Calibri" w:hAnsi="Calibri"/>
          <w:b/>
          <w:color w:val="0F172A"/>
          <w:sz w:val="28"/>
        </w:rPr>
        <w:t>5.2 Daily Logging</w:t>
      </w:r>
    </w:p>
    <w:p>
      <w:pPr>
        <w:pStyle w:val="ListBullet"/>
        <w:spacing w:after="80"/>
      </w:pPr>
      <w:r>
        <w:t>Open Log from the bottom navigation or Home.</w:t>
      </w:r>
    </w:p>
    <w:p>
      <w:pPr>
        <w:pStyle w:val="ListBullet"/>
        <w:spacing w:after="80"/>
      </w:pPr>
      <w:r>
        <w:t>Fill the work summary, outcomes, learning, blockers, attendance, and any enabled custom fields.</w:t>
      </w:r>
    </w:p>
    <w:p>
      <w:pPr>
        <w:pStyle w:val="ListBullet"/>
        <w:spacing w:after="80"/>
      </w:pPr>
      <w:r>
        <w:t>Wait for the Autosaved indicator before closing the page.</w:t>
      </w:r>
    </w:p>
    <w:p>
      <w:pPr>
        <w:pStyle w:val="ListBullet"/>
        <w:spacing w:after="80"/>
      </w:pPr>
      <w:r>
        <w:t>Click Save log when the day is ready for submission.</w:t>
      </w:r>
    </w:p>
    <w:p>
      <w:pPr>
        <w:pStyle w:val="ListBullet"/>
        <w:spacing w:after="80"/>
      </w:pPr>
      <w:r>
        <w:t>Approved or submitted logs become read-only until the supervisor outcome allows revision.</w:t>
      </w:r>
    </w:p>
    <w:p>
      <w:pPr>
        <w:spacing w:after="80"/>
      </w:pPr>
      <w:r>
        <w:rPr>
          <w:rFonts w:ascii="Calibri" w:hAnsi="Calibri"/>
          <w:b/>
          <w:color w:val="0F172A"/>
          <w:sz w:val="28"/>
        </w:rPr>
        <w:t>5.3 AI Polish</w:t>
      </w:r>
    </w:p>
    <w:p>
      <w:pPr>
        <w:pStyle w:val="ListBullet"/>
        <w:spacing w:after="80"/>
      </w:pPr>
      <w:r>
        <w:t>Use Polish with AI on rough notes when online.</w:t>
      </w:r>
    </w:p>
    <w:p>
      <w:pPr>
        <w:pStyle w:val="ListBullet"/>
        <w:spacing w:after="80"/>
      </w:pPr>
      <w:r>
        <w:t>Review the rewritten text before saving; the intern remains responsible for accuracy.</w:t>
      </w:r>
    </w:p>
    <w:p>
      <w:pPr>
        <w:pStyle w:val="ListBullet"/>
        <w:spacing w:after="80"/>
      </w:pPr>
      <w:r>
        <w:t>If offline or AI is unavailable, continue writing manually and polish later.</w:t>
      </w:r>
    </w:p>
    <w:p>
      <w:pPr>
        <w:pStyle w:val="ListBullet"/>
        <w:spacing w:after="80"/>
      </w:pPr>
      <w:r>
        <w:t>Do not enter confidential API keys into report text or UAT notes.</w:t>
      </w:r>
    </w:p>
    <w:p>
      <w:pPr>
        <w:spacing w:after="80"/>
      </w:pPr>
      <w:r>
        <w:rPr>
          <w:rFonts w:ascii="Calibri" w:hAnsi="Calibri"/>
          <w:b/>
          <w:color w:val="0F172A"/>
          <w:sz w:val="28"/>
        </w:rPr>
        <w:t>5.4 Submit to Supervisor</w:t>
      </w:r>
    </w:p>
    <w:p>
      <w:pPr>
        <w:pStyle w:val="ListBullet"/>
        <w:spacing w:after="80"/>
      </w:pPr>
      <w:r>
        <w:t>Open History and confirm the log is ready.</w:t>
      </w:r>
    </w:p>
    <w:p>
      <w:pPr>
        <w:pStyle w:val="ListBullet"/>
        <w:spacing w:after="80"/>
      </w:pPr>
      <w:r>
        <w:t>Submit the selected log or batch for supervisor review.</w:t>
      </w:r>
    </w:p>
    <w:p>
      <w:pPr>
        <w:pStyle w:val="ListBullet"/>
        <w:spacing w:after="80"/>
      </w:pPr>
      <w:r>
        <w:t>Use Email supervisor if delivery is configured. Use Copy review link if email delivery hangs or the provider is slow.</w:t>
      </w:r>
    </w:p>
    <w:p>
      <w:pPr>
        <w:pStyle w:val="ListBullet"/>
        <w:spacing w:after="80"/>
      </w:pPr>
      <w:r>
        <w:t>The supervisor opens the token link without creating an account.</w:t>
      </w:r>
    </w:p>
    <w:p>
      <w:pPr>
        <w:pStyle w:val="ListBullet"/>
        <w:spacing w:after="80"/>
      </w:pPr>
      <w:r>
        <w:t>After approval or rejection, return to History or Official logbook and refresh/sync status.</w:t>
      </w:r>
    </w:p>
    <w:p>
      <w:pPr>
        <w:spacing w:after="80"/>
      </w:pPr>
      <w:r>
        <w:rPr>
          <w:rFonts w:ascii="Calibri" w:hAnsi="Calibri"/>
          <w:b/>
          <w:color w:val="0F172A"/>
          <w:sz w:val="28"/>
        </w:rPr>
        <w:t>5.5 Supervisor Review</w:t>
      </w:r>
    </w:p>
    <w:p>
      <w:pPr>
        <w:pStyle w:val="ListBullet"/>
        <w:spacing w:after="80"/>
      </w:pPr>
      <w:r>
        <w:t>Open the review link received from the intern.</w:t>
      </w:r>
    </w:p>
    <w:p>
      <w:pPr>
        <w:pStyle w:val="ListBullet"/>
        <w:spacing w:after="80"/>
      </w:pPr>
      <w:r>
        <w:t>Read each submitted entry.</w:t>
      </w:r>
    </w:p>
    <w:p>
      <w:pPr>
        <w:pStyle w:val="ListBullet"/>
        <w:spacing w:after="80"/>
      </w:pPr>
      <w:r>
        <w:t>Approve valid entries or mark Needs revision with a clear comment.</w:t>
      </w:r>
    </w:p>
    <w:p>
      <w:pPr>
        <w:pStyle w:val="ListBullet"/>
        <w:spacing w:after="80"/>
      </w:pPr>
      <w:r>
        <w:t>Complete evaluation scores and comments when the evaluation section appears.</w:t>
      </w:r>
    </w:p>
    <w:p>
      <w:pPr>
        <w:pStyle w:val="ListBullet"/>
        <w:spacing w:after="80"/>
      </w:pPr>
      <w:r>
        <w:t>Sign on screen and submit.</w:t>
      </w:r>
    </w:p>
    <w:p>
      <w:pPr>
        <w:spacing w:after="80"/>
      </w:pPr>
      <w:r>
        <w:rPr>
          <w:rFonts w:ascii="Calibri" w:hAnsi="Calibri"/>
          <w:b/>
          <w:color w:val="0F172A"/>
          <w:sz w:val="28"/>
        </w:rPr>
        <w:t>5.6 Official Logbook</w:t>
      </w:r>
    </w:p>
    <w:p>
      <w:pPr>
        <w:pStyle w:val="ListBullet"/>
        <w:spacing w:after="80"/>
      </w:pPr>
      <w:r>
        <w:t>Go to Report &gt; Settings &gt; Official logbook.</w:t>
      </w:r>
    </w:p>
    <w:p>
      <w:pPr>
        <w:pStyle w:val="ListBullet"/>
        <w:spacing w:after="80"/>
      </w:pPr>
      <w:r>
        <w:t>Run Ready Check before creating an official version.</w:t>
      </w:r>
    </w:p>
    <w:p>
      <w:pPr>
        <w:pStyle w:val="ListBullet"/>
        <w:spacing w:after="80"/>
      </w:pPr>
      <w:r>
        <w:t>Fix red blocking items first. Amber warnings can still allow creation, but should be reviewed.</w:t>
      </w:r>
    </w:p>
    <w:p>
      <w:pPr>
        <w:pStyle w:val="ListBullet"/>
        <w:spacing w:after="80"/>
      </w:pPr>
      <w:r>
        <w:t>Create an official version. Verified versions receive an AIN Verification ID.</w:t>
      </w:r>
    </w:p>
    <w:p>
      <w:pPr>
        <w:pStyle w:val="ListBullet"/>
        <w:spacing w:after="80"/>
      </w:pPr>
      <w:r>
        <w:t>Use PDF for official submission. Use Word for editable working copies.</w:t>
      </w:r>
    </w:p>
    <w:p>
      <w:pPr>
        <w:spacing w:after="80"/>
      </w:pPr>
      <w:r>
        <w:rPr>
          <w:rFonts w:ascii="Calibri" w:hAnsi="Calibri"/>
          <w:b/>
          <w:color w:val="0F172A"/>
          <w:sz w:val="28"/>
        </w:rPr>
        <w:t>5.7 Weekly and Monthly Reports</w:t>
      </w:r>
    </w:p>
    <w:p>
      <w:pPr>
        <w:pStyle w:val="ListBullet"/>
        <w:spacing w:after="80"/>
      </w:pPr>
      <w:r>
        <w:t>Go to Report &gt; Weekly or Report &gt; Monthly.</w:t>
      </w:r>
    </w:p>
    <w:p>
      <w:pPr>
        <w:pStyle w:val="ListBullet"/>
        <w:spacing w:after="80"/>
      </w:pPr>
      <w:r>
        <w:t>Weekly supports Narrative and Table default formats. Monthly uses a combined table plus narrative format.</w:t>
      </w:r>
    </w:p>
    <w:p>
      <w:pPr>
        <w:pStyle w:val="ListBullet"/>
        <w:spacing w:after="80"/>
      </w:pPr>
      <w:r>
        <w:t>To match an institution sample, upload PDF/photo, choose provider, extract, and review the visual preview.</w:t>
      </w:r>
    </w:p>
    <w:p>
      <w:pPr>
        <w:pStyle w:val="ListBullet"/>
        <w:spacing w:after="80"/>
      </w:pPr>
      <w:r>
        <w:t>Apply only when the preview looks correct. Technical JSON is for debugging only.</w:t>
      </w:r>
    </w:p>
    <w:p>
      <w:pPr>
        <w:pStyle w:val="ListBullet"/>
        <w:spacing w:after="80"/>
      </w:pPr>
      <w:r>
        <w:t>Set the date period, create official version, and download PDF/Word.</w:t>
      </w:r>
    </w:p>
    <w:p>
      <w:pPr>
        <w:spacing w:after="80"/>
      </w:pPr>
      <w:r>
        <w:rPr>
          <w:rFonts w:ascii="Calibri" w:hAnsi="Calibri"/>
          <w:b/>
          <w:color w:val="0F172A"/>
          <w:sz w:val="28"/>
        </w:rPr>
        <w:t>5.8 Final Report Studio</w:t>
      </w:r>
    </w:p>
    <w:p>
      <w:pPr>
        <w:pStyle w:val="ListBullet"/>
        <w:spacing w:after="80"/>
      </w:pPr>
      <w:r>
        <w:t>Go to Report &gt; Final &gt; Continue final report workflow.</w:t>
      </w:r>
    </w:p>
    <w:p>
      <w:pPr>
        <w:pStyle w:val="ListBullet"/>
        <w:spacing w:after="80"/>
      </w:pPr>
      <w:r>
        <w:t>Use the default chapter structure or upload an institution final report/TOC sample.</w:t>
      </w:r>
    </w:p>
    <w:p>
      <w:pPr>
        <w:pStyle w:val="ListBullet"/>
        <w:spacing w:after="80"/>
      </w:pPr>
      <w:r>
        <w:t>Review the visual table-of-contents preview before applying.</w:t>
      </w:r>
    </w:p>
    <w:p>
      <w:pPr>
        <w:pStyle w:val="ListBullet"/>
        <w:spacing w:after="80"/>
      </w:pPr>
      <w:r>
        <w:t>Write narrative chapters. Auto logbook and evaluation chapters come from approved records and cannot be edited inside the studio.</w:t>
      </w:r>
    </w:p>
    <w:p>
      <w:pPr>
        <w:pStyle w:val="ListBullet"/>
        <w:spacing w:after="80"/>
      </w:pPr>
      <w:r>
        <w:t>Create the official final version and export PDF/Word.</w:t>
      </w:r>
    </w:p>
    <w:p>
      <w:pPr>
        <w:spacing w:after="80"/>
      </w:pPr>
      <w:r>
        <w:rPr>
          <w:rFonts w:ascii="Calibri" w:hAnsi="Calibri"/>
          <w:b/>
          <w:color w:val="0F172A"/>
          <w:sz w:val="28"/>
        </w:rPr>
        <w:t>5.9 Public Verification</w:t>
      </w:r>
    </w:p>
    <w:p>
      <w:pPr>
        <w:pStyle w:val="ListBullet"/>
        <w:spacing w:after="80"/>
      </w:pPr>
      <w:r>
        <w:t>Open /verify or scan the QR in a verified PDF.</w:t>
      </w:r>
    </w:p>
    <w:p>
      <w:pPr>
        <w:pStyle w:val="ListBullet"/>
        <w:spacing w:after="80"/>
      </w:pPr>
      <w:r>
        <w:t>Enter the AIN Verification ID if it is not already in the URL.</w:t>
      </w:r>
    </w:p>
    <w:p>
      <w:pPr>
        <w:pStyle w:val="ListBullet"/>
        <w:spacing w:after="80"/>
      </w:pPr>
      <w:r>
        <w:t>Green card means the record exists and was generated from official verified data.</w:t>
      </w:r>
    </w:p>
    <w:p>
      <w:pPr>
        <w:pStyle w:val="ListBullet"/>
        <w:spacing w:after="80"/>
      </w:pPr>
      <w:r>
        <w:t>Red card means no verified record was found for that ID.</w:t>
      </w:r>
    </w:p>
    <w:p>
      <w:pPr>
        <w:pStyle w:val="ListBullet"/>
        <w:spacing w:after="80"/>
      </w:pPr>
      <w:r>
        <w:t>The verification page does not expose private report content.</w:t>
      </w:r>
    </w:p>
    <w:p>
      <w:pPr>
        <w:spacing w:after="80"/>
      </w:pPr>
      <w:r>
        <w:rPr>
          <w:rFonts w:ascii="Calibri" w:hAnsi="Calibri"/>
          <w:b/>
          <w:color w:val="0F172A"/>
          <w:sz w:val="40"/>
        </w:rPr>
        <w:t>6. Troubleshooting Guide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232"/>
            <w:tcMar>
              <w:top w:w="80" w:type="dxa"/>
              <w:start w:w="120" w:type="dxa"/>
              <w:bottom w:w="80" w:type="dxa"/>
              <w:end w:w="120" w:type="dxa"/>
            </w:tcMar>
            <w:vAlign w:val="center"/>
            <w:shd w:fill="F2F4F7"/>
          </w:tcPr>
          <w:p>
            <w:pPr>
              <w:spacing w:after="0"/>
            </w:pPr>
            <w:r/>
            <w:r>
              <w:rPr>
                <w:b/>
                <w:color w:val="0F172A"/>
                <w:sz w:val="20"/>
              </w:rPr>
              <w:t>Issue</w:t>
            </w:r>
          </w:p>
        </w:tc>
        <w:tc>
          <w:tcPr>
            <w:tcW w:type="dxa" w:w="3096"/>
            <w:tcMar>
              <w:top w:w="80" w:type="dxa"/>
              <w:start w:w="120" w:type="dxa"/>
              <w:bottom w:w="80" w:type="dxa"/>
              <w:end w:w="120" w:type="dxa"/>
            </w:tcMar>
            <w:vAlign w:val="center"/>
            <w:shd w:fill="F2F4F7"/>
          </w:tcPr>
          <w:p>
            <w:pPr>
              <w:spacing w:after="0"/>
            </w:pPr>
            <w:r/>
            <w:r>
              <w:rPr>
                <w:b/>
                <w:color w:val="0F172A"/>
                <w:sz w:val="20"/>
              </w:rPr>
              <w:t>Likely cause</w:t>
            </w:r>
          </w:p>
        </w:tc>
        <w:tc>
          <w:tcPr>
            <w:tcW w:type="dxa" w:w="4032"/>
            <w:tcMar>
              <w:top w:w="80" w:type="dxa"/>
              <w:start w:w="120" w:type="dxa"/>
              <w:bottom w:w="80" w:type="dxa"/>
              <w:end w:w="120" w:type="dxa"/>
            </w:tcMar>
            <w:vAlign w:val="center"/>
            <w:shd w:fill="F2F4F7"/>
          </w:tcPr>
          <w:p>
            <w:pPr>
              <w:spacing w:after="0"/>
            </w:pPr>
            <w:r/>
            <w:r>
              <w:rPr>
                <w:b/>
                <w:color w:val="0F172A"/>
                <w:sz w:val="20"/>
              </w:rPr>
              <w:t>Action</w:t>
            </w:r>
          </w:p>
        </w:tc>
        <w:trPr>
          <w:tblHeader/>
        </w:trPr>
      </w:tr>
      <w:tr>
        <w:tc>
          <w:tcPr>
            <w:tcW w:type="dxa" w:w="2232"/>
            <w:tcMar>
              <w:top w:w="80" w:type="dxa"/>
              <w:start w:w="120" w:type="dxa"/>
              <w:bottom w:w="80" w:type="dxa"/>
              <w:end w:w="120" w:type="dxa"/>
            </w:tcMar>
            <w:vAlign w:val="center"/>
          </w:tcPr>
          <w:p>
            <w:pPr>
              <w:spacing w:after="0"/>
            </w:pPr>
            <w:r/>
            <w:r>
              <w:rPr>
                <w:color w:val="1F2937"/>
                <w:sz w:val="20"/>
              </w:rPr>
              <w:t>Email review button hangs</w:t>
            </w:r>
          </w:p>
        </w:tc>
        <w:tc>
          <w:tcPr>
            <w:tcW w:type="dxa" w:w="3096"/>
            <w:tcMar>
              <w:top w:w="80" w:type="dxa"/>
              <w:start w:w="120" w:type="dxa"/>
              <w:bottom w:w="80" w:type="dxa"/>
              <w:end w:w="120" w:type="dxa"/>
            </w:tcMar>
            <w:vAlign w:val="center"/>
          </w:tcPr>
          <w:p>
            <w:pPr>
              <w:spacing w:after="0"/>
            </w:pPr>
            <w:r/>
            <w:r>
              <w:rPr>
                <w:color w:val="1F2937"/>
                <w:sz w:val="20"/>
              </w:rPr>
              <w:t>Email provider delivery not configured, slow, or restricted.</w:t>
            </w:r>
          </w:p>
        </w:tc>
        <w:tc>
          <w:tcPr>
            <w:tcW w:type="dxa" w:w="4032"/>
            <w:tcMar>
              <w:top w:w="80" w:type="dxa"/>
              <w:start w:w="120" w:type="dxa"/>
              <w:bottom w:w="80" w:type="dxa"/>
              <w:end w:w="120" w:type="dxa"/>
            </w:tcMar>
            <w:vAlign w:val="center"/>
          </w:tcPr>
          <w:p>
            <w:pPr>
              <w:spacing w:after="0"/>
            </w:pPr>
            <w:r/>
            <w:r>
              <w:rPr>
                <w:color w:val="1F2937"/>
                <w:sz w:val="20"/>
              </w:rPr>
              <w:t>Use Copy review link and send it manually.</w:t>
            </w:r>
          </w:p>
        </w:tc>
      </w:tr>
      <w:tr>
        <w:tc>
          <w:tcPr>
            <w:tcW w:type="dxa" w:w="2232"/>
            <w:tcMar>
              <w:top w:w="80" w:type="dxa"/>
              <w:start w:w="120" w:type="dxa"/>
              <w:bottom w:w="80" w:type="dxa"/>
              <w:end w:w="120" w:type="dxa"/>
            </w:tcMar>
            <w:vAlign w:val="center"/>
          </w:tcPr>
          <w:p>
            <w:pPr>
              <w:spacing w:after="0"/>
            </w:pPr>
            <w:r/>
            <w:r>
              <w:rPr>
                <w:color w:val="1F2937"/>
                <w:sz w:val="20"/>
              </w:rPr>
              <w:t>AI extraction fails</w:t>
            </w:r>
          </w:p>
        </w:tc>
        <w:tc>
          <w:tcPr>
            <w:tcW w:type="dxa" w:w="3096"/>
            <w:tcMar>
              <w:top w:w="80" w:type="dxa"/>
              <w:start w:w="120" w:type="dxa"/>
              <w:bottom w:w="80" w:type="dxa"/>
              <w:end w:w="120" w:type="dxa"/>
            </w:tcMar>
            <w:vAlign w:val="center"/>
          </w:tcPr>
          <w:p>
            <w:pPr>
              <w:spacing w:after="0"/>
            </w:pPr>
            <w:r/>
            <w:r>
              <w:rPr>
                <w:color w:val="1F2937"/>
                <w:sz w:val="20"/>
              </w:rPr>
              <w:t>Provider key/model unavailable or file scan is unclear.</w:t>
            </w:r>
          </w:p>
        </w:tc>
        <w:tc>
          <w:tcPr>
            <w:tcW w:type="dxa" w:w="4032"/>
            <w:tcMar>
              <w:top w:w="80" w:type="dxa"/>
              <w:start w:w="120" w:type="dxa"/>
              <w:bottom w:w="80" w:type="dxa"/>
              <w:end w:w="120" w:type="dxa"/>
            </w:tcMar>
            <w:vAlign w:val="center"/>
          </w:tcPr>
          <w:p>
            <w:pPr>
              <w:spacing w:after="0"/>
            </w:pPr>
            <w:r/>
            <w:r>
              <w:rPr>
                <w:color w:val="1F2937"/>
                <w:sz w:val="19"/>
              </w:rPr>
              <w:t>Try Gemini or Claude for image/scanned PDF; use clearer sample; check BYOK model.</w:t>
            </w:r>
          </w:p>
        </w:tc>
      </w:tr>
      <w:tr>
        <w:tc>
          <w:tcPr>
            <w:tcW w:type="dxa" w:w="2232"/>
            <w:tcMar>
              <w:top w:w="80" w:type="dxa"/>
              <w:start w:w="120" w:type="dxa"/>
              <w:bottom w:w="80" w:type="dxa"/>
              <w:end w:w="120" w:type="dxa"/>
            </w:tcMar>
            <w:vAlign w:val="center"/>
          </w:tcPr>
          <w:p>
            <w:pPr>
              <w:spacing w:after="0"/>
            </w:pPr>
            <w:r/>
            <w:r>
              <w:rPr>
                <w:color w:val="1F2937"/>
                <w:sz w:val="20"/>
              </w:rPr>
              <w:t>No Verified status</w:t>
            </w:r>
          </w:p>
        </w:tc>
        <w:tc>
          <w:tcPr>
            <w:tcW w:type="dxa" w:w="3096"/>
            <w:tcMar>
              <w:top w:w="80" w:type="dxa"/>
              <w:start w:w="120" w:type="dxa"/>
              <w:bottom w:w="80" w:type="dxa"/>
              <w:end w:w="120" w:type="dxa"/>
            </w:tcMar>
            <w:vAlign w:val="center"/>
          </w:tcPr>
          <w:p>
            <w:pPr>
              <w:spacing w:after="0"/>
            </w:pPr>
            <w:r/>
            <w:r>
              <w:rPr>
                <w:color w:val="1F2937"/>
                <w:sz w:val="20"/>
              </w:rPr>
              <w:t>Pending review, no approved entries, gaps, or rejected unrevised logs.</w:t>
            </w:r>
          </w:p>
        </w:tc>
        <w:tc>
          <w:tcPr>
            <w:tcW w:type="dxa" w:w="4032"/>
            <w:tcMar>
              <w:top w:w="80" w:type="dxa"/>
              <w:start w:w="120" w:type="dxa"/>
              <w:bottom w:w="80" w:type="dxa"/>
              <w:end w:w="120" w:type="dxa"/>
            </w:tcMar>
            <w:vAlign w:val="center"/>
          </w:tcPr>
          <w:p>
            <w:pPr>
              <w:spacing w:after="0"/>
            </w:pPr>
            <w:r/>
            <w:r>
              <w:rPr>
                <w:color w:val="1F2937"/>
                <w:sz w:val="20"/>
              </w:rPr>
              <w:t>Run Ready Check and resolve red blocking items.</w:t>
            </w:r>
          </w:p>
        </w:tc>
      </w:tr>
      <w:tr>
        <w:tc>
          <w:tcPr>
            <w:tcW w:type="dxa" w:w="2232"/>
            <w:tcMar>
              <w:top w:w="80" w:type="dxa"/>
              <w:start w:w="120" w:type="dxa"/>
              <w:bottom w:w="80" w:type="dxa"/>
              <w:end w:w="120" w:type="dxa"/>
            </w:tcMar>
            <w:vAlign w:val="center"/>
          </w:tcPr>
          <w:p>
            <w:pPr>
              <w:spacing w:after="0"/>
            </w:pPr>
            <w:r/>
            <w:r>
              <w:rPr>
                <w:color w:val="1F2937"/>
                <w:sz w:val="20"/>
              </w:rPr>
              <w:t>PDF has no QR</w:t>
            </w:r>
          </w:p>
        </w:tc>
        <w:tc>
          <w:tcPr>
            <w:tcW w:type="dxa" w:w="3096"/>
            <w:tcMar>
              <w:top w:w="80" w:type="dxa"/>
              <w:start w:w="120" w:type="dxa"/>
              <w:bottom w:w="80" w:type="dxa"/>
              <w:end w:w="120" w:type="dxa"/>
            </w:tcMar>
            <w:vAlign w:val="center"/>
          </w:tcPr>
          <w:p>
            <w:pPr>
              <w:spacing w:after="0"/>
            </w:pPr>
            <w:r/>
            <w:r>
              <w:rPr>
                <w:color w:val="1F2937"/>
                <w:sz w:val="20"/>
              </w:rPr>
              <w:t>Version is Unverified or export is working preview.</w:t>
            </w:r>
          </w:p>
        </w:tc>
        <w:tc>
          <w:tcPr>
            <w:tcW w:type="dxa" w:w="4032"/>
            <w:tcMar>
              <w:top w:w="80" w:type="dxa"/>
              <w:start w:w="120" w:type="dxa"/>
              <w:bottom w:w="80" w:type="dxa"/>
              <w:end w:w="120" w:type="dxa"/>
            </w:tcMar>
            <w:vAlign w:val="center"/>
          </w:tcPr>
          <w:p>
            <w:pPr>
              <w:spacing w:after="0"/>
            </w:pPr>
            <w:r/>
            <w:r>
              <w:rPr>
                <w:color w:val="1F2937"/>
                <w:sz w:val="20"/>
              </w:rPr>
              <w:t>Create a Verified official version, then download its official PDF.</w:t>
            </w:r>
          </w:p>
        </w:tc>
      </w:tr>
      <w:tr>
        <w:tc>
          <w:tcPr>
            <w:tcW w:type="dxa" w:w="2232"/>
            <w:tcMar>
              <w:top w:w="80" w:type="dxa"/>
              <w:start w:w="120" w:type="dxa"/>
              <w:bottom w:w="80" w:type="dxa"/>
              <w:end w:w="120" w:type="dxa"/>
            </w:tcMar>
            <w:vAlign w:val="center"/>
          </w:tcPr>
          <w:p>
            <w:pPr>
              <w:spacing w:after="0"/>
            </w:pPr>
            <w:r/>
            <w:r>
              <w:rPr>
                <w:color w:val="1F2937"/>
                <w:sz w:val="20"/>
              </w:rPr>
              <w:t>Word edits not reflected online</w:t>
            </w:r>
          </w:p>
        </w:tc>
        <w:tc>
          <w:tcPr>
            <w:tcW w:type="dxa" w:w="3096"/>
            <w:tcMar>
              <w:top w:w="80" w:type="dxa"/>
              <w:start w:w="120" w:type="dxa"/>
              <w:bottom w:w="80" w:type="dxa"/>
              <w:end w:w="120" w:type="dxa"/>
            </w:tcMar>
            <w:vAlign w:val="center"/>
          </w:tcPr>
          <w:p>
            <w:pPr>
              <w:spacing w:after="0"/>
            </w:pPr>
            <w:r/>
            <w:r>
              <w:rPr>
                <w:color w:val="1F2937"/>
                <w:sz w:val="20"/>
              </w:rPr>
              <w:t>DOCX is an editable copy only.</w:t>
            </w:r>
          </w:p>
        </w:tc>
        <w:tc>
          <w:tcPr>
            <w:tcW w:type="dxa" w:w="4032"/>
            <w:tcMar>
              <w:top w:w="80" w:type="dxa"/>
              <w:start w:w="120" w:type="dxa"/>
              <w:bottom w:w="80" w:type="dxa"/>
              <w:end w:w="120" w:type="dxa"/>
            </w:tcMar>
            <w:vAlign w:val="center"/>
          </w:tcPr>
          <w:p>
            <w:pPr>
              <w:spacing w:after="0"/>
            </w:pPr>
            <w:r/>
            <w:r>
              <w:rPr>
                <w:color w:val="1F2937"/>
                <w:sz w:val="20"/>
              </w:rPr>
              <w:t>This is expected; official records are frozen in AIntern.</w:t>
            </w:r>
          </w:p>
        </w:tc>
      </w:tr>
      <w:tr>
        <w:tc>
          <w:tcPr>
            <w:tcW w:type="dxa" w:w="2232"/>
            <w:tcMar>
              <w:top w:w="80" w:type="dxa"/>
              <w:start w:w="120" w:type="dxa"/>
              <w:bottom w:w="80" w:type="dxa"/>
              <w:end w:w="120" w:type="dxa"/>
            </w:tcMar>
            <w:vAlign w:val="center"/>
          </w:tcPr>
          <w:p>
            <w:pPr>
              <w:spacing w:after="0"/>
            </w:pPr>
            <w:r/>
            <w:r>
              <w:rPr>
                <w:color w:val="1F2937"/>
                <w:sz w:val="20"/>
              </w:rPr>
              <w:t>Offline log missing on another device</w:t>
            </w:r>
          </w:p>
        </w:tc>
        <w:tc>
          <w:tcPr>
            <w:tcW w:type="dxa" w:w="3096"/>
            <w:tcMar>
              <w:top w:w="80" w:type="dxa"/>
              <w:start w:w="120" w:type="dxa"/>
              <w:bottom w:w="80" w:type="dxa"/>
              <w:end w:w="120" w:type="dxa"/>
            </w:tcMar>
            <w:vAlign w:val="center"/>
          </w:tcPr>
          <w:p>
            <w:pPr>
              <w:spacing w:after="0"/>
            </w:pPr>
            <w:r/>
            <w:r>
              <w:rPr>
                <w:color w:val="1F2937"/>
                <w:sz w:val="20"/>
              </w:rPr>
              <w:t>Drafts are local until submitted/approved.</w:t>
            </w:r>
          </w:p>
        </w:tc>
        <w:tc>
          <w:tcPr>
            <w:tcW w:type="dxa" w:w="4032"/>
            <w:tcMar>
              <w:top w:w="80" w:type="dxa"/>
              <w:start w:w="120" w:type="dxa"/>
              <w:bottom w:w="80" w:type="dxa"/>
              <w:end w:w="120" w:type="dxa"/>
            </w:tcMar>
            <w:vAlign w:val="center"/>
          </w:tcPr>
          <w:p>
            <w:pPr>
              <w:spacing w:after="0"/>
            </w:pPr>
            <w:r/>
            <w:r>
              <w:rPr>
                <w:color w:val="1F2937"/>
                <w:sz w:val="19"/>
              </w:rPr>
              <w:t>Use same device for drafts; approved/submitted records restore through server sync.</w:t>
            </w:r>
          </w:p>
        </w:tc>
      </w:tr>
      <w:tr>
        <w:tc>
          <w:tcPr>
            <w:tcW w:type="dxa" w:w="2232"/>
            <w:tcMar>
              <w:top w:w="80" w:type="dxa"/>
              <w:start w:w="120" w:type="dxa"/>
              <w:bottom w:w="80" w:type="dxa"/>
              <w:end w:w="120" w:type="dxa"/>
            </w:tcMar>
            <w:vAlign w:val="center"/>
          </w:tcPr>
          <w:p>
            <w:pPr>
              <w:spacing w:after="0"/>
            </w:pPr>
            <w:r/>
            <w:r>
              <w:rPr>
                <w:color w:val="1F2937"/>
                <w:sz w:val="20"/>
              </w:rPr>
              <w:t>Settings scattered</w:t>
            </w:r>
          </w:p>
        </w:tc>
        <w:tc>
          <w:tcPr>
            <w:tcW w:type="dxa" w:w="3096"/>
            <w:tcMar>
              <w:top w:w="80" w:type="dxa"/>
              <w:start w:w="120" w:type="dxa"/>
              <w:bottom w:w="80" w:type="dxa"/>
              <w:end w:w="120" w:type="dxa"/>
            </w:tcMar>
            <w:vAlign w:val="center"/>
          </w:tcPr>
          <w:p>
            <w:pPr>
              <w:spacing w:after="0"/>
            </w:pPr>
            <w:r/>
            <w:r>
              <w:rPr>
                <w:color w:val="1F2937"/>
                <w:sz w:val="20"/>
              </w:rPr>
              <w:t>Older deployment/cache or wrong path.</w:t>
            </w:r>
          </w:p>
        </w:tc>
        <w:tc>
          <w:tcPr>
            <w:tcW w:type="dxa" w:w="4032"/>
            <w:tcMar>
              <w:top w:w="80" w:type="dxa"/>
              <w:start w:w="120" w:type="dxa"/>
              <w:bottom w:w="80" w:type="dxa"/>
              <w:end w:w="120" w:type="dxa"/>
            </w:tcMar>
            <w:vAlign w:val="center"/>
          </w:tcPr>
          <w:p>
            <w:pPr>
              <w:spacing w:after="0"/>
            </w:pPr>
            <w:r/>
            <w:r>
              <w:rPr>
                <w:color w:val="1F2937"/>
                <w:sz w:val="19"/>
              </w:rPr>
              <w:t>Open bottom nav Report; hard refresh if the old Profile report settings still appear.</w:t>
            </w:r>
          </w:p>
        </w:tc>
      </w:tr>
    </w:tbl>
    <w:p>
      <w:pPr>
        <w:spacing w:after="40"/>
      </w:pPr>
    </w:p>
    <w:p>
      <w:pPr>
        <w:spacing w:after="80"/>
      </w:pPr>
      <w:r>
        <w:rPr>
          <w:rFonts w:ascii="Calibri" w:hAnsi="Calibri"/>
          <w:b/>
          <w:color w:val="0F172A"/>
          <w:sz w:val="40"/>
        </w:rPr>
        <w:t>7. Acceptance and Sign-off</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00"/>
            <w:tcMar>
              <w:top w:w="80" w:type="dxa"/>
              <w:start w:w="120" w:type="dxa"/>
              <w:bottom w:w="80" w:type="dxa"/>
              <w:end w:w="120" w:type="dxa"/>
            </w:tcMar>
            <w:vAlign w:val="center"/>
            <w:shd w:fill="F2F4F7"/>
          </w:tcPr>
          <w:p>
            <w:pPr>
              <w:spacing w:after="0"/>
            </w:pPr>
            <w:r/>
            <w:r>
              <w:rPr>
                <w:b/>
                <w:color w:val="0F172A"/>
                <w:sz w:val="20"/>
              </w:rPr>
              <w:t>Role</w:t>
            </w:r>
          </w:p>
        </w:tc>
        <w:tc>
          <w:tcPr>
            <w:tcW w:type="dxa" w:w="1944"/>
            <w:tcMar>
              <w:top w:w="80" w:type="dxa"/>
              <w:start w:w="120" w:type="dxa"/>
              <w:bottom w:w="80" w:type="dxa"/>
              <w:end w:w="120" w:type="dxa"/>
            </w:tcMar>
            <w:vAlign w:val="center"/>
            <w:shd w:fill="F2F4F7"/>
          </w:tcPr>
          <w:p>
            <w:pPr>
              <w:spacing w:after="0"/>
            </w:pPr>
            <w:r/>
            <w:r>
              <w:rPr>
                <w:b/>
                <w:color w:val="0F172A"/>
                <w:sz w:val="20"/>
              </w:rPr>
              <w:t>Name</w:t>
            </w:r>
          </w:p>
        </w:tc>
        <w:tc>
          <w:tcPr>
            <w:tcW w:type="dxa" w:w="2088"/>
            <w:tcMar>
              <w:top w:w="80" w:type="dxa"/>
              <w:start w:w="120" w:type="dxa"/>
              <w:bottom w:w="80" w:type="dxa"/>
              <w:end w:w="120" w:type="dxa"/>
            </w:tcMar>
            <w:vAlign w:val="center"/>
            <w:shd w:fill="F2F4F7"/>
          </w:tcPr>
          <w:p>
            <w:pPr>
              <w:spacing w:after="0"/>
            </w:pPr>
            <w:r/>
            <w:r>
              <w:rPr>
                <w:b/>
                <w:color w:val="0F172A"/>
                <w:sz w:val="20"/>
              </w:rPr>
              <w:t>Decision</w:t>
            </w:r>
          </w:p>
        </w:tc>
        <w:tc>
          <w:tcPr>
            <w:tcW w:type="dxa" w:w="1440"/>
            <w:tcMar>
              <w:top w:w="80" w:type="dxa"/>
              <w:start w:w="120" w:type="dxa"/>
              <w:bottom w:w="80" w:type="dxa"/>
              <w:end w:w="120" w:type="dxa"/>
            </w:tcMar>
            <w:vAlign w:val="center"/>
            <w:shd w:fill="F2F4F7"/>
          </w:tcPr>
          <w:p>
            <w:pPr>
              <w:spacing w:after="0"/>
            </w:pPr>
            <w:r/>
            <w:r>
              <w:rPr>
                <w:b/>
                <w:color w:val="0F172A"/>
                <w:sz w:val="20"/>
              </w:rPr>
              <w:t>Date</w:t>
            </w:r>
          </w:p>
        </w:tc>
        <w:tc>
          <w:tcPr>
            <w:tcW w:type="dxa" w:w="2088"/>
            <w:tcMar>
              <w:top w:w="80" w:type="dxa"/>
              <w:start w:w="120" w:type="dxa"/>
              <w:bottom w:w="80" w:type="dxa"/>
              <w:end w:w="120" w:type="dxa"/>
            </w:tcMar>
            <w:vAlign w:val="center"/>
            <w:shd w:fill="F2F4F7"/>
          </w:tcPr>
          <w:p>
            <w:pPr>
              <w:spacing w:after="0"/>
            </w:pPr>
            <w:r/>
            <w:r>
              <w:rPr>
                <w:b/>
                <w:color w:val="0F172A"/>
                <w:sz w:val="20"/>
              </w:rPr>
              <w:t>Signature / Notes</w:t>
            </w:r>
          </w:p>
        </w:tc>
        <w:trPr>
          <w:tblHeader/>
        </w:trPr>
      </w:tr>
      <w:tr>
        <w:tc>
          <w:tcPr>
            <w:tcW w:type="dxa" w:w="1800"/>
            <w:tcMar>
              <w:top w:w="80" w:type="dxa"/>
              <w:start w:w="120" w:type="dxa"/>
              <w:bottom w:w="80" w:type="dxa"/>
              <w:end w:w="120" w:type="dxa"/>
            </w:tcMar>
            <w:vAlign w:val="center"/>
          </w:tcPr>
          <w:p>
            <w:pPr>
              <w:spacing w:after="0"/>
            </w:pPr>
            <w:r/>
            <w:r>
              <w:rPr>
                <w:color w:val="1F2937"/>
                <w:sz w:val="20"/>
              </w:rPr>
              <w:t>Product owner</w:t>
            </w:r>
          </w:p>
        </w:tc>
        <w:tc>
          <w:tcPr>
            <w:tcW w:type="dxa" w:w="1944"/>
            <w:tcMar>
              <w:top w:w="80" w:type="dxa"/>
              <w:start w:w="120" w:type="dxa"/>
              <w:bottom w:w="80" w:type="dxa"/>
              <w:end w:w="120" w:type="dxa"/>
            </w:tcMar>
            <w:vAlign w:val="center"/>
          </w:tcPr>
          <w:p>
            <w:pPr>
              <w:spacing w:after="0"/>
            </w:pPr>
            <w:r/>
            <w:r>
              <w:rPr>
                <w:color w:val="1F2937"/>
                <w:sz w:val="20"/>
              </w:rPr>
            </w:r>
          </w:p>
        </w:tc>
        <w:tc>
          <w:tcPr>
            <w:tcW w:type="dxa" w:w="2088"/>
            <w:tcMar>
              <w:top w:w="80" w:type="dxa"/>
              <w:start w:w="120" w:type="dxa"/>
              <w:bottom w:w="80" w:type="dxa"/>
              <w:end w:w="120" w:type="dxa"/>
            </w:tcMar>
            <w:vAlign w:val="center"/>
          </w:tcPr>
          <w:p>
            <w:pPr>
              <w:spacing w:after="0"/>
            </w:pPr>
            <w:r/>
            <w:r>
              <w:rPr>
                <w:color w:val="1F2937"/>
                <w:sz w:val="20"/>
              </w:rPr>
              <w:t>Accepted / Rejected / Conditional</w:t>
            </w:r>
          </w:p>
        </w:tc>
        <w:tc>
          <w:tcPr>
            <w:tcW w:type="dxa" w:w="1440"/>
            <w:tcMar>
              <w:top w:w="80" w:type="dxa"/>
              <w:start w:w="120" w:type="dxa"/>
              <w:bottom w:w="80" w:type="dxa"/>
              <w:end w:w="120" w:type="dxa"/>
            </w:tcMar>
            <w:vAlign w:val="center"/>
          </w:tcPr>
          <w:p>
            <w:pPr>
              <w:spacing w:after="0"/>
            </w:pPr>
            <w:r/>
            <w:r>
              <w:rPr>
                <w:color w:val="1F2937"/>
                <w:sz w:val="20"/>
              </w:rPr>
            </w:r>
          </w:p>
        </w:tc>
        <w:tc>
          <w:tcPr>
            <w:tcW w:type="dxa" w:w="2088"/>
            <w:tcMar>
              <w:top w:w="80" w:type="dxa"/>
              <w:start w:w="120" w:type="dxa"/>
              <w:bottom w:w="80" w:type="dxa"/>
              <w:end w:w="120" w:type="dxa"/>
            </w:tcMar>
            <w:vAlign w:val="center"/>
          </w:tcPr>
          <w:p>
            <w:pPr>
              <w:spacing w:after="0"/>
            </w:pPr>
            <w:r/>
            <w:r>
              <w:rPr>
                <w:color w:val="1F2937"/>
                <w:sz w:val="20"/>
              </w:rPr>
            </w:r>
          </w:p>
        </w:tc>
      </w:tr>
      <w:tr>
        <w:tc>
          <w:tcPr>
            <w:tcW w:type="dxa" w:w="1800"/>
            <w:tcMar>
              <w:top w:w="80" w:type="dxa"/>
              <w:start w:w="120" w:type="dxa"/>
              <w:bottom w:w="80" w:type="dxa"/>
              <w:end w:w="120" w:type="dxa"/>
            </w:tcMar>
            <w:vAlign w:val="center"/>
          </w:tcPr>
          <w:p>
            <w:pPr>
              <w:spacing w:after="0"/>
            </w:pPr>
            <w:r/>
            <w:r>
              <w:rPr>
                <w:color w:val="1F2937"/>
                <w:sz w:val="20"/>
              </w:rPr>
              <w:t>UAT tester</w:t>
            </w:r>
          </w:p>
        </w:tc>
        <w:tc>
          <w:tcPr>
            <w:tcW w:type="dxa" w:w="1944"/>
            <w:tcMar>
              <w:top w:w="80" w:type="dxa"/>
              <w:start w:w="120" w:type="dxa"/>
              <w:bottom w:w="80" w:type="dxa"/>
              <w:end w:w="120" w:type="dxa"/>
            </w:tcMar>
            <w:vAlign w:val="center"/>
          </w:tcPr>
          <w:p>
            <w:pPr>
              <w:spacing w:after="0"/>
            </w:pPr>
            <w:r/>
            <w:r>
              <w:rPr>
                <w:color w:val="1F2937"/>
                <w:sz w:val="20"/>
              </w:rPr>
            </w:r>
          </w:p>
        </w:tc>
        <w:tc>
          <w:tcPr>
            <w:tcW w:type="dxa" w:w="2088"/>
            <w:tcMar>
              <w:top w:w="80" w:type="dxa"/>
              <w:start w:w="120" w:type="dxa"/>
              <w:bottom w:w="80" w:type="dxa"/>
              <w:end w:w="120" w:type="dxa"/>
            </w:tcMar>
            <w:vAlign w:val="center"/>
          </w:tcPr>
          <w:p>
            <w:pPr>
              <w:spacing w:after="0"/>
            </w:pPr>
            <w:r/>
            <w:r>
              <w:rPr>
                <w:color w:val="1F2937"/>
                <w:sz w:val="20"/>
              </w:rPr>
              <w:t>Accepted / Rejected / Conditional</w:t>
            </w:r>
          </w:p>
        </w:tc>
        <w:tc>
          <w:tcPr>
            <w:tcW w:type="dxa" w:w="1440"/>
            <w:tcMar>
              <w:top w:w="80" w:type="dxa"/>
              <w:start w:w="120" w:type="dxa"/>
              <w:bottom w:w="80" w:type="dxa"/>
              <w:end w:w="120" w:type="dxa"/>
            </w:tcMar>
            <w:vAlign w:val="center"/>
          </w:tcPr>
          <w:p>
            <w:pPr>
              <w:spacing w:after="0"/>
            </w:pPr>
            <w:r/>
            <w:r>
              <w:rPr>
                <w:color w:val="1F2937"/>
                <w:sz w:val="20"/>
              </w:rPr>
            </w:r>
          </w:p>
        </w:tc>
        <w:tc>
          <w:tcPr>
            <w:tcW w:type="dxa" w:w="2088"/>
            <w:tcMar>
              <w:top w:w="80" w:type="dxa"/>
              <w:start w:w="120" w:type="dxa"/>
              <w:bottom w:w="80" w:type="dxa"/>
              <w:end w:w="120" w:type="dxa"/>
            </w:tcMar>
            <w:vAlign w:val="center"/>
          </w:tcPr>
          <w:p>
            <w:pPr>
              <w:spacing w:after="0"/>
            </w:pPr>
            <w:r/>
            <w:r>
              <w:rPr>
                <w:color w:val="1F2937"/>
                <w:sz w:val="20"/>
              </w:rPr>
            </w:r>
          </w:p>
        </w:tc>
      </w:tr>
      <w:tr>
        <w:tc>
          <w:tcPr>
            <w:tcW w:type="dxa" w:w="1800"/>
            <w:tcMar>
              <w:top w:w="80" w:type="dxa"/>
              <w:start w:w="120" w:type="dxa"/>
              <w:bottom w:w="80" w:type="dxa"/>
              <w:end w:w="120" w:type="dxa"/>
            </w:tcMar>
            <w:vAlign w:val="center"/>
          </w:tcPr>
          <w:p>
            <w:pPr>
              <w:spacing w:after="0"/>
            </w:pPr>
            <w:r/>
            <w:r>
              <w:rPr>
                <w:color w:val="1F2937"/>
                <w:sz w:val="20"/>
              </w:rPr>
              <w:t>Technical lead</w:t>
            </w:r>
          </w:p>
        </w:tc>
        <w:tc>
          <w:tcPr>
            <w:tcW w:type="dxa" w:w="1944"/>
            <w:tcMar>
              <w:top w:w="80" w:type="dxa"/>
              <w:start w:w="120" w:type="dxa"/>
              <w:bottom w:w="80" w:type="dxa"/>
              <w:end w:w="120" w:type="dxa"/>
            </w:tcMar>
            <w:vAlign w:val="center"/>
          </w:tcPr>
          <w:p>
            <w:pPr>
              <w:spacing w:after="0"/>
            </w:pPr>
            <w:r/>
            <w:r>
              <w:rPr>
                <w:color w:val="1F2937"/>
                <w:sz w:val="20"/>
              </w:rPr>
            </w:r>
          </w:p>
        </w:tc>
        <w:tc>
          <w:tcPr>
            <w:tcW w:type="dxa" w:w="2088"/>
            <w:tcMar>
              <w:top w:w="80" w:type="dxa"/>
              <w:start w:w="120" w:type="dxa"/>
              <w:bottom w:w="80" w:type="dxa"/>
              <w:end w:w="120" w:type="dxa"/>
            </w:tcMar>
            <w:vAlign w:val="center"/>
          </w:tcPr>
          <w:p>
            <w:pPr>
              <w:spacing w:after="0"/>
            </w:pPr>
            <w:r/>
            <w:r>
              <w:rPr>
                <w:color w:val="1F2937"/>
                <w:sz w:val="20"/>
              </w:rPr>
              <w:t>Accepted / Rejected / Conditional</w:t>
            </w:r>
          </w:p>
        </w:tc>
        <w:tc>
          <w:tcPr>
            <w:tcW w:type="dxa" w:w="1440"/>
            <w:tcMar>
              <w:top w:w="80" w:type="dxa"/>
              <w:start w:w="120" w:type="dxa"/>
              <w:bottom w:w="80" w:type="dxa"/>
              <w:end w:w="120" w:type="dxa"/>
            </w:tcMar>
            <w:vAlign w:val="center"/>
          </w:tcPr>
          <w:p>
            <w:pPr>
              <w:spacing w:after="0"/>
            </w:pPr>
            <w:r/>
            <w:r>
              <w:rPr>
                <w:color w:val="1F2937"/>
                <w:sz w:val="20"/>
              </w:rPr>
            </w:r>
          </w:p>
        </w:tc>
        <w:tc>
          <w:tcPr>
            <w:tcW w:type="dxa" w:w="2088"/>
            <w:tcMar>
              <w:top w:w="80" w:type="dxa"/>
              <w:start w:w="120" w:type="dxa"/>
              <w:bottom w:w="80" w:type="dxa"/>
              <w:end w:w="120" w:type="dxa"/>
            </w:tcMar>
            <w:vAlign w:val="center"/>
          </w:tcPr>
          <w:p>
            <w:pPr>
              <w:spacing w:after="0"/>
            </w:pPr>
            <w:r/>
            <w:r>
              <w:rPr>
                <w:color w:val="1F2937"/>
                <w:sz w:val="20"/>
              </w:rPr>
            </w:r>
          </w:p>
        </w:tc>
      </w:tr>
      <w:tr>
        <w:tc>
          <w:tcPr>
            <w:tcW w:type="dxa" w:w="1800"/>
            <w:tcMar>
              <w:top w:w="80" w:type="dxa"/>
              <w:start w:w="120" w:type="dxa"/>
              <w:bottom w:w="80" w:type="dxa"/>
              <w:end w:w="120" w:type="dxa"/>
            </w:tcMar>
            <w:vAlign w:val="center"/>
          </w:tcPr>
          <w:p>
            <w:pPr>
              <w:spacing w:after="0"/>
            </w:pPr>
            <w:r/>
            <w:r>
              <w:rPr>
                <w:color w:val="1F2937"/>
                <w:sz w:val="20"/>
              </w:rPr>
              <w:t>Pilot institution reviewer</w:t>
            </w:r>
          </w:p>
        </w:tc>
        <w:tc>
          <w:tcPr>
            <w:tcW w:type="dxa" w:w="1944"/>
            <w:tcMar>
              <w:top w:w="80" w:type="dxa"/>
              <w:start w:w="120" w:type="dxa"/>
              <w:bottom w:w="80" w:type="dxa"/>
              <w:end w:w="120" w:type="dxa"/>
            </w:tcMar>
            <w:vAlign w:val="center"/>
          </w:tcPr>
          <w:p>
            <w:pPr>
              <w:spacing w:after="0"/>
            </w:pPr>
            <w:r/>
            <w:r>
              <w:rPr>
                <w:color w:val="1F2937"/>
                <w:sz w:val="20"/>
              </w:rPr>
            </w:r>
          </w:p>
        </w:tc>
        <w:tc>
          <w:tcPr>
            <w:tcW w:type="dxa" w:w="2088"/>
            <w:tcMar>
              <w:top w:w="80" w:type="dxa"/>
              <w:start w:w="120" w:type="dxa"/>
              <w:bottom w:w="80" w:type="dxa"/>
              <w:end w:w="120" w:type="dxa"/>
            </w:tcMar>
            <w:vAlign w:val="center"/>
          </w:tcPr>
          <w:p>
            <w:pPr>
              <w:spacing w:after="0"/>
            </w:pPr>
            <w:r/>
            <w:r>
              <w:rPr>
                <w:color w:val="1F2937"/>
                <w:sz w:val="20"/>
              </w:rPr>
              <w:t>Accepted / Rejected / Conditional</w:t>
            </w:r>
          </w:p>
        </w:tc>
        <w:tc>
          <w:tcPr>
            <w:tcW w:type="dxa" w:w="1440"/>
            <w:tcMar>
              <w:top w:w="80" w:type="dxa"/>
              <w:start w:w="120" w:type="dxa"/>
              <w:bottom w:w="80" w:type="dxa"/>
              <w:end w:w="120" w:type="dxa"/>
            </w:tcMar>
            <w:vAlign w:val="center"/>
          </w:tcPr>
          <w:p>
            <w:pPr>
              <w:spacing w:after="0"/>
            </w:pPr>
            <w:r/>
            <w:r>
              <w:rPr>
                <w:color w:val="1F2937"/>
                <w:sz w:val="20"/>
              </w:rPr>
            </w:r>
          </w:p>
        </w:tc>
        <w:tc>
          <w:tcPr>
            <w:tcW w:type="dxa" w:w="2088"/>
            <w:tcMar>
              <w:top w:w="80" w:type="dxa"/>
              <w:start w:w="120" w:type="dxa"/>
              <w:bottom w:w="80" w:type="dxa"/>
              <w:end w:w="120" w:type="dxa"/>
            </w:tcMar>
            <w:vAlign w:val="center"/>
          </w:tcPr>
          <w:p>
            <w:pPr>
              <w:spacing w:after="0"/>
            </w:pPr>
            <w:r/>
            <w:r>
              <w:rPr>
                <w:color w:val="1F2937"/>
                <w:sz w:val="20"/>
              </w:rPr>
            </w:r>
          </w:p>
        </w:tc>
      </w:tr>
    </w:tbl>
    <w:p>
      <w:pPr>
        <w:spacing w:after="40"/>
      </w:pPr>
    </w:p>
    <w:tbl>
      <w:tblPr>
        <w:tblStyle w:val="TableGrid"/>
        <w:tblW w:type="auto" w:w="0"/>
        <w:tblLayout w:type="fixed"/>
        <w:tblLook w:firstColumn="1" w:firstRow="1" w:lastColumn="0" w:lastRow="0" w:noHBand="0" w:noVBand="1" w:val="04A0"/>
      </w:tblPr>
      <w:tblGrid>
        <w:gridCol w:w="9360"/>
      </w:tblGrid>
      <w:tr>
        <w:tc>
          <w:tcPr>
            <w:tcW w:type="dxa" w:w="9360"/>
            <w:tcMar>
              <w:top w:w="80" w:type="dxa"/>
              <w:start w:w="120" w:type="dxa"/>
              <w:bottom w:w="80" w:type="dxa"/>
              <w:end w:w="120" w:type="dxa"/>
            </w:tcMar>
            <w:vAlign w:val="center"/>
            <w:shd w:fill="FEF2F2"/>
          </w:tcPr>
          <w:p>
            <w:pPr>
              <w:spacing w:after="60"/>
            </w:pPr>
            <w:r/>
            <w:r>
              <w:rPr>
                <w:b/>
                <w:color w:val="991B1B"/>
                <w:sz w:val="21"/>
              </w:rPr>
              <w:t>Recommended release decision</w:t>
            </w:r>
          </w:p>
          <w:p>
            <w:pPr>
              <w:spacing w:after="0"/>
            </w:pPr>
            <w:r>
              <w:rPr>
                <w:color w:val="334155"/>
                <w:sz w:val="20"/>
              </w:rPr>
              <w:t>Approve pilot release only after Critical UAT cases pass on the live Vercel app and at least one real Weekly, Monthly, and Final institution sample has been tested end to end.</w:t>
            </w:r>
          </w:p>
        </w:tc>
        <w:trPr>
          <w:tblHeader/>
        </w:trPr>
      </w:tr>
    </w:tbl>
    <w:p>
      <w:pPr>
        <w:spacing w:after="40"/>
      </w:pP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8"/>
      </w:rPr>
      <w:t>Confidential working document - AIntern pilot UAT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8"/>
      </w:rPr>
      <w:t>AIntern UAT and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AIntern UAT Plan and User Manual</dc:title>
  <dc:subject>User acceptance testing and user manual for AIntern pilot release</dc:subject>
  <dc:creator>Effort Studio / Codex</dc:creator>
  <cp:keywords>AIntern, UAT, user manual, internship logbook, reports, verification</cp:keywords>
  <dc:description>Generated without secrets or passwords.</dc:description>
  <cp:lastModifiedBy/>
  <cp:revision>1</cp:revision>
  <dcterms:created xsi:type="dcterms:W3CDTF">2013-12-23T23:15:00Z</dcterms:created>
  <dcterms:modified xsi:type="dcterms:W3CDTF">2013-12-23T23:15:00Z</dcterms:modified>
  <cp:category/>
</cp:coreProperties>
</file>