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731" w:val="clear"/>
            <w:tcMar>
              <w:top w:type="dxa" w:w="560"/>
              <w:left w:type="dxa" w:w="600"/>
              <w:bottom w:type="dxa" w:w="560"/>
              <w:right w:type="dxa" w:w="600"/>
            </w:tcMar>
          </w:tcPr>
          <w:p>
            <w:pPr>
              <w:spacing w:after="160" w:before="0"/>
              <w:jc w:val="center"/>
            </w:pPr>
            <w:r>
              <w:rPr>
                <w:rFonts w:ascii="Arial" w:cs="Arial" w:eastAsia="Arial" w:hAnsi="Arial"/>
                <w:b/>
                <w:bCs/>
                <w:color w:val="C8922A"/>
                <w:spacing w:val="80"/>
                <w:sz w:val="24"/>
                <w:szCs w:val="24"/>
              </w:rPr>
              <w:t xml:space="preserve">GRANT APPLICATION</w:t>
            </w:r>
          </w:p>
          <w:p>
            <w:pPr>
              <w:spacing w:after="120" w:before="0"/>
              <w:jc w:val="center"/>
            </w:pPr>
            <w:r>
              <w:rPr>
                <w:rFonts w:ascii="Arial" w:cs="Arial" w:eastAsia="Arial" w:hAnsi="Arial"/>
                <w:b/>
                <w:bCs/>
                <w:color w:val="FFFFFF"/>
                <w:sz w:val="48"/>
                <w:szCs w:val="48"/>
              </w:rPr>
              <w:t xml:space="preserve">AMANAH GOVERNANCE PLATFORM</w:t>
            </w:r>
          </w:p>
          <w:p>
            <w:pPr>
              <w:spacing w:after="320" w:before="0"/>
              <w:jc w:val="center"/>
            </w:pPr>
            <w:r>
              <w:rPr>
                <w:rFonts w:ascii="Arial" w:cs="Arial" w:eastAsia="Arial" w:hAnsi="Arial"/>
                <w:i/>
                <w:iCs/>
                <w:color w:val="C8D8CC"/>
                <w:sz w:val="26"/>
                <w:szCs w:val="26"/>
              </w:rPr>
              <w:t xml:space="preserve">Trusted Giving. Transparent Governance.</w:t>
            </w:r>
          </w:p>
          <w:p>
            <w:pPr>
              <w:spacing w:after="160" w:before="0"/>
              <w:jc w:val="center"/>
            </w:pPr>
            <w:r>
              <w:rPr>
                <w:rFonts w:ascii="Arial" w:cs="Arial" w:eastAsia="Arial" w:hAnsi="Arial"/>
                <w:b/>
                <w:bCs/>
                <w:color w:val="C8922A"/>
                <w:sz w:val="28"/>
                <w:szCs w:val="28"/>
              </w:rPr>
              <w:t xml:space="preserve">National Digital Governance Infrastructure</w:t>
            </w:r>
          </w:p>
          <w:p>
            <w:pPr>
              <w:spacing w:after="0" w:before="0"/>
              <w:jc w:val="center"/>
            </w:pPr>
            <w:r>
              <w:rPr>
                <w:rFonts w:ascii="Arial" w:cs="Arial" w:eastAsia="Arial" w:hAnsi="Arial"/>
                <w:b/>
                <w:bCs/>
                <w:color w:val="C8922A"/>
                <w:sz w:val="28"/>
                <w:szCs w:val="28"/>
              </w:rPr>
              <w:t xml:space="preserve">for Malaysia's Islamic Charity Sector</w:t>
            </w:r>
          </w:p>
        </w:tc>
      </w:tr>
    </w:tbl>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none" w:color="FFFFFF" w:sz="0"/>
              <w:left w:val="none" w:color="FFFFFF" w:sz="0"/>
              <w:bottom w:val="none" w:color="FFFFFF" w:sz="0"/>
              <w:right w:val="none" w:color="FFFFFF" w:sz="0"/>
            </w:tcBorders>
            <w:shd w:fill="E8F5ED" w:val="clear"/>
            <w:tcMar>
              <w:top w:type="dxa" w:w="140"/>
              <w:left w:type="dxa" w:w="200"/>
              <w:bottom w:type="dxa" w:w="140"/>
              <w:right w:type="dxa" w:w="200"/>
            </w:tcMar>
          </w:tcPr>
          <w:p>
            <w:pPr>
              <w:spacing w:after="40" w:before="0"/>
              <w:jc w:val="center"/>
            </w:pPr>
            <w:r>
              <w:rPr>
                <w:rFonts w:ascii="Arial" w:cs="Arial" w:eastAsia="Arial" w:hAnsi="Arial"/>
                <w:b/>
                <w:bCs/>
                <w:i w:val="false"/>
                <w:iCs w:val="false"/>
                <w:color w:val="555555"/>
                <w:sz w:val="19"/>
                <w:szCs w:val="19"/>
              </w:rPr>
              <w:t xml:space="preserve">Applicant</w:t>
            </w:r>
          </w:p>
          <w:p>
            <w:pPr>
              <w:spacing w:after="0" w:before="0"/>
              <w:jc w:val="center"/>
            </w:pPr>
            <w:r>
              <w:rPr>
                <w:rFonts w:ascii="Arial" w:cs="Arial" w:eastAsia="Arial" w:hAnsi="Arial"/>
                <w:b/>
                <w:bCs/>
                <w:i w:val="false"/>
                <w:iCs w:val="false"/>
                <w:color w:val="1A4731"/>
                <w:sz w:val="20"/>
                <w:szCs w:val="20"/>
              </w:rPr>
              <w:t xml:space="preserve">Effort Studio / Darya Malak</w:t>
            </w:r>
          </w:p>
        </w:tc>
        <w:tc>
          <w:tcPr>
            <w:tcW w:type="dxa" w:w="3010"/>
            <w:tcBorders>
              <w:top w:val="none" w:color="FFFFFF" w:sz="0"/>
              <w:left w:val="none" w:color="FFFFFF" w:sz="0"/>
              <w:bottom w:val="none" w:color="FFFFFF" w:sz="0"/>
              <w:right w:val="none" w:color="FFFFFF" w:sz="0"/>
            </w:tcBorders>
            <w:shd w:fill="FDF6E3" w:val="clear"/>
            <w:tcMar>
              <w:top w:type="dxa" w:w="140"/>
              <w:left w:type="dxa" w:w="200"/>
              <w:bottom w:type="dxa" w:w="140"/>
              <w:right w:type="dxa" w:w="200"/>
            </w:tcMar>
          </w:tcPr>
          <w:p>
            <w:pPr>
              <w:spacing w:after="40" w:before="0"/>
              <w:jc w:val="center"/>
            </w:pPr>
            <w:r>
              <w:rPr>
                <w:rFonts w:ascii="Arial" w:cs="Arial" w:eastAsia="Arial" w:hAnsi="Arial"/>
                <w:b/>
                <w:bCs/>
                <w:i w:val="false"/>
                <w:iCs w:val="false"/>
                <w:color w:val="555555"/>
                <w:sz w:val="19"/>
                <w:szCs w:val="19"/>
              </w:rPr>
              <w:t xml:space="preserve">Funding Request</w:t>
            </w:r>
          </w:p>
          <w:p>
            <w:pPr>
              <w:spacing w:after="0" w:before="0"/>
              <w:jc w:val="center"/>
            </w:pPr>
            <w:r>
              <w:rPr>
                <w:rFonts w:ascii="Arial" w:cs="Arial" w:eastAsia="Arial" w:hAnsi="Arial"/>
                <w:b/>
                <w:bCs/>
                <w:i w:val="false"/>
                <w:iCs w:val="false"/>
                <w:color w:val="1A4731"/>
                <w:sz w:val="20"/>
                <w:szCs w:val="20"/>
              </w:rPr>
              <w:t xml:space="preserve">RM 550,000</w:t>
            </w:r>
          </w:p>
        </w:tc>
        <w:tc>
          <w:tcPr>
            <w:tcW w:type="dxa" w:w="3008"/>
            <w:tcBorders>
              <w:top w:val="none" w:color="FFFFFF" w:sz="0"/>
              <w:left w:val="none" w:color="FFFFFF" w:sz="0"/>
              <w:bottom w:val="none" w:color="FFFFFF" w:sz="0"/>
              <w:right w:val="none" w:color="FFFFFF" w:sz="0"/>
            </w:tcBorders>
            <w:shd w:fill="E8F5ED" w:val="clear"/>
            <w:tcMar>
              <w:top w:type="dxa" w:w="140"/>
              <w:left w:type="dxa" w:w="200"/>
              <w:bottom w:type="dxa" w:w="140"/>
              <w:right w:type="dxa" w:w="200"/>
            </w:tcMar>
          </w:tcPr>
          <w:p>
            <w:pPr>
              <w:spacing w:after="40" w:before="0"/>
              <w:jc w:val="center"/>
            </w:pPr>
            <w:r>
              <w:rPr>
                <w:rFonts w:ascii="Arial" w:cs="Arial" w:eastAsia="Arial" w:hAnsi="Arial"/>
                <w:b/>
                <w:bCs/>
                <w:i w:val="false"/>
                <w:iCs w:val="false"/>
                <w:color w:val="555555"/>
                <w:sz w:val="19"/>
                <w:szCs w:val="19"/>
              </w:rPr>
              <w:t xml:space="preserve">Project Duration</w:t>
            </w:r>
          </w:p>
          <w:p>
            <w:pPr>
              <w:spacing w:after="0" w:before="0"/>
              <w:jc w:val="center"/>
            </w:pPr>
            <w:r>
              <w:rPr>
                <w:rFonts w:ascii="Arial" w:cs="Arial" w:eastAsia="Arial" w:hAnsi="Arial"/>
                <w:b/>
                <w:bCs/>
                <w:i w:val="false"/>
                <w:iCs w:val="false"/>
                <w:color w:val="1A4731"/>
                <w:sz w:val="20"/>
                <w:szCs w:val="20"/>
              </w:rPr>
              <w:t xml:space="preserve">12 Months (2026–2027)</w:t>
            </w:r>
          </w:p>
        </w:tc>
      </w:tr>
    </w:tbl>
    <w:p>
      <w:pPr>
        <w:spacing w:after="300" w:before="0"/>
      </w:pPr>
    </w:p>
    <w:p>
      <w:pPr>
        <w:spacing w:after="0" w:before="0"/>
        <w:jc w:val="center"/>
      </w:pPr>
      <w:r>
        <w:rPr>
          <w:rFonts w:ascii="Arial" w:cs="Arial" w:eastAsia="Arial" w:hAnsi="Arial"/>
          <w:b w:val="false"/>
          <w:bCs w:val="false"/>
          <w:i/>
          <w:iCs/>
          <w:color w:val="2D7A4F"/>
          <w:sz w:val="22"/>
          <w:szCs w:val="22"/>
        </w:rPr>
        <w:t xml:space="preserve">Bismillahirrahmanirrahim — In the name of Allah, the Most Gracious, the Most Merciful</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1. Executive Summary</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Effort Studio respectfully submits this grant application for </w:t>
      </w:r>
      <w:r>
        <w:rPr>
          <w:rFonts w:ascii="Arial" w:cs="Arial" w:eastAsia="Arial" w:hAnsi="Arial"/>
          <w:b/>
          <w:bCs/>
          <w:i w:val="false"/>
          <w:iCs w:val="false"/>
          <w:color w:val="1A1A1A"/>
          <w:sz w:val="22"/>
          <w:szCs w:val="22"/>
        </w:rPr>
        <w:t xml:space="preserve">RM 550,000</w:t>
      </w:r>
      <w:r>
        <w:rPr>
          <w:rFonts w:ascii="Arial" w:cs="Arial" w:eastAsia="Arial" w:hAnsi="Arial"/>
          <w:b w:val="false"/>
          <w:bCs w:val="false"/>
          <w:i w:val="false"/>
          <w:iCs w:val="false"/>
          <w:color w:val="1A1A1A"/>
          <w:sz w:val="22"/>
          <w:szCs w:val="22"/>
        </w:rPr>
        <w:t xml:space="preserve"> to fund the 12-month pilot and national rollout of the </w:t>
      </w:r>
      <w:r>
        <w:rPr>
          <w:rFonts w:ascii="Arial" w:cs="Arial" w:eastAsia="Arial" w:hAnsi="Arial"/>
          <w:b/>
          <w:bCs/>
          <w:i w:val="false"/>
          <w:iCs w:val="false"/>
          <w:color w:val="1A1A1A"/>
          <w:sz w:val="22"/>
          <w:szCs w:val="22"/>
        </w:rPr>
        <w:t xml:space="preserve">Amanah Governance Platform (AGP)</w:t>
      </w:r>
      <w:r>
        <w:rPr>
          <w:rFonts w:ascii="Arial" w:cs="Arial" w:eastAsia="Arial" w:hAnsi="Arial"/>
          <w:b w:val="false"/>
          <w:bCs w:val="false"/>
          <w:i w:val="false"/>
          <w:iCs w:val="false"/>
          <w:color w:val="1A1A1A"/>
          <w:sz w:val="22"/>
          <w:szCs w:val="22"/>
        </w:rPr>
        <w:t xml:space="preserve"> — Malaysia’s first structured digital governance and transparency infrastructure purpose-built for Islamic charities, mosques, and Waqf institutions.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Malaysia’s Islamic philanthropy sector mobilises over </w:t>
      </w:r>
      <w:r>
        <w:rPr>
          <w:rFonts w:ascii="Arial" w:cs="Arial" w:eastAsia="Arial" w:hAnsi="Arial"/>
          <w:b/>
          <w:bCs/>
          <w:i w:val="false"/>
          <w:iCs w:val="false"/>
          <w:color w:val="1A1A1A"/>
          <w:sz w:val="22"/>
          <w:szCs w:val="22"/>
        </w:rPr>
        <w:t xml:space="preserve">RM 3 billion annually</w:t>
      </w:r>
      <w:r>
        <w:rPr>
          <w:rFonts w:ascii="Arial" w:cs="Arial" w:eastAsia="Arial" w:hAnsi="Arial"/>
          <w:b w:val="false"/>
          <w:bCs w:val="false"/>
          <w:i w:val="false"/>
          <w:iCs w:val="false"/>
          <w:color w:val="1A1A1A"/>
          <w:sz w:val="22"/>
          <w:szCs w:val="22"/>
        </w:rPr>
        <w:t xml:space="preserve"> through Zakat alone, with a further ecosystem of 6,800+ mosques, 35,727 hectares of Waqf land, and 82,000+ registered NGOs. Yet the governance infrastructure supporting this sector remains fragmented, manual, and largely invisible to donors. Misuse incidents strain public trust; regulators are overburdened; and organisations lack the tools to demonstrate accountability in a structured, verifiable way.</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addresses this gap directly. It provides: a structured onboarding and classification system aligned to Malaysian regulatory realities; a five-layer </w:t>
      </w:r>
      <w:r>
        <w:rPr>
          <w:rFonts w:ascii="Arial" w:cs="Arial" w:eastAsia="Arial" w:hAnsi="Arial"/>
          <w:b/>
          <w:bCs/>
          <w:i w:val="false"/>
          <w:iCs w:val="false"/>
          <w:color w:val="1A1A1A"/>
          <w:sz w:val="22"/>
          <w:szCs w:val="22"/>
        </w:rPr>
        <w:t xml:space="preserve">Charity Transparency Certification Framework (CTCF)</w:t>
      </w:r>
      <w:r>
        <w:rPr>
          <w:rFonts w:ascii="Arial" w:cs="Arial" w:eastAsia="Arial" w:hAnsi="Arial"/>
          <w:b w:val="false"/>
          <w:bCs w:val="false"/>
          <w:i w:val="false"/>
          <w:iCs w:val="false"/>
          <w:color w:val="1A1A1A"/>
          <w:sz w:val="22"/>
          <w:szCs w:val="22"/>
        </w:rPr>
        <w:t xml:space="preserve"> producing Platinum / Gold / Silver / Not Certified grades; a living </w:t>
      </w:r>
      <w:r>
        <w:rPr>
          <w:rFonts w:ascii="Arial" w:cs="Arial" w:eastAsia="Arial" w:hAnsi="Arial"/>
          <w:b/>
          <w:bCs/>
          <w:i w:val="false"/>
          <w:iCs w:val="false"/>
          <w:color w:val="1A1A1A"/>
          <w:sz w:val="22"/>
          <w:szCs w:val="22"/>
        </w:rPr>
        <w:t xml:space="preserve">Amanah Index™</w:t>
      </w:r>
      <w:r>
        <w:rPr>
          <w:rFonts w:ascii="Arial" w:cs="Arial" w:eastAsia="Arial" w:hAnsi="Arial"/>
          <w:b w:val="false"/>
          <w:bCs w:val="false"/>
          <w:i w:val="false"/>
          <w:iCs w:val="false"/>
          <w:color w:val="1A1A1A"/>
          <w:sz w:val="22"/>
          <w:szCs w:val="22"/>
        </w:rPr>
        <w:t xml:space="preserve"> trust score updated by verified events; a private-by-default evidence management system with reviewer approval workflows; and a non-custodial donation portal that routes funds directly to verified organisations without AGP ever holding money.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Funding Goal:  </w:t>
            </w:r>
            <w:r>
              <w:rPr>
                <w:rFonts w:ascii="Arial" w:cs="Arial" w:eastAsia="Arial" w:hAnsi="Arial"/>
                <w:color w:val="1A1A1A"/>
                <w:sz w:val="22"/>
                <w:szCs w:val="22"/>
              </w:rPr>
              <w:t xml:space="preserve">RM 550,000 for a 12-month pilot covering platform development, onboarding, training, operations, monitoring &amp; evaluation, and administration.</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none" w:color="FFFFFF" w:sz="0"/>
              <w:left w:val="none" w:color="FFFFFF" w:sz="0"/>
              <w:bottom w:val="none" w:color="FFFFFF" w:sz="0"/>
              <w:right w:val="none" w:color="FFFFFF" w:sz="0"/>
            </w:tcBorders>
            <w:shd w:fill="E8F5ED"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2D7A4F"/>
                <w:sz w:val="34"/>
                <w:szCs w:val="34"/>
              </w:rPr>
              <w:t xml:space="preserve">RM 3B+</w:t>
            </w:r>
          </w:p>
          <w:p>
            <w:pPr>
              <w:spacing w:after="0" w:before="0"/>
              <w:jc w:val="center"/>
            </w:pPr>
            <w:r>
              <w:rPr>
                <w:rFonts w:ascii="Arial" w:cs="Arial" w:eastAsia="Arial" w:hAnsi="Arial"/>
                <w:b w:val="false"/>
                <w:bCs w:val="false"/>
                <w:i w:val="false"/>
                <w:iCs w:val="false"/>
                <w:color w:val="555555"/>
                <w:sz w:val="18"/>
                <w:szCs w:val="18"/>
              </w:rPr>
              <w:t xml:space="preserve">Zakat collected annually (nationwide)</w:t>
            </w:r>
          </w:p>
        </w:tc>
        <w:tc>
          <w:tcPr>
            <w:tcW w:type="dxa" w:w="2256"/>
            <w:tcBorders>
              <w:top w:val="none" w:color="FFFFFF" w:sz="0"/>
              <w:left w:val="none" w:color="FFFFFF" w:sz="0"/>
              <w:bottom w:val="none" w:color="FFFFFF" w:sz="0"/>
              <w:right w:val="none" w:color="FFFFFF" w:sz="0"/>
            </w:tcBorders>
            <w:shd w:fill="E8F5ED"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2D7A4F"/>
                <w:sz w:val="34"/>
                <w:szCs w:val="34"/>
              </w:rPr>
              <w:t xml:space="preserve">6,800+</w:t>
            </w:r>
          </w:p>
          <w:p>
            <w:pPr>
              <w:spacing w:after="0" w:before="0"/>
              <w:jc w:val="center"/>
            </w:pPr>
            <w:r>
              <w:rPr>
                <w:rFonts w:ascii="Arial" w:cs="Arial" w:eastAsia="Arial" w:hAnsi="Arial"/>
                <w:b w:val="false"/>
                <w:bCs w:val="false"/>
                <w:i w:val="false"/>
                <w:iCs w:val="false"/>
                <w:color w:val="555555"/>
                <w:sz w:val="18"/>
                <w:szCs w:val="18"/>
              </w:rPr>
              <w:t xml:space="preserve">Mosques in Malaysia</w:t>
            </w:r>
          </w:p>
        </w:tc>
        <w:tc>
          <w:tcPr>
            <w:tcW w:type="dxa" w:w="2256"/>
            <w:tcBorders>
              <w:top w:val="none" w:color="FFFFFF" w:sz="0"/>
              <w:left w:val="none" w:color="FFFFFF" w:sz="0"/>
              <w:bottom w:val="none" w:color="FFFFFF" w:sz="0"/>
              <w:right w:val="none" w:color="FFFFFF" w:sz="0"/>
            </w:tcBorders>
            <w:shd w:fill="E8F5ED"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2D7A4F"/>
                <w:sz w:val="34"/>
                <w:szCs w:val="34"/>
              </w:rPr>
              <w:t xml:space="preserve">82,000+</w:t>
            </w:r>
          </w:p>
          <w:p>
            <w:pPr>
              <w:spacing w:after="0" w:before="0"/>
              <w:jc w:val="center"/>
            </w:pPr>
            <w:r>
              <w:rPr>
                <w:rFonts w:ascii="Arial" w:cs="Arial" w:eastAsia="Arial" w:hAnsi="Arial"/>
                <w:b w:val="false"/>
                <w:bCs w:val="false"/>
                <w:i w:val="false"/>
                <w:iCs w:val="false"/>
                <w:color w:val="555555"/>
                <w:sz w:val="18"/>
                <w:szCs w:val="18"/>
              </w:rPr>
              <w:t xml:space="preserve">Registered NGOs</w:t>
            </w:r>
          </w:p>
        </w:tc>
        <w:tc>
          <w:tcPr>
            <w:tcW w:type="dxa" w:w="2256"/>
            <w:tcBorders>
              <w:top w:val="none" w:color="FFFFFF" w:sz="0"/>
              <w:left w:val="none" w:color="FFFFFF" w:sz="0"/>
              <w:bottom w:val="none" w:color="FFFFFF" w:sz="0"/>
              <w:right w:val="none" w:color="FFFFFF" w:sz="0"/>
            </w:tcBorders>
            <w:shd w:fill="E8F5ED"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2D7A4F"/>
                <w:sz w:val="34"/>
                <w:szCs w:val="34"/>
              </w:rPr>
              <w:t xml:space="preserve">&lt;25%</w:t>
            </w:r>
          </w:p>
          <w:p>
            <w:pPr>
              <w:spacing w:after="0" w:before="0"/>
              <w:jc w:val="center"/>
            </w:pPr>
            <w:r>
              <w:rPr>
                <w:rFonts w:ascii="Arial" w:cs="Arial" w:eastAsia="Arial" w:hAnsi="Arial"/>
                <w:b w:val="false"/>
                <w:bCs w:val="false"/>
                <w:i w:val="false"/>
                <w:iCs w:val="false"/>
                <w:color w:val="555555"/>
                <w:sz w:val="18"/>
                <w:szCs w:val="18"/>
              </w:rPr>
              <w:t xml:space="preserve">NPOs that disclose fundraising costs publicly</w:t>
            </w:r>
          </w:p>
        </w:tc>
      </w:tr>
    </w:tbl>
    <w:p>
      <w:pPr>
        <w:spacing w:after="160" w:before="0"/>
      </w:pPr>
    </w:p>
    <w:p>
      <w:pPr>
        <w:pStyle w:val="Heading1"/>
        <w:shd w:fill="1A4731" w:val="clear"/>
        <w:spacing w:after="160" w:before="0"/>
        <w:ind w:left="360" w:right="360"/>
      </w:pPr>
      <w:r>
        <w:rPr>
          <w:rFonts w:ascii="Arial" w:cs="Arial" w:eastAsia="Arial" w:hAnsi="Arial"/>
          <w:b/>
          <w:bCs/>
          <w:color w:val="FFFFFF"/>
          <w:sz w:val="36"/>
          <w:szCs w:val="36"/>
        </w:rPr>
        <w:t xml:space="preserve">2. The Problem</w:t>
      </w:r>
    </w:p>
    <w:p>
      <w:pPr>
        <w:spacing w:after="80" w:before="0"/>
      </w:pPr>
    </w:p>
    <w:p>
      <w:pPr>
        <w:pStyle w:val="Heading2"/>
        <w:pBdr>
          <w:bottom w:val="single" w:color="C8922A" w:sz="6" w:space="4"/>
        </w:pBdr>
        <w:spacing w:after="120" w:before="320"/>
      </w:pPr>
      <w:r>
        <w:rPr>
          <w:rFonts w:ascii="Arial" w:cs="Arial" w:eastAsia="Arial" w:hAnsi="Arial"/>
          <w:b/>
          <w:bCs/>
          <w:color w:val="1A4731"/>
          <w:sz w:val="28"/>
          <w:szCs w:val="28"/>
        </w:rPr>
        <w:t xml:space="preserve">2.1  A Sector Without a Trust Infrastructure</w:t>
      </w:r>
    </w:p>
    <w:p>
      <w:pPr>
        <w:spacing w:after="100" w:before="80"/>
        <w:jc w:val="both"/>
      </w:pPr>
      <w:r>
        <w:rPr>
          <w:rFonts w:ascii="Arial" w:cs="Arial" w:eastAsia="Arial" w:hAnsi="Arial"/>
          <w:b w:val="false"/>
          <w:bCs w:val="false"/>
          <w:i w:val="false"/>
          <w:iCs w:val="false"/>
          <w:color w:val="1A1A1A"/>
          <w:sz w:val="22"/>
          <w:szCs w:val="22"/>
        </w:rPr>
        <w:t xml:space="preserve">Malaysia’s Islamic philanthropy sector is generous, growing, and structurally invisible. The following four failure modes compound each other and collectively suppress donor confidence, increase regulatory burden, and leave billions in potential Waqf and Sadaqah value unrealised.</w:t>
      </w:r>
    </w:p>
    <w:p>
      <w:pPr>
        <w:spacing w:after="80" w:before="0"/>
      </w:pPr>
    </w:p>
    <w:p>
      <w:pPr>
        <w:pStyle w:val="Heading3"/>
        <w:spacing w:after="80" w:before="200"/>
      </w:pPr>
      <w:r>
        <w:rPr>
          <w:rFonts w:ascii="Arial" w:cs="Arial" w:eastAsia="Arial" w:hAnsi="Arial"/>
          <w:b/>
          <w:bCs/>
          <w:color w:val="2D7A4F"/>
          <w:sz w:val="24"/>
          <w:szCs w:val="24"/>
        </w:rPr>
        <w:t xml:space="preserve">Fragmented and non-standardised reporting</w:t>
      </w:r>
    </w:p>
    <w:p>
      <w:pPr>
        <w:spacing w:after="100" w:before="80"/>
        <w:jc w:val="both"/>
      </w:pPr>
      <w:r>
        <w:rPr>
          <w:rFonts w:ascii="Arial" w:cs="Arial" w:eastAsia="Arial" w:hAnsi="Arial"/>
          <w:b w:val="false"/>
          <w:bCs w:val="false"/>
          <w:i w:val="false"/>
          <w:iCs w:val="false"/>
          <w:color w:val="1A1A1A"/>
          <w:sz w:val="22"/>
          <w:szCs w:val="22"/>
        </w:rPr>
        <w:t xml:space="preserve">A 2017 study of 205 Malaysian NPOs found that while over 50% disclosed income sources, fewer than 25% reported fundraising costs. Most mosque committees and small NGOs maintain manual ledgers, with no standardised format, no digital audit trail, and no mechanism for donors or regulators to verify that funds reached their intended beneficiaries.</w:t>
      </w:r>
    </w:p>
    <w:p>
      <w:pPr>
        <w:spacing w:after="60" w:before="0"/>
      </w:pPr>
    </w:p>
    <w:p>
      <w:pPr>
        <w:pStyle w:val="Heading3"/>
        <w:spacing w:after="80" w:before="200"/>
      </w:pPr>
      <w:r>
        <w:rPr>
          <w:rFonts w:ascii="Arial" w:cs="Arial" w:eastAsia="Arial" w:hAnsi="Arial"/>
          <w:b/>
          <w:bCs/>
          <w:color w:val="2D7A4F"/>
          <w:sz w:val="24"/>
          <w:szCs w:val="24"/>
        </w:rPr>
        <w:t xml:space="preserve">Reactive and overburdened oversight</w:t>
      </w:r>
    </w:p>
    <w:p>
      <w:pPr>
        <w:spacing w:after="100" w:before="80"/>
        <w:jc w:val="both"/>
      </w:pPr>
      <w:r>
        <w:rPr>
          <w:rFonts w:ascii="Arial" w:cs="Arial" w:eastAsia="Arial" w:hAnsi="Arial"/>
          <w:b w:val="false"/>
          <w:bCs w:val="false"/>
          <w:i w:val="false"/>
          <w:iCs w:val="false"/>
          <w:color w:val="1A1A1A"/>
          <w:sz w:val="22"/>
          <w:szCs w:val="22"/>
        </w:rPr>
        <w:t xml:space="preserve">The Registrar of Societies (ROS), JAKIM, and state Islamic councils are collectively responsible for oversight of tens of thousands of organisations. Audits are triggered by scandal or complaint rather than continuous monitoring. ROS has been compelled to freeze accounts of non-compliant NGOs — a symptom of enforcement arriving too late, not too early. A digital governance infrastructure would shift the model from reactive policing to proactive compliance assurance.</w:t>
      </w:r>
    </w:p>
    <w:p>
      <w:pPr>
        <w:spacing w:after="60" w:before="0"/>
      </w:pPr>
    </w:p>
    <w:p>
      <w:pPr>
        <w:pStyle w:val="Heading3"/>
        <w:spacing w:after="80" w:before="200"/>
      </w:pPr>
      <w:r>
        <w:rPr>
          <w:rFonts w:ascii="Arial" w:cs="Arial" w:eastAsia="Arial" w:hAnsi="Arial"/>
          <w:b/>
          <w:bCs/>
          <w:color w:val="2D7A4F"/>
          <w:sz w:val="24"/>
          <w:szCs w:val="24"/>
        </w:rPr>
        <w:t xml:space="preserve">Idle Waqf assets and underutilised resources</w:t>
      </w:r>
    </w:p>
    <w:p>
      <w:pPr>
        <w:spacing w:after="100" w:before="80"/>
        <w:jc w:val="both"/>
      </w:pPr>
      <w:r>
        <w:rPr>
          <w:rFonts w:ascii="Arial" w:cs="Arial" w:eastAsia="Arial" w:hAnsi="Arial"/>
          <w:b w:val="false"/>
          <w:bCs w:val="false"/>
          <w:i w:val="false"/>
          <w:iCs w:val="false"/>
          <w:color w:val="1A1A1A"/>
          <w:sz w:val="22"/>
          <w:szCs w:val="22"/>
        </w:rPr>
        <w:t xml:space="preserve">Malaysia holds approximately 35,727 hectares of Waqf land. In Johor alone, fewer than 42% of registered Waqf land parcels are actively developed. Poor record-keeping, unclear governance mandates, and misaligned oversight responsibilities mean that assets dedicated to perpetual charity are lying idle while communities go underserved.</w:t>
      </w:r>
    </w:p>
    <w:p>
      <w:pPr>
        <w:spacing w:after="60" w:before="0"/>
      </w:pPr>
    </w:p>
    <w:p>
      <w:pPr>
        <w:pStyle w:val="Heading3"/>
        <w:spacing w:after="80" w:before="200"/>
      </w:pPr>
      <w:r>
        <w:rPr>
          <w:rFonts w:ascii="Arial" w:cs="Arial" w:eastAsia="Arial" w:hAnsi="Arial"/>
          <w:b/>
          <w:bCs/>
          <w:color w:val="2D7A4F"/>
          <w:sz w:val="24"/>
          <w:szCs w:val="24"/>
        </w:rPr>
        <w:t xml:space="preserve">Declining donor trust and shifting expectations</w:t>
      </w:r>
    </w:p>
    <w:p>
      <w:pPr>
        <w:spacing w:after="100" w:before="80"/>
        <w:jc w:val="both"/>
      </w:pPr>
      <w:r>
        <w:rPr>
          <w:rFonts w:ascii="Arial" w:cs="Arial" w:eastAsia="Arial" w:hAnsi="Arial"/>
          <w:b w:val="false"/>
          <w:bCs w:val="false"/>
          <w:i w:val="false"/>
          <w:iCs w:val="false"/>
          <w:color w:val="1A1A1A"/>
          <w:sz w:val="22"/>
          <w:szCs w:val="22"/>
        </w:rPr>
        <w:t xml:space="preserve">High-profile fund misuse incidents and the absence of verifiable impact reporting have made Malaysian donors — particularly younger, digitally-active Muslims — increasingly cautious. Research shows that donors are guided by trust and evidence factors when choosing where to give. Internationally, platforms that provide transparent governance data demonstrably increase both the volume and frequency of charitable giving.</w:t>
      </w:r>
    </w:p>
    <w:p>
      <w:pPr>
        <w:spacing w:after="160" w:before="0"/>
      </w:pP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3. The Solution: Amanah Governance Platform</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is not a fundraising platform. It is a </w:t>
      </w:r>
      <w:r>
        <w:rPr>
          <w:rFonts w:ascii="Arial" w:cs="Arial" w:eastAsia="Arial" w:hAnsi="Arial"/>
          <w:b/>
          <w:bCs/>
          <w:i w:val="false"/>
          <w:iCs w:val="false"/>
          <w:color w:val="1A1A1A"/>
          <w:sz w:val="22"/>
          <w:szCs w:val="22"/>
        </w:rPr>
        <w:t xml:space="preserve">trust infrastructure</w:t>
      </w:r>
      <w:r>
        <w:rPr>
          <w:rFonts w:ascii="Arial" w:cs="Arial" w:eastAsia="Arial" w:hAnsi="Arial"/>
          <w:b w:val="false"/>
          <w:bCs w:val="false"/>
          <w:i w:val="false"/>
          <w:iCs w:val="false"/>
          <w:color w:val="1A1A1A"/>
          <w:sz w:val="22"/>
          <w:szCs w:val="22"/>
        </w:rPr>
        <w:t xml:space="preserve"> — a system that enables organisations to demonstrate accountability, and enables donors, regulators, and scholars to verify it. It is grounded in three Quranic principles: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Principle</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AGP Implementation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Amanah — Trust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Non-custodial architecture; funds never touch AGP. Append-only audit logs. Immutable certification records.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Shafafiyyah — Transparency</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Public evidence galleries; explainable Amanah scores with category breakdowns; open certification history visible to donors.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Mas’uliyyah — Accountability</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Reviewer workflows with timestamped decisions; Shariah scholar advisory notes; submission locking once verified. Nothing is overwritten.</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3.1  Core Platform Modules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Module</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Function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Organisation Onboarding &amp; Classification</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Structured registration capturing Malaysia-specific fields: org type, oversight authority, fund types (Zakat/Waqf/Sadaqah), Shariah governance indicators, state, registration number.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CTCF Certification Engine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Five-layer structured evaluation producing Platinum / Gold / Silver / Not Certified grades. Layer 1 is a legal identity gate; Layers 2–5 use a graduated Full / Partial / No / N/A response scale with N/A normalisation. Org size band (Micro/Small/Medium/Large) scales audit evidence thresholds.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Amanah Index™ Trust Score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Living 0–100 trust score updated every time a verified trust event occurs. Weighted across five components: Governance (30%), Financial Transparency (25%), Project Transparency (20%), Impact Efficiency (15%), Feedback (10%). Score history is append-only and publicly visible as a trust timeline.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Evidence Management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Secure, private-by-default document repository. All raw evidence is private. Only reviewer-approved documents become visible to the public. Signed URLs prevent direct storage exposure.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Reviewer &amp; Scholar Workflow</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Dedicated interface for appointed reviewers and Shariah scholars. All review actions are timestamped and immutable. Scholar notes can be flagged as publishable.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Non-Custodial Donation Portal</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Donors give directly to the organisation’s verified bank account. AGP never holds funds. Purpose-bound tagging earmarks Zakat, Waqf, and Sadaqah funds. Receipts are auto-generated. Webhook confirmation is idempotent.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Public Transparency Dashboard</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Publicly accessible profiles for every certified organisation, including Amanah Score timeline, CTCF certification badge, verified project pages, and approved evidence gallery.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Audit Trail</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Append-only logs for all critical actions: evidence approval, score changes, certification decisions, donation events. Nothing is overwritten; everything is traceable.</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3.2  CTCF: The Evaluation Framework</w:t>
      </w:r>
    </w:p>
    <w:p>
      <w:pPr>
        <w:spacing w:after="100" w:before="80"/>
        <w:jc w:val="both"/>
      </w:pPr>
      <w:r>
        <w:rPr>
          <w:rFonts w:ascii="Arial" w:cs="Arial" w:eastAsia="Arial" w:hAnsi="Arial"/>
          <w:b w:val="false"/>
          <w:bCs w:val="false"/>
          <w:i w:val="false"/>
          <w:iCs w:val="false"/>
          <w:color w:val="1A1A1A"/>
          <w:sz w:val="22"/>
          <w:szCs w:val="22"/>
        </w:rPr>
        <w:t xml:space="preserve">The Charity Transparency Certification Framework is AGP’s core structured evaluation standard. It draws on international best practice (Charity Navigator, UK Charity Commission) and incorporates Malaysian regulatory requirements and Shariah governance criteria that have no equivalent in any global charity rating system.</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126"/>
        <w:gridCol w:w="1600"/>
      </w:tblGrid>
      <w:tr>
        <w:tc>
          <w:tcPr>
            <w:tcW w:type="dxa" w:w="2500"/>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800"/>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val="false"/>
                <w:bCs w:val="false"/>
                <w:color w:val="FFFFFF"/>
                <w:sz w:val="19"/>
                <w:szCs w:val="19"/>
              </w:rPr>
              <w:t xml:space="preserve">Criteria Theme</w:t>
            </w:r>
          </w:p>
        </w:tc>
        <w:tc>
          <w:tcPr>
            <w:tcW w:type="dxa" w:w="2126"/>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val="false"/>
                <w:bCs w:val="false"/>
                <w:color w:val="FFFFFF"/>
                <w:sz w:val="19"/>
                <w:szCs w:val="19"/>
              </w:rPr>
              <w:t xml:space="preserve">Max Points</w:t>
            </w:r>
          </w:p>
        </w:tc>
        <w:tc>
          <w:tcPr>
            <w:tcW w:type="dxa" w:w="1600"/>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val="false"/>
                <w:bCs w:val="false"/>
                <w:color w:val="FFFFFF"/>
                <w:sz w:val="19"/>
                <w:szCs w:val="19"/>
              </w:rPr>
              <w:t xml:space="preserve">Grade Threshold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Layer 1 (Gate)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Legal Identity &amp; Governance</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Pass/Fail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Must pass to proceed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Layer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Financial Transparency</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20 pts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Floor: ≥10/20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Layer 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Project Transparency &amp; Traceability</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25 pts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Layer 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Impact &amp; Sustainability</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20 pts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Layer 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Shariah Governance (unique to AGP)</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15 pts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Total (normalised to 0–100)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80 raw → 100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Certifiable: ≥55</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Score</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Grade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85 – 100</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Platinum Amanah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70 – 84</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Gold Amanah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55 – 69</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Silver Amanah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&lt; 55 or Layer 1 fail</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Not Certified</w:t>
            </w:r>
          </w:p>
        </w:tc>
      </w:tr>
    </w:tbl>
    <w:p>
      <w:pPr>
        <w:spacing w:after="160" w:before="0"/>
      </w:pP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4. Pilot Plan (12 Months)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The 12-month pilot is designed to demonstrate the complete AGP lifecycle — from organisation onboarding to public trust score publication — on a real, verifiable cohort in partnership with Majlis Agama Islam Negeri (MAIN) and JAKIM.</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Parameter</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Detail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Duration</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12 months (July 2026 – June 2027)</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Pilot cohort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20–30 organisations: mosques, NGOs, Waqf bodies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Geographic scope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2–3 states (primary: Selangor; secondary: nominated by MAIN)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Governance partner</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State Islamic Religious Councils (MAIN) + JAKIM as Steering Committee anchor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Platform status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Phase 1 build complete and deployed; pilot extends and stress-tests the live system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Cost to pilot organisations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Zero — all infrastructure costs absorbed by Effort Studio during pilot period</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4.1  Pilot Phases</w:t>
      </w:r>
    </w:p>
    <w:p>
      <w:pPr>
        <w:spacing w:after="60" w:before="0"/>
      </w:pPr>
    </w:p>
    <w:p>
      <w:pPr>
        <w:pStyle w:val="Heading3"/>
        <w:spacing w:after="80" w:before="200"/>
      </w:pPr>
      <w:r>
        <w:rPr>
          <w:rFonts w:ascii="Arial" w:cs="Arial" w:eastAsia="Arial" w:hAnsi="Arial"/>
          <w:b/>
          <w:bCs/>
          <w:color w:val="2D7A4F"/>
          <w:sz w:val="24"/>
          <w:szCs w:val="24"/>
        </w:rPr>
        <w:t xml:space="preserve">Months 1–2: Setup and onboarding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Establish Steering Committee with MAIN/JAKIM representative, Effort Studio, and academic partner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Recruit and confirm 20–30 pilot organisations with MAIN endorsement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Conduct CTCF reviewer training for MAIN/JAKIM-appointed reviewers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Complete organisation onboarding: registration, classification, governance profile</w:t>
      </w:r>
    </w:p>
    <w:p>
      <w:pPr>
        <w:spacing w:after="60" w:before="0"/>
      </w:pPr>
    </w:p>
    <w:p>
      <w:pPr>
        <w:pStyle w:val="Heading3"/>
        <w:spacing w:after="80" w:before="200"/>
      </w:pPr>
      <w:r>
        <w:rPr>
          <w:rFonts w:ascii="Arial" w:cs="Arial" w:eastAsia="Arial" w:hAnsi="Arial"/>
          <w:b/>
          <w:bCs/>
          <w:color w:val="2D7A4F"/>
          <w:sz w:val="24"/>
          <w:szCs w:val="24"/>
        </w:rPr>
        <w:t xml:space="preserve">Months 3–6: Evaluation cycle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Evidence upload and review for all 5 CTCF layers per organisation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First CTCF certification evaluations completed; grades assigned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Amanah Index™ scores computed and published to public dashboard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Scholar notes added for Shariah governance layer where applicable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First donation flows tested for at least 5 pilot organisations</w:t>
      </w:r>
    </w:p>
    <w:p>
      <w:pPr>
        <w:spacing w:after="60" w:before="0"/>
      </w:pPr>
    </w:p>
    <w:p>
      <w:pPr>
        <w:pStyle w:val="Heading3"/>
        <w:spacing w:after="80" w:before="200"/>
      </w:pPr>
      <w:r>
        <w:rPr>
          <w:rFonts w:ascii="Arial" w:cs="Arial" w:eastAsia="Arial" w:hAnsi="Arial"/>
          <w:b/>
          <w:bCs/>
          <w:color w:val="2D7A4F"/>
          <w:sz w:val="24"/>
          <w:szCs w:val="24"/>
        </w:rPr>
        <w:t xml:space="preserve">Months 7–10: Live operation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Full platform operation; ongoing reporting cycle; reviewer queue management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Midline assessment: donor survey, reviewer feedback, org admin satisfaction survey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Recurring donation campaigns launched for enrolled organisations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Data collection on Amanah score trends, CTCF grade distribution, donation volume</w:t>
      </w:r>
    </w:p>
    <w:p>
      <w:pPr>
        <w:spacing w:after="60" w:before="0"/>
      </w:pPr>
    </w:p>
    <w:p>
      <w:pPr>
        <w:pStyle w:val="Heading3"/>
        <w:spacing w:after="80" w:before="200"/>
      </w:pPr>
      <w:r>
        <w:rPr>
          <w:rFonts w:ascii="Arial" w:cs="Arial" w:eastAsia="Arial" w:hAnsi="Arial"/>
          <w:b/>
          <w:bCs/>
          <w:color w:val="2D7A4F"/>
          <w:sz w:val="24"/>
          <w:szCs w:val="24"/>
        </w:rPr>
        <w:t xml:space="preserve">Months 11–12: Evaluation and scale planning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Independent M&amp;E consultant completes final evaluation report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National rollout plan produced based on pilot learnings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Presentations to additional state MAIN councils for Phase 2 expansion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Final report submitted to grant funder with full KPI outcomes</w:t>
      </w:r>
    </w:p>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4.2  Key Performance Indicators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126"/>
        <w:gridCol w:w="1600"/>
      </w:tblGrid>
      <w:tr>
        <w:tc>
          <w:tcPr>
            <w:tcW w:type="dxa" w:w="2500"/>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bCs/>
                <w:color w:val="FFFFFF"/>
                <w:sz w:val="19"/>
                <w:szCs w:val="19"/>
              </w:rPr>
              <w:t xml:space="preserve">KPI</w:t>
            </w:r>
          </w:p>
        </w:tc>
        <w:tc>
          <w:tcPr>
            <w:tcW w:type="dxa" w:w="2800"/>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val="false"/>
                <w:bCs w:val="false"/>
                <w:color w:val="FFFFFF"/>
                <w:sz w:val="19"/>
                <w:szCs w:val="19"/>
              </w:rPr>
              <w:t xml:space="preserve">Baseline</w:t>
            </w:r>
          </w:p>
        </w:tc>
        <w:tc>
          <w:tcPr>
            <w:tcW w:type="dxa" w:w="2126"/>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val="false"/>
                <w:bCs w:val="false"/>
                <w:color w:val="FFFFFF"/>
                <w:sz w:val="19"/>
                <w:szCs w:val="19"/>
              </w:rPr>
              <w:t xml:space="preserve">12-Month Target</w:t>
            </w:r>
          </w:p>
        </w:tc>
        <w:tc>
          <w:tcPr>
            <w:tcW w:type="dxa" w:w="1600"/>
            <w:tcBorders>
              <w:top w:val="single" w:color="DDDDDD" w:sz="1"/>
              <w:left w:val="single" w:color="DDDDDD" w:sz="1"/>
              <w:bottom w:val="single" w:color="DDDDDD" w:sz="1"/>
              <w:right w:val="single" w:color="DDDDDD" w:sz="1"/>
            </w:tcBorders>
            <w:shd w:fill="1A4731" w:val="clear"/>
            <w:tcMar>
              <w:top w:type="dxa" w:w="80"/>
              <w:left w:type="dxa" w:w="100"/>
              <w:bottom w:type="dxa" w:w="80"/>
              <w:right w:type="dxa" w:w="100"/>
            </w:tcMar>
          </w:tcPr>
          <w:p>
            <w:r>
              <w:rPr>
                <w:rFonts w:ascii="Arial" w:cs="Arial" w:eastAsia="Arial" w:hAnsi="Arial"/>
                <w:b w:val="false"/>
                <w:bCs w:val="false"/>
                <w:color w:val="FFFFFF"/>
                <w:sz w:val="19"/>
                <w:szCs w:val="19"/>
              </w:rPr>
              <w:t xml:space="preserve">Measurement Method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Organisations onboarded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0 (new platform)</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20–30 organisations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AGP dashboard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CTCF evaluations completed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80% of onboarded orgs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Certification queue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Amanah scores published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100% of certified orgs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Public dashboard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Avg Amanah Index™ score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~60 (self-assessed estimate)</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Avg ≥75 (verified)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AGP engine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Report submission rate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~40% (sector baseline)</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100% of pilot orgs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Reporting module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Donation flows tested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Min. 5 organisations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Payment logs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Recurring donations facilitated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RM 0 via AGP</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RM 200,000+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Donation ledger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Donor trust rating (survey)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N/A</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≥90% report high trust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Post-pilot survey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Reviewer satisfaction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N/A</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≥4.0 / 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Reviewer survey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Org admin satisfaction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N/A</w:t>
            </w:r>
          </w:p>
        </w:tc>
        <w:tc>
          <w:tcPr>
            <w:tcW w:type="dxa" w:w="21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≥3.5 / 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Org admin survey</w:t>
            </w:r>
          </w:p>
        </w:tc>
      </w:tr>
    </w:tbl>
    <w:p>
      <w:pPr>
        <w:spacing w:after="160" w:before="0"/>
      </w:pP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5. Budget</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The total funding request is </w:t>
      </w:r>
      <w:r>
        <w:rPr>
          <w:rFonts w:ascii="Arial" w:cs="Arial" w:eastAsia="Arial" w:hAnsi="Arial"/>
          <w:b/>
          <w:bCs/>
          <w:i w:val="false"/>
          <w:iCs w:val="false"/>
          <w:color w:val="1A1A1A"/>
          <w:sz w:val="22"/>
          <w:szCs w:val="22"/>
        </w:rPr>
        <w:t xml:space="preserve">RM 550,000</w:t>
      </w:r>
      <w:r>
        <w:rPr>
          <w:rFonts w:ascii="Arial" w:cs="Arial" w:eastAsia="Arial" w:hAnsi="Arial"/>
          <w:b w:val="false"/>
          <w:bCs w:val="false"/>
          <w:i w:val="false"/>
          <w:iCs w:val="false"/>
          <w:color w:val="1A1A1A"/>
          <w:sz w:val="22"/>
          <w:szCs w:val="22"/>
        </w:rPr>
        <w:t xml:space="preserve"> for a 12-month pilot period. All expenditure is directly tied to delivering a measurable, verifiable pilot outcome.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c>
          <w:tcPr>
            <w:tcW w:type="dxa" w:w="32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1"/>
                <w:szCs w:val="21"/>
              </w:rPr>
              <w:t xml:space="preserve">Budget Item</w:t>
            </w:r>
          </w:p>
        </w:tc>
        <w:tc>
          <w:tcPr>
            <w:tcW w:type="dxa" w:w="4026"/>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1"/>
                <w:szCs w:val="21"/>
              </w:rPr>
              <w:t xml:space="preserve">Description</w:t>
            </w:r>
          </w:p>
        </w:tc>
        <w:tc>
          <w:tcPr>
            <w:tcW w:type="dxa" w:w="18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1"/>
                <w:szCs w:val="21"/>
              </w:rPr>
              <w:t xml:space="preserve">Amount (RM)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20"/>
                <w:szCs w:val="20"/>
              </w:rPr>
              <w:t xml:space="preserve">Platform Development</w:t>
            </w:r>
          </w:p>
        </w:tc>
        <w:tc>
          <w:tcPr>
            <w:tcW w:type="dxa" w:w="40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20"/>
                <w:szCs w:val="20"/>
              </w:rPr>
              <w:t xml:space="preserve">Feature hardening, security audit, compliance engineering, performance optimisation, additional pilot-specific modules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jc w:val="right"/>
            </w:pPr>
            <w:r>
              <w:rPr>
                <w:rFonts w:ascii="Arial" w:cs="Arial" w:eastAsia="Arial" w:hAnsi="Arial"/>
                <w:b w:val="false"/>
                <w:bCs w:val="false"/>
                <w:i w:val="false"/>
                <w:iCs w:val="false"/>
                <w:color w:val="1A4731"/>
                <w:sz w:val="20"/>
                <w:szCs w:val="20"/>
              </w:rPr>
              <w:t xml:space="preserve">RM 250,000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20"/>
                <w:szCs w:val="20"/>
              </w:rPr>
              <w:t xml:space="preserve">Cloud Hosting &amp; Infrastructure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20"/>
                <w:szCs w:val="20"/>
              </w:rPr>
              <w:t xml:space="preserve">Malaysia-based managed cloud services, storage, SSL, monitoring — 12 months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jc w:val="right"/>
            </w:pPr>
            <w:r>
              <w:rPr>
                <w:rFonts w:ascii="Arial" w:cs="Arial" w:eastAsia="Arial" w:hAnsi="Arial"/>
                <w:b w:val="false"/>
                <w:bCs w:val="false"/>
                <w:i w:val="false"/>
                <w:iCs w:val="false"/>
                <w:color w:val="1A4731"/>
                <w:sz w:val="20"/>
                <w:szCs w:val="20"/>
              </w:rPr>
              <w:t xml:space="preserve">RM 100,000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20"/>
                <w:szCs w:val="20"/>
              </w:rPr>
              <w:t xml:space="preserve">Onboarding &amp; Training</w:t>
            </w:r>
          </w:p>
        </w:tc>
        <w:tc>
          <w:tcPr>
            <w:tcW w:type="dxa" w:w="40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20"/>
                <w:szCs w:val="20"/>
              </w:rPr>
              <w:t xml:space="preserve">Workshops (3 sessions: urban + rural + Waqf-specific), user manuals, helpdesk, reviewer certification training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jc w:val="right"/>
            </w:pPr>
            <w:r>
              <w:rPr>
                <w:rFonts w:ascii="Arial" w:cs="Arial" w:eastAsia="Arial" w:hAnsi="Arial"/>
                <w:b w:val="false"/>
                <w:bCs w:val="false"/>
                <w:i w:val="false"/>
                <w:iCs w:val="false"/>
                <w:color w:val="1A4731"/>
                <w:sz w:val="20"/>
                <w:szCs w:val="20"/>
              </w:rPr>
              <w:t xml:space="preserve">RM 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20"/>
                <w:szCs w:val="20"/>
              </w:rPr>
              <w:t xml:space="preserve">Pilot Operations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20"/>
                <w:szCs w:val="20"/>
              </w:rPr>
              <w:t xml:space="preserve">Two part-time pilot coordinators, field visits, organisation support, MAIN/JAKIM liaison coordination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jc w:val="right"/>
            </w:pPr>
            <w:r>
              <w:rPr>
                <w:rFonts w:ascii="Arial" w:cs="Arial" w:eastAsia="Arial" w:hAnsi="Arial"/>
                <w:b w:val="false"/>
                <w:bCs w:val="false"/>
                <w:i w:val="false"/>
                <w:iCs w:val="false"/>
                <w:color w:val="1A4731"/>
                <w:sz w:val="20"/>
                <w:szCs w:val="20"/>
              </w:rPr>
              <w:t xml:space="preserve">RM 70,000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20"/>
                <w:szCs w:val="20"/>
              </w:rPr>
              <w:t xml:space="preserve">Monitoring &amp; Evaluation</w:t>
            </w:r>
          </w:p>
        </w:tc>
        <w:tc>
          <w:tcPr>
            <w:tcW w:type="dxa" w:w="40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20"/>
                <w:szCs w:val="20"/>
              </w:rPr>
              <w:t xml:space="preserve">Independent M&amp;E consultant, surveys, data analysis tools, midline and final evaluation reports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jc w:val="right"/>
            </w:pPr>
            <w:r>
              <w:rPr>
                <w:rFonts w:ascii="Arial" w:cs="Arial" w:eastAsia="Arial" w:hAnsi="Arial"/>
                <w:b w:val="false"/>
                <w:bCs w:val="false"/>
                <w:i w:val="false"/>
                <w:iCs w:val="false"/>
                <w:color w:val="1A4731"/>
                <w:sz w:val="20"/>
                <w:szCs w:val="20"/>
              </w:rPr>
              <w:t xml:space="preserve">RM 30,000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20"/>
                <w:szCs w:val="20"/>
              </w:rPr>
              <w:t xml:space="preserve">Administration &amp; Contingency</w:t>
            </w:r>
          </w:p>
        </w:tc>
        <w:tc>
          <w:tcPr>
            <w:tcW w:type="dxa" w:w="4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20"/>
                <w:szCs w:val="20"/>
              </w:rPr>
              <w:t xml:space="preserve">Project management, communications, Steering Committee meetings, 5% contingency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jc w:val="right"/>
            </w:pPr>
            <w:r>
              <w:rPr>
                <w:rFonts w:ascii="Arial" w:cs="Arial" w:eastAsia="Arial" w:hAnsi="Arial"/>
                <w:b w:val="false"/>
                <w:bCs w:val="false"/>
                <w:i w:val="false"/>
                <w:iCs w:val="false"/>
                <w:color w:val="1A4731"/>
                <w:sz w:val="20"/>
                <w:szCs w:val="20"/>
              </w:rPr>
              <w:t xml:space="preserve">RM 50,000</w:t>
            </w:r>
          </w:p>
        </w:tc>
      </w:tr>
      <w:tr>
        <w:tc>
          <w:tcPr>
            <w:tcW w:type="dxa" w:w="32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1"/>
                <w:szCs w:val="21"/>
              </w:rPr>
              <w:t xml:space="preserve">TOTAL</w:t>
            </w:r>
          </w:p>
        </w:tc>
        <w:tc>
          <w:tcPr>
            <w:tcW w:type="dxa" w:w="4026"/>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val="false"/>
                <w:bCs w:val="false"/>
                <w:i w:val="false"/>
                <w:iCs w:val="false"/>
                <w:color w:val="FFFFFF"/>
                <w:sz w:val="21"/>
                <w:szCs w:val="21"/>
              </w:rPr>
              <w:t xml:space="preserve"/>
            </w:r>
          </w:p>
        </w:tc>
        <w:tc>
          <w:tcPr>
            <w:tcW w:type="dxa" w:w="18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pPr>
              <w:jc w:val="right"/>
            </w:pPr>
            <w:r>
              <w:rPr>
                <w:rFonts w:ascii="Arial" w:cs="Arial" w:eastAsia="Arial" w:hAnsi="Arial"/>
                <w:b/>
                <w:bCs/>
                <w:i w:val="false"/>
                <w:iCs w:val="false"/>
                <w:color w:val="C8922A"/>
                <w:sz w:val="21"/>
                <w:szCs w:val="21"/>
              </w:rPr>
              <w:t xml:space="preserve">RM 550,000</w:t>
            </w:r>
          </w:p>
        </w:tc>
      </w:tr>
    </w:tbl>
    <w:p>
      <w:pPr>
        <w:spacing w:after="160" w:before="0"/>
      </w:pPr>
    </w:p>
    <w:p>
      <w:pPr>
        <w:pStyle w:val="Heading1"/>
        <w:shd w:fill="1A4731" w:val="clear"/>
        <w:spacing w:after="160" w:before="0"/>
        <w:ind w:left="360" w:right="360"/>
      </w:pPr>
      <w:r>
        <w:rPr>
          <w:rFonts w:ascii="Arial" w:cs="Arial" w:eastAsia="Arial" w:hAnsi="Arial"/>
          <w:b/>
          <w:bCs/>
          <w:color w:val="FFFFFF"/>
          <w:sz w:val="36"/>
          <w:szCs w:val="36"/>
        </w:rPr>
        <w:t xml:space="preserve">6. Sustainability Model</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is designed for long-term financial independence, not perpetual grant dependency. The pilot is the proof-of-concept phase. From Month 13 onward, the platform transitions to a self-sustaining revenue model aligned with Shariah principles. The funding model is structured across four phases.</w:t>
      </w:r>
    </w:p>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6.1  Funding Phase Map</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326"/>
        <w:gridCol w:w="2300"/>
      </w:tblGrid>
      <w:tr>
        <w:tc>
          <w:tcPr>
            <w:tcW w:type="dxa" w:w="24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3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val="false"/>
                <w:bCs w:val="false"/>
                <w:color w:val="FFFFFF"/>
                <w:sz w:val="20"/>
                <w:szCs w:val="20"/>
              </w:rPr>
              <w:t xml:space="preserve">Goal</w:t>
            </w:r>
          </w:p>
        </w:tc>
        <w:tc>
          <w:tcPr>
            <w:tcW w:type="dxa" w:w="23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val="false"/>
                <w:bCs w:val="false"/>
                <w:color w:val="FFFFFF"/>
                <w:sz w:val="20"/>
                <w:szCs w:val="20"/>
              </w:rPr>
              <w:t xml:space="preserve">Primary Funding Source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0–1 (Now)</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 pilot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Grants, founder funding, CSR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(2027)</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Product-market fit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SaaS subscriptions, processing fees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 (2028)</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Self-sustain</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Recurring platform revenue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4 (2029+)</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Scale nationally</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Islamic impact investment, regional expansion</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6.2  Zakat Funding Eligibility (Asnaf Fisabilillah)</w:t>
      </w:r>
    </w:p>
    <w:p>
      <w:pPr>
        <w:spacing w:after="100" w:before="80"/>
        <w:jc w:val="both"/>
      </w:pPr>
      <w:r>
        <w:rPr>
          <w:rFonts w:ascii="Arial" w:cs="Arial" w:eastAsia="Arial" w:hAnsi="Arial"/>
          <w:b w:val="false"/>
          <w:bCs w:val="false"/>
          <w:i w:val="false"/>
          <w:iCs w:val="false"/>
          <w:color w:val="1A1A1A"/>
          <w:sz w:val="22"/>
          <w:szCs w:val="22"/>
        </w:rPr>
        <w:t xml:space="preserve">AGP’s mandate — digitising mosque governance, enabling Zakat distribution transparency, and supporting Islamic community welfare infrastructure — qualifies for Zakat funding under the </w:t>
      </w:r>
      <w:r>
        <w:rPr>
          <w:rFonts w:ascii="Arial" w:cs="Arial" w:eastAsia="Arial" w:hAnsi="Arial"/>
          <w:b/>
          <w:bCs/>
          <w:i w:val="false"/>
          <w:iCs w:val="false"/>
          <w:color w:val="1A1A1A"/>
          <w:sz w:val="22"/>
          <w:szCs w:val="22"/>
        </w:rPr>
        <w:t xml:space="preserve">Asnaf Fisabilillah</w:t>
      </w:r>
      <w:r>
        <w:rPr>
          <w:rFonts w:ascii="Arial" w:cs="Arial" w:eastAsia="Arial" w:hAnsi="Arial"/>
          <w:b w:val="false"/>
          <w:bCs w:val="false"/>
          <w:i w:val="false"/>
          <w:iCs w:val="false"/>
          <w:color w:val="1A1A1A"/>
          <w:sz w:val="22"/>
          <w:szCs w:val="22"/>
        </w:rPr>
        <w:t xml:space="preserve"> category (those who work for the cause of Allah). This is not a theoretical eligibility: technology vendors providing mosque management systems are already compensated through Zakat institutional budgets in Malaysia.</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Potential Zakat Revenue:  </w:t>
            </w:r>
            <w:r>
              <w:rPr>
                <w:rFonts w:ascii="Arial" w:cs="Arial" w:eastAsia="Arial" w:hAnsi="Arial"/>
                <w:color w:val="1A1A1A"/>
                <w:sz w:val="22"/>
                <w:szCs w:val="22"/>
              </w:rPr>
              <w:t xml:space="preserve">Zakat digitisation infrastructure contracts of RM 200,000 – RM 2,000,000 per project are precedented. AGP’s national mosque governance mandate positions it directly for this funding stream from Year 2 onward.</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6.3  Target Revenue Mix (Stabilised)</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Revenue Stream</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Projected Contribution at Scale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Mosque SaaS subscription (RM 99–299/month per mosque)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25% — 500 mosques at RM 150 = RM 75,000/month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Donation processing fee (4% platform fee to organisations)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25% — non-custodial; paid by org, not donor; Shariah-compliant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NGO / orphanage / tahfiz SaaS (RM 200–500/month)</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20% — white-label for humanitarian NGOs and Islamic schools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Zakat institutional projects (transparency infrastructure contracts)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15% — state zakat boards commissioning AGP as oversight layer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Corporate payroll Sadaqah integration (annual licence)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10% — employer auto-Sadaqah programme; CSR-aligned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Data and analytics services (sold to zakat bodies / government)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5% — anonymised trend data; governance benchmarking dashboards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Break-even estimate:  </w:t>
            </w:r>
            <w:r>
              <w:rPr>
                <w:rFonts w:ascii="Arial" w:cs="Arial" w:eastAsia="Arial" w:hAnsi="Arial"/>
                <w:color w:val="1A1A1A"/>
                <w:sz w:val="22"/>
                <w:szCs w:val="22"/>
              </w:rPr>
              <w:t xml:space="preserve">At 500 active mosque/NGO subscribers at an average of RM 150/month, AGP reaches approximately RM 75,000/month in recurring revenue. This covers cloud hosting, support staff, and platform maintenance without requiring further grant funding.</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6.4  Additional Funding Pathways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Cradle Fund (CIP Spark / CIP Sprint) — RM 150,000–600,000 for fintech / social impact platforms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MDEC / Malaysia Digital Economy grants — Digital content and Islamic digital economy initiatives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MRANTI accelerator — Equity-free programme funding for social tech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Islamic Development Bank (IsDB) — Waqf tech, Zakat innovation, Islamic fintech grants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JAWHAR (Jabatan Wakaf, Zakat dan Haji) — Mosque transformation and Waqf digitisation funding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Corporate CSR / Islamic banks — Maybank Islamic, Bank Islam, CIMB Islamic, Takaful operators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Islamic impact investors (Phase 4) — Khazanah Nasional, Gulf-based Islamic development funds</w:t>
      </w:r>
    </w:p>
    <w:p>
      <w:pPr>
        <w:spacing w:after="160" w:before="0"/>
      </w:pP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7. Governance Structure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Role</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Responsibilities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Steering Committee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Strategic direction and oversight. Composed of: lead MAIN representative, JAKIM (Awqaf &amp; Zakat Department), Effort Studio/AGP builder, academic partner (IIUM or UTM). Meets quarterly.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Effort Studio (AGP Builder)</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Platform development, hosting, maintenance, pilot coordination, onboarding support, and all infrastructure costs during the pilot period.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MAIN (State Islamic Councils)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Governance anchor for state-level certification. Nominate pilot organisations. Assign and train CTCF reviewers. Validate Shariah governance criteria.</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JAKIM (Dept of Awqaf, Zakat &amp; Hajj)</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National policy alignment. Ensure CTCF criteria meet federal Islamic governance standards. Waqf and Zakat module governance.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Shariah Scholars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Advisory and review role on Layer 5 evaluations. Scholar notes flagged as publishable where appropriate. No fatwa issuance claimed.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Academic Partner</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Research validation, M&amp;E support, impact assessment, and publication of findings. Provides independent evaluation credibility.</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7.1  Data Governance and PDPA Compliance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All personal data handled under Malaysia’s Personal Data Protection Act (PDPA)</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Minimum data collection principle: KYC is performed by licensed banks, not by AGP</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Evidence stored in private-by-default storage; no public bucket exposure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Row-Level Security enforced at database level: users only see what their role permits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Append-only audit logs: no record deletion, tamper-evident event history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Service-role database credentials never exposed to the browser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Codebase open to government technical audit on request</w:t>
      </w:r>
    </w:p>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7.2  Shariah Compliance Commitments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Non-custodial architecture: AGP never holds, processes, or intermediates donor funds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Purpose-bound fund tagging: Zakat, Waqf, and Sadaqah funds remain correctly earmarked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No interest income, no prohibited investment, no gharar in platform fees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Shariah advisor verification embedded as a scored criterion (Layer 5) in CTCF</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Platform fee model (processing fee paid by org) reviewed for Shariah-compliance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All scholar notes and Shariah governance findings are immutable once submitted</w:t>
      </w:r>
    </w:p>
    <w:p>
      <w:pPr>
        <w:spacing w:after="160" w:before="0"/>
      </w:pPr>
    </w:p>
    <w:p>
      <w:pPr>
        <w:pStyle w:val="Heading1"/>
        <w:shd w:fill="1A4731" w:val="clear"/>
        <w:spacing w:after="160" w:before="0"/>
        <w:ind w:left="360" w:right="360"/>
      </w:pPr>
      <w:r>
        <w:rPr>
          <w:rFonts w:ascii="Arial" w:cs="Arial" w:eastAsia="Arial" w:hAnsi="Arial"/>
          <w:b/>
          <w:bCs/>
          <w:color w:val="FFFFFF"/>
          <w:sz w:val="36"/>
          <w:szCs w:val="36"/>
        </w:rPr>
        <w:t xml:space="preserve">8. Technology Overview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Component</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Technology &amp; Rationale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Web Application</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Next.js 15 — production-grade, server-side rendered, progressive web app compatible. Two separate apps: AmanahHub (public/donor) and AmanahHub Console (admin/reviewer).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Database &amp; Authentication</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Supabase (Postgres) — open source, Row-Level Security enforced at database level, PDPA-aligned data governance.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File Storage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Supabase Storage with signed URL access — private by default, no public bucket exposure, document expiry enforcement.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Scoring Engine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TypeScript package (@agp/scoring) — pure logic, no external dependencies, fully auditable. Implements CTCF v2 and Amanah Index v1 engines.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Payment Gateway</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ToyyibPay (Malaysia-regulated, FPX routing, direct-to-charity). Provider-neutral adapter interface built for future Billplz integration.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Audit Trail</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Append-only Postgres tables — no record deletion, tamper-evident event history, cryptographic consistency.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Deployment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Vercel (two-app deployment: AmanahHub public site + AmanahHub Console). Malaysia-region hosting configurable.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Code Transparency</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Codebase open to government technical audit on request. No hidden fund-handling logic.</w:t>
            </w:r>
          </w:p>
        </w:tc>
      </w:tr>
    </w:tbl>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8.1  Current Build Status</w:t>
      </w:r>
    </w:p>
    <w:p>
      <w:pPr>
        <w:spacing w:after="100" w:before="80"/>
        <w:jc w:val="both"/>
      </w:pPr>
      <w:r>
        <w:rPr>
          <w:rFonts w:ascii="Arial" w:cs="Arial" w:eastAsia="Arial" w:hAnsi="Arial"/>
          <w:b w:val="false"/>
          <w:bCs w:val="false"/>
          <w:i w:val="false"/>
          <w:iCs w:val="false"/>
          <w:color w:val="1A1A1A"/>
          <w:sz w:val="22"/>
          <w:szCs w:val="22"/>
        </w:rPr>
        <w:t xml:space="preserve">AGP Phase 1 is </w:t>
      </w:r>
      <w:r>
        <w:rPr>
          <w:rFonts w:ascii="Arial" w:cs="Arial" w:eastAsia="Arial" w:hAnsi="Arial"/>
          <w:b/>
          <w:bCs/>
          <w:i w:val="false"/>
          <w:iCs w:val="false"/>
          <w:color w:val="1A1A1A"/>
          <w:sz w:val="22"/>
          <w:szCs w:val="22"/>
        </w:rPr>
        <w:t xml:space="preserve">fully built and deployed</w:t>
      </w:r>
      <w:r>
        <w:rPr>
          <w:rFonts w:ascii="Arial" w:cs="Arial" w:eastAsia="Arial" w:hAnsi="Arial"/>
          <w:b w:val="false"/>
          <w:bCs w:val="false"/>
          <w:i w:val="false"/>
          <w:iCs w:val="false"/>
          <w:color w:val="1A1A1A"/>
          <w:sz w:val="22"/>
          <w:szCs w:val="22"/>
        </w:rPr>
        <w:t xml:space="preserve">. The grant is not funding a prototype — it is funding a live, tested platform’s pilot deployment and national scale-up. The following are complete:</w:t>
      </w:r>
    </w:p>
    <w:p>
      <w:pPr>
        <w:spacing w:after="60" w:before="0"/>
      </w:pP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Public AmanahHub: charity directory, org profiles, CTCF certification panels, Amanah score display, project pages, donation checkout (ToyyibPay)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AmanahHub Console: org onboarding, membership and invite management, evidence gallery with signed URLs, reviewer certification evaluation (CTCF v2), scholar notes, donor receipt pages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Scoring engines: @agp/scoring package with ctcf_v2 and amanah_v1 engines, fully unit-tested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Infrastructure: Row-Level Security, audit logging, Supabase Edge Functions, Vercel deployment configured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Testing: 64 unit tests, 4 Playwright E2E suites (donor discovery, org admin, reviewer workflow, privacy/data leak prevention)</w:t>
      </w:r>
    </w:p>
    <w:p>
      <w:pPr>
        <w:spacing w:after="160" w:before="0"/>
      </w:pP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9. Expected Social Impact</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The impact of AGP extends beyond the technology itself. By providing credible, verifiable governance data to donors, regulators, and the public, AGP creates systemic change across Malaysia’s Islamic charity ecosystem.</w:t>
      </w:r>
    </w:p>
    <w:p>
      <w:pPr>
        <w:spacing w:after="100" w:before="0"/>
      </w:pPr>
    </w:p>
    <w:p>
      <w:pPr>
        <w:pStyle w:val="Heading2"/>
        <w:pBdr>
          <w:bottom w:val="single" w:color="C8922A" w:sz="6" w:space="4"/>
        </w:pBdr>
        <w:spacing w:after="120" w:before="320"/>
      </w:pPr>
      <w:r>
        <w:rPr>
          <w:rFonts w:ascii="Arial" w:cs="Arial" w:eastAsia="Arial" w:hAnsi="Arial"/>
          <w:b/>
          <w:bCs/>
          <w:color w:val="1A4731"/>
          <w:sz w:val="28"/>
          <w:szCs w:val="28"/>
        </w:rPr>
        <w:t xml:space="preserve">9.1  Direct beneficiaries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Pilot organisations (20–30): governance capacity building, improved donor confidence, access to recurring donation infrastructure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Donors: verified, structured information to guide giving decisions; confidence that funds are tracked and reported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MAIN / JAKIM reviewers: digital tooling replacing manual audit processes; structured data for oversight and policy decisions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Zakat beneficiaries (asnaf): improved distribution efficiency and traceability of funds reaching intended recipients</w:t>
      </w:r>
    </w:p>
    <w:p>
      <w:pPr>
        <w:spacing w:after="100" w:before="0"/>
      </w:pPr>
    </w:p>
    <w:p>
      <w:pPr>
        <w:pStyle w:val="Heading2"/>
        <w:pBdr>
          <w:bottom w:val="single" w:color="C8922A" w:sz="6" w:space="4"/>
        </w:pBdr>
        <w:spacing w:after="120" w:before="320"/>
      </w:pPr>
      <w:r>
        <w:rPr>
          <w:rFonts w:ascii="Arial" w:cs="Arial" w:eastAsia="Arial" w:hAnsi="Arial"/>
          <w:b/>
          <w:bCs/>
          <w:color w:val="1A4731"/>
          <w:sz w:val="28"/>
          <w:szCs w:val="28"/>
        </w:rPr>
        <w:t xml:space="preserve">9.2  Systemic impact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Shifts Malaysia’s charity sector from informal trust to evidenced trust — building a culture of structured accountability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Reduces regulatory burden on ROS, JAKIM, and state councils through proactive compliance monitoring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Unlocks idle Waqf assets by providing the digital governance layer needed for proper oversight and development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Creates a replicable model: AGP’s open architecture can be adopted by other Muslim-majority countries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Aligns with Malaysia’s Maqasid al-Shariah objectives and national SDG commitments on poverty reduction and institutional integrity</w:t>
      </w:r>
    </w:p>
    <w:p>
      <w:pPr>
        <w:spacing w:after="100" w:before="0"/>
      </w:pPr>
    </w:p>
    <w:p>
      <w:pPr>
        <w:pStyle w:val="Heading2"/>
        <w:pBdr>
          <w:bottom w:val="single" w:color="C8922A" w:sz="6" w:space="4"/>
        </w:pBdr>
        <w:spacing w:after="120" w:before="320"/>
      </w:pPr>
      <w:r>
        <w:rPr>
          <w:rFonts w:ascii="Arial" w:cs="Arial" w:eastAsia="Arial" w:hAnsi="Arial"/>
          <w:b/>
          <w:bCs/>
          <w:color w:val="1A4731"/>
          <w:sz w:val="28"/>
          <w:szCs w:val="28"/>
        </w:rPr>
        <w:t xml:space="preserve">9.3  Alignment with National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National Agenda</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AGP Contribution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Malaysia Madani</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Strengthens Islamic social finance institutions; promotes transparency and accountability in the Ummah economy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Digital Economy Blueprint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Platform digitises governance across 82,000+ NGOs and 6,800+ mosques; contributes to Malaysia Digital Economy goals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SDG 16 (Accountable Institutions)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Structured audit trails and public transparency dashboards directly address institutional accountability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SDG 1 (No Poverty)</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Improved Zakat and Sadaqah distribution efficiency; reduced leakage; better targeting of asnaf beneficiaries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Islamic Finance Leadership</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Demonstrates Malaysia’s capacity to lead globally in Shariah-compliant digital governance innovation</w:t>
            </w:r>
          </w:p>
        </w:tc>
      </w:tr>
    </w:tbl>
    <w:p>
      <w:pPr>
        <w:spacing w:after="160" w:before="0"/>
      </w:pPr>
    </w:p>
    <w:p>
      <w:pPr>
        <w:pStyle w:val="Heading1"/>
        <w:shd w:fill="1A4731" w:val="clear"/>
        <w:spacing w:after="160" w:before="0"/>
        <w:ind w:left="360" w:right="360"/>
      </w:pPr>
      <w:r>
        <w:rPr>
          <w:rFonts w:ascii="Arial" w:cs="Arial" w:eastAsia="Arial" w:hAnsi="Arial"/>
          <w:b/>
          <w:bCs/>
          <w:color w:val="FFFFFF"/>
          <w:sz w:val="36"/>
          <w:szCs w:val="36"/>
        </w:rPr>
        <w:t xml:space="preserve">10. Risk and Mitigation</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326"/>
        <w:gridCol w:w="2300"/>
      </w:tblGrid>
      <w:tr>
        <w:tc>
          <w:tcPr>
            <w:tcW w:type="dxa" w:w="24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3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val="false"/>
                <w:bCs w:val="false"/>
                <w:color w:val="FFFFFF"/>
                <w:sz w:val="20"/>
                <w:szCs w:val="20"/>
              </w:rPr>
              <w:t xml:space="preserve">Impact</w:t>
            </w:r>
          </w:p>
        </w:tc>
        <w:tc>
          <w:tcPr>
            <w:tcW w:type="dxa" w:w="23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val="false"/>
                <w:bCs w:val="false"/>
                <w:color w:val="FFFFFF"/>
                <w:sz w:val="20"/>
                <w:szCs w:val="20"/>
              </w:rPr>
              <w:t xml:space="preserve">Mitigation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pilot org adoption</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Reduces KPI achievement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 endorsement lowers friction; onboarding workshops; zero cost to orgs during pilot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Reviewer capacity constraints</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Slows certification throughput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CTCF training programme; async review workflows; reviewer dashboard queue management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downtime / technical failure</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Disrupts pilot operations</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redundancy; rollback plan; Vercel SLA; health monitoring endpoints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Regulatory ambiguity on Zakat eligibility</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Delays funding stream</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Early engagement with JAKIM; Shariah advisor on Steering Committee; phased claims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privacy / PDPA breach</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Reputational and legal risk</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Private-by-default storage; RLS enforced; PDPA-aligned data minimisation; audit trail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Interpretation disputes on CTCF scores</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Undermines trust in scoring</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Explainable score breakdowns; appeals process; versioned evaluations; immutable history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Post-pilot funding gap</w:t>
            </w:r>
          </w:p>
        </w:tc>
        <w:tc>
          <w:tcPr>
            <w:tcW w:type="dxa" w:w="4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Delays national rollout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Early SaaS revenue from pilot organisations; parallel CSR and Zakat funding applications</w:t>
            </w:r>
          </w:p>
        </w:tc>
      </w:tr>
    </w:tbl>
    <w:p>
      <w:pPr>
        <w:spacing w:after="160" w:before="0"/>
      </w:pP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11. About the Applicant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1"/>
                <w:szCs w:val="21"/>
              </w:rPr>
              <w:t xml:space="preserve">Applicant</w:t>
            </w:r>
          </w:p>
        </w:tc>
        <w:tc>
          <w:tcPr>
            <w:tcW w:type="dxa" w:w="54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val="false"/>
                <w:bCs w:val="false"/>
                <w:color w:val="FFFFFF"/>
                <w:sz w:val="21"/>
                <w:szCs w:val="21"/>
              </w:rPr>
              <w:t xml:space="preserve">Effort Studio / Darya Malak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Role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Product Owner, Platform Architect, Governance Design Lead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Platform built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Amanah Governance Platform (AGP) — Phase 1 complete and deployed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Approach</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Supabase-first monorepo, two Next.js apps, TypeScript scoring engines, pnpm workspaces, Vercel deployment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Governance credentials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Designed CTCF (aligned to AAOIFI standards and Malaysian regulatory classifications), Amanah Index™ formula, and Malaysian Islamic charity classification model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Technical credentials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Full-stack build with RLS security, append-only audit design, non-custodial payment architecture, and comprehensive test coverage (64 unit tests + 4 Playwright E2E suites)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Advisory support sought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Shariah scholar (Layer 5 governance), Islamic finance legal counsel (Zakat eligibility formalisation), academic partner (IIUM / UTM for M&amp;E)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Contact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[contact details to be added before submission]</w:t>
            </w:r>
          </w:p>
        </w:tc>
      </w:tr>
    </w:tbl>
    <w:p>
      <w:pPr>
        <w:spacing w:after="160" w:before="0"/>
      </w:pPr>
    </w:p>
    <w:p>
      <w:pPr>
        <w:pStyle w:val="Heading1"/>
        <w:shd w:fill="1A4731" w:val="clear"/>
        <w:spacing w:after="160" w:before="0"/>
        <w:ind w:left="360" w:right="360"/>
      </w:pPr>
      <w:r>
        <w:rPr>
          <w:rFonts w:ascii="Arial" w:cs="Arial" w:eastAsia="Arial" w:hAnsi="Arial"/>
          <w:b/>
          <w:bCs/>
          <w:color w:val="FFFFFF"/>
          <w:sz w:val="36"/>
          <w:szCs w:val="36"/>
        </w:rPr>
        <w:t xml:space="preserve">12. Closing Statement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320"/>
              <w:left w:type="dxa" w:w="480"/>
              <w:bottom w:type="dxa" w:w="320"/>
              <w:right w:type="dxa" w:w="480"/>
            </w:tcMar>
          </w:tcPr>
          <w:p>
            <w:pPr>
              <w:spacing w:after="80" w:before="0"/>
              <w:jc w:val="center"/>
            </w:pPr>
            <w:r>
              <w:rPr>
                <w:rFonts w:ascii="Georgia" w:cs="Georgia" w:eastAsia="Georgia" w:hAnsi="Georgia"/>
                <w:i/>
                <w:iCs/>
                <w:color w:val="1A4731"/>
                <w:sz w:val="26"/>
                <w:szCs w:val="26"/>
              </w:rPr>
              <w:t xml:space="preserve">“Indeed, Allah commands you to render trusts to whom they are due.”</w:t>
            </w:r>
          </w:p>
          <w:p>
            <w:pPr>
              <w:spacing w:after="0" w:before="0"/>
              <w:jc w:val="center"/>
            </w:pPr>
            <w:r>
              <w:rPr>
                <w:rFonts w:ascii="Arial" w:cs="Arial" w:eastAsia="Arial" w:hAnsi="Arial"/>
                <w:b w:val="false"/>
                <w:bCs w:val="false"/>
                <w:i w:val="false"/>
                <w:iCs w:val="false"/>
                <w:color w:val="555555"/>
                <w:sz w:val="20"/>
                <w:szCs w:val="20"/>
              </w:rPr>
              <w:t xml:space="preserve">— Surah An-Nisa, 4:58</w:t>
            </w:r>
          </w:p>
        </w:tc>
      </w:tr>
    </w:tbl>
    <w:p>
      <w:pPr>
        <w:spacing w:after="160" w:before="0"/>
      </w:pPr>
    </w:p>
    <w:p>
      <w:pPr>
        <w:spacing w:after="100" w:before="80"/>
        <w:jc w:val="both"/>
      </w:pPr>
      <w:r>
        <w:rPr>
          <w:rFonts w:ascii="Arial" w:cs="Arial" w:eastAsia="Arial" w:hAnsi="Arial"/>
          <w:b w:val="false"/>
          <w:bCs w:val="false"/>
          <w:i w:val="false"/>
          <w:iCs w:val="false"/>
          <w:color w:val="1A1A1A"/>
          <w:sz w:val="22"/>
          <w:szCs w:val="22"/>
        </w:rPr>
        <w:t xml:space="preserve">Malaysia’s Islamic charity sector is one of the most generous in the world. It gives billions annually in Zakat, sustains thousands of mosques and waqf endowments, and reaches hundreds of thousands of asnaf beneficiaries. What it lacks is not generosity — it lacks the </w:t>
      </w:r>
      <w:r>
        <w:rPr>
          <w:rFonts w:ascii="Arial" w:cs="Arial" w:eastAsia="Arial" w:hAnsi="Arial"/>
          <w:b/>
          <w:bCs/>
          <w:i w:val="false"/>
          <w:iCs w:val="false"/>
          <w:color w:val="1A1A1A"/>
          <w:sz w:val="22"/>
          <w:szCs w:val="22"/>
        </w:rPr>
        <w:t xml:space="preserve">infrastructure of trust</w:t>
      </w:r>
      <w:r>
        <w:rPr>
          <w:rFonts w:ascii="Arial" w:cs="Arial" w:eastAsia="Arial" w:hAnsi="Arial"/>
          <w:b w:val="false"/>
          <w:bCs w:val="false"/>
          <w:i w:val="false"/>
          <w:iCs w:val="false"/>
          <w:color w:val="1A1A1A"/>
          <w:sz w:val="22"/>
          <w:szCs w:val="22"/>
        </w:rPr>
        <w:t xml:space="preserve"> that would allow this generosity to be verified, sustained, and scaled.</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Amanah Governance Platform is built to provide exactly that infrastructure. Phase 1 is complete. The platform is live, tested, and ready for pilot. The grant we are requesting is not for an idea or a prototype — it is for the deployment, onboarding, and evaluation of a working system that can demonstrably improve governance across the sector within 12 months.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We are committed to operating with the same standards of amanah, shafafiyyah, and mas’uliyyah that we ask of the organisations we certify. Every ringgit of this grant will be accounted for, reported on, and evaluated against clear, measurable outcomes.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We invite your organisation to partner with us in building a transparent, accountable, and trusted Islamic charity ecosystem — for Malaysia first, and for the global Ummah In shaa Allah.</w:t>
      </w:r>
    </w:p>
    <w:p>
      <w:pPr>
        <w:spacing w:after="200" w:before="0"/>
      </w:pPr>
    </w:p>
    <w:p>
      <w:pPr>
        <w:spacing w:after="0" w:before="0"/>
        <w:jc w:val="right"/>
      </w:pPr>
      <w:r>
        <w:rPr>
          <w:rFonts w:ascii="Arial" w:cs="Arial" w:eastAsia="Arial" w:hAnsi="Arial"/>
          <w:b/>
          <w:bCs/>
          <w:i w:val="false"/>
          <w:iCs w:val="false"/>
          <w:color w:val="1A4731"/>
          <w:sz w:val="22"/>
          <w:szCs w:val="22"/>
        </w:rPr>
        <w:t xml:space="preserve">Darya Malak</w:t>
      </w:r>
      <w:r>
        <w:rPr>
          <w:rFonts w:ascii="Arial" w:cs="Arial" w:eastAsia="Arial" w:hAnsi="Arial"/>
          <w:color w:val="555555"/>
          <w:sz w:val="20"/>
          <w:szCs w:val="20"/>
        </w:rPr>
        <w:t xml:space="preserve">
Effort Studio — Amanah Governance Platform</w:t>
      </w:r>
      <w:r>
        <w:rPr>
          <w:rFonts w:ascii="Arial" w:cs="Arial" w:eastAsia="Arial" w:hAnsi="Arial"/>
          <w:color w:val="555555"/>
          <w:sz w:val="20"/>
          <w:szCs w:val="20"/>
        </w:rPr>
        <w:t xml:space="preserve">
April 2026</w:t>
      </w:r>
      <w:r>
        <w:rPr>
          <w:rFonts w:ascii="Arial" w:cs="Arial" w:eastAsia="Arial" w:hAnsi="Arial"/>
          <w:color w:val="555555"/>
          <w:sz w:val="20"/>
          <w:szCs w:val="20"/>
        </w:rPr>
        <w:t xml:space="preserve">
[contact details]</w:t>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4"/>
      </w:pBdr>
      <w:spacing w:after="0" w:before="120"/>
      <w:jc w:val="right"/>
    </w:pPr>
    <w:r>
      <w:rPr>
        <w:rFonts w:ascii="Arial" w:cs="Arial" w:eastAsia="Arial" w:hAnsi="Arial"/>
        <w:b w:val="false"/>
        <w:bCs w:val="false"/>
        <w:i/>
        <w:iCs/>
        <w:color w:val="555555"/>
        <w:sz w:val="18"/>
        <w:szCs w:val="18"/>
      </w:rPr>
      <w:t xml:space="preserve">Confidential — Effort Studio / Darya Malak — April 2026</w:t>
    </w:r>
    <w:r>
      <w:rPr>
        <w:rFonts w:ascii="Arial" w:cs="Arial" w:eastAsia="Arial" w:hAnsi="Arial"/>
        <w:color w:val="555555"/>
        <w:sz w:val="18"/>
        <w:szCs w:val="18"/>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after="120" w:before="0"/>
    </w:pPr>
    <w:r>
      <w:rPr>
        <w:rFonts w:ascii="Arial" w:cs="Arial" w:eastAsia="Arial" w:hAnsi="Arial"/>
        <w:b/>
        <w:bCs/>
        <w:i w:val="false"/>
        <w:iCs w:val="false"/>
        <w:color w:val="1A4731"/>
        <w:sz w:val="18"/>
        <w:szCs w:val="18"/>
      </w:rPr>
      <w:t xml:space="preserve">AMANAH GOVERNANCE PLATFORM</w:t>
    </w:r>
    <w:r>
      <w:rPr>
        <w:rFonts w:ascii="Arial" w:cs="Arial" w:eastAsia="Arial" w:hAnsi="Arial"/>
        <w:b w:val="false"/>
        <w:bCs w:val="false"/>
        <w:i w:val="false"/>
        <w:iCs w:val="false"/>
        <w:color w:val="555555"/>
        <w:sz w:val="18"/>
        <w:szCs w:val="18"/>
      </w:rPr>
      <w:t xml:space="preserve">   |   Grant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473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7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2026-04-11T14:15:43.651Z</dcterms:created>
  <dcterms:modified xsi:type="dcterms:W3CDTF">2026-04-11T14:15:43.652Z</dcterms:modified>
</cp:coreProperties>
</file>

<file path=docProps/custom.xml><?xml version="1.0" encoding="utf-8"?>
<Properties xmlns="http://schemas.openxmlformats.org/officeDocument/2006/custom-properties" xmlns:vt="http://schemas.openxmlformats.org/officeDocument/2006/docPropsVTypes"/>
</file>