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4731" w:val="clear"/>
            <w:tcMar>
              <w:top w:type="dxa" w:w="560"/>
              <w:left w:type="dxa" w:w="600"/>
              <w:bottom w:type="dxa" w:w="560"/>
              <w:right w:type="dxa" w:w="600"/>
            </w:tcMar>
          </w:tcPr>
          <w:p>
            <w:pPr>
              <w:spacing w:after="80" w:before="0"/>
              <w:jc w:val="center"/>
            </w:pPr>
            <w:r>
              <w:rPr>
                <w:rFonts w:ascii="Arial" w:cs="Arial" w:eastAsia="Arial" w:hAnsi="Arial"/>
                <w:b/>
                <w:bCs/>
                <w:color w:val="C8922A"/>
                <w:spacing w:val="60"/>
                <w:sz w:val="22"/>
                <w:szCs w:val="22"/>
              </w:rPr>
              <w:t xml:space="preserve">PERMOHONAN GERAN — RAKAN INSTITUSI ISLAM</w:t>
            </w:r>
          </w:p>
          <w:p>
            <w:pPr>
              <w:spacing w:after="120" w:before="0"/>
              <w:jc w:val="center"/>
            </w:pPr>
            <w:r>
              <w:rPr>
                <w:rFonts w:ascii="Arial" w:cs="Arial" w:eastAsia="Arial" w:hAnsi="Arial"/>
                <w:b/>
                <w:bCs/>
                <w:color w:val="FFFFFF"/>
                <w:sz w:val="48"/>
                <w:szCs w:val="48"/>
              </w:rPr>
              <w:t xml:space="preserve">AMANAH GOVERNANCE PLATFORM</w:t>
            </w:r>
          </w:p>
          <w:p>
            <w:pPr>
              <w:spacing w:after="320" w:before="0"/>
              <w:jc w:val="center"/>
            </w:pPr>
            <w:r>
              <w:rPr>
                <w:rFonts w:ascii="Arial" w:cs="Arial" w:eastAsia="Arial" w:hAnsi="Arial"/>
                <w:i/>
                <w:iCs/>
                <w:color w:val="C8D8CC"/>
                <w:sz w:val="26"/>
                <w:szCs w:val="26"/>
              </w:rPr>
              <w:t xml:space="preserve">Trusted Giving. Transparent Governance.</w:t>
            </w:r>
          </w:p>
          <w:p>
            <w:pPr>
              <w:spacing w:after="80" w:before="0"/>
              <w:jc w:val="center"/>
            </w:pPr>
            <w:r>
              <w:rPr>
                <w:rFonts w:ascii="Arial" w:cs="Arial" w:eastAsia="Arial" w:hAnsi="Arial"/>
                <w:b/>
                <w:bCs/>
                <w:color w:val="C8922A"/>
                <w:sz w:val="28"/>
                <w:szCs w:val="28"/>
              </w:rPr>
              <w:t xml:space="preserve">Infrastruktur Tadbir Urus Digital Nasional</w:t>
            </w:r>
          </w:p>
          <w:p>
            <w:pPr>
              <w:spacing w:after="0" w:before="0"/>
              <w:jc w:val="center"/>
            </w:pPr>
            <w:r>
              <w:rPr>
                <w:rFonts w:ascii="Arial" w:cs="Arial" w:eastAsia="Arial" w:hAnsi="Arial"/>
                <w:b/>
                <w:bCs/>
                <w:color w:val="C8922A"/>
                <w:sz w:val="28"/>
                <w:szCs w:val="28"/>
              </w:rPr>
              <w:t xml:space="preserve">Bagi Sektor Amal Jariah Islam Malaysia</w:t>
            </w:r>
          </w:p>
        </w:tc>
      </w:tr>
    </w:tbl>
    <w:p>
      <w:pPr>
        <w:spacing w:after="3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10"/>
        <w:gridCol w:w="3008"/>
      </w:tblGrid>
      <w:tr>
        <w:tc>
          <w:tcPr>
            <w:tcW w:type="dxa" w:w="3008"/>
            <w:tcBorders>
              <w:top w:val="none" w:color="FFFFFF" w:sz="0"/>
              <w:left w:val="none" w:color="FFFFFF" w:sz="0"/>
              <w:bottom w:val="none" w:color="FFFFFF" w:sz="0"/>
              <w:right w:val="none" w:color="FFFFFF" w:sz="0"/>
            </w:tcBorders>
            <w:shd w:fill="E8F5ED" w:val="clear"/>
            <w:tcMar>
              <w:top w:type="dxa" w:w="140"/>
              <w:left w:type="dxa" w:w="200"/>
              <w:bottom w:type="dxa" w:w="140"/>
              <w:right w:type="dxa" w:w="200"/>
            </w:tcMar>
          </w:tcPr>
          <w:p>
            <w:pPr>
              <w:spacing w:after="40" w:before="0"/>
              <w:jc w:val="center"/>
            </w:pPr>
            <w:r>
              <w:rPr>
                <w:rFonts w:ascii="Arial" w:cs="Arial" w:eastAsia="Arial" w:hAnsi="Arial"/>
                <w:b/>
                <w:bCs/>
                <w:i w:val="false"/>
                <w:iCs w:val="false"/>
                <w:color w:val="555555"/>
                <w:sz w:val="18"/>
                <w:szCs w:val="18"/>
              </w:rPr>
              <w:t xml:space="preserve">Dikemukakan kepada</w:t>
            </w:r>
          </w:p>
          <w:p>
            <w:pPr>
              <w:spacing w:after="0" w:before="0"/>
              <w:jc w:val="center"/>
            </w:pPr>
            <w:r>
              <w:rPr>
                <w:rFonts w:ascii="Arial" w:cs="Arial" w:eastAsia="Arial" w:hAnsi="Arial"/>
                <w:b/>
                <w:bCs/>
                <w:i w:val="false"/>
                <w:iCs w:val="false"/>
                <w:color w:val="1A4731"/>
                <w:sz w:val="20"/>
                <w:szCs w:val="20"/>
              </w:rPr>
              <w:t xml:space="preserve">MAIN / JAKIM / JAWHAR</w:t>
            </w:r>
          </w:p>
        </w:tc>
        <w:tc>
          <w:tcPr>
            <w:tcW w:type="dxa" w:w="3008"/>
            <w:tcBorders>
              <w:top w:val="none" w:color="FFFFFF" w:sz="0"/>
              <w:left w:val="none" w:color="FFFFFF" w:sz="0"/>
              <w:bottom w:val="none" w:color="FFFFFF" w:sz="0"/>
              <w:right w:val="none" w:color="FFFFFF" w:sz="0"/>
            </w:tcBorders>
            <w:shd w:fill="E8F5ED" w:val="clear"/>
            <w:tcMar>
              <w:top w:type="dxa" w:w="140"/>
              <w:left w:type="dxa" w:w="200"/>
              <w:bottom w:type="dxa" w:w="140"/>
              <w:right w:type="dxa" w:w="200"/>
            </w:tcMar>
          </w:tcPr>
          <w:p>
            <w:pPr>
              <w:spacing w:after="40" w:before="0"/>
              <w:jc w:val="center"/>
            </w:pPr>
            <w:r>
              <w:rPr>
                <w:rFonts w:ascii="Arial" w:cs="Arial" w:eastAsia="Arial" w:hAnsi="Arial"/>
                <w:b/>
                <w:bCs/>
                <w:i w:val="false"/>
                <w:iCs w:val="false"/>
                <w:color w:val="555555"/>
                <w:sz w:val="18"/>
                <w:szCs w:val="18"/>
              </w:rPr>
              <w:t xml:space="preserve">Pemohon</w:t>
            </w:r>
          </w:p>
          <w:p>
            <w:pPr>
              <w:spacing w:after="0" w:before="0"/>
              <w:jc w:val="center"/>
            </w:pPr>
            <w:r>
              <w:rPr>
                <w:rFonts w:ascii="Arial" w:cs="Arial" w:eastAsia="Arial" w:hAnsi="Arial"/>
                <w:b/>
                <w:bCs/>
                <w:i w:val="false"/>
                <w:iCs w:val="false"/>
                <w:color w:val="1A4731"/>
                <w:sz w:val="20"/>
                <w:szCs w:val="20"/>
              </w:rPr>
              <w:t xml:space="preserve">Effort Studio / Darya Malak</w:t>
            </w:r>
          </w:p>
        </w:tc>
        <w:tc>
          <w:tcPr>
            <w:tcW w:type="dxa" w:w="3008"/>
            <w:tcBorders>
              <w:top w:val="none" w:color="FFFFFF" w:sz="0"/>
              <w:left w:val="none" w:color="FFFFFF" w:sz="0"/>
              <w:bottom w:val="none" w:color="FFFFFF" w:sz="0"/>
              <w:right w:val="none" w:color="FFFFFF" w:sz="0"/>
            </w:tcBorders>
            <w:shd w:fill="E8F5ED" w:val="clear"/>
            <w:tcMar>
              <w:top w:type="dxa" w:w="140"/>
              <w:left w:type="dxa" w:w="200"/>
              <w:bottom w:type="dxa" w:w="140"/>
              <w:right w:type="dxa" w:w="200"/>
            </w:tcMar>
          </w:tcPr>
          <w:p>
            <w:pPr>
              <w:spacing w:after="40" w:before="0"/>
              <w:jc w:val="center"/>
            </w:pPr>
            <w:r>
              <w:rPr>
                <w:rFonts w:ascii="Arial" w:cs="Arial" w:eastAsia="Arial" w:hAnsi="Arial"/>
                <w:b/>
                <w:bCs/>
                <w:i w:val="false"/>
                <w:iCs w:val="false"/>
                <w:color w:val="555555"/>
                <w:sz w:val="18"/>
                <w:szCs w:val="18"/>
              </w:rPr>
              <w:t xml:space="preserve">Permohonan Dana</w:t>
            </w:r>
          </w:p>
          <w:p>
            <w:pPr>
              <w:spacing w:after="0" w:before="0"/>
              <w:jc w:val="center"/>
            </w:pPr>
            <w:r>
              <w:rPr>
                <w:rFonts w:ascii="Arial" w:cs="Arial" w:eastAsia="Arial" w:hAnsi="Arial"/>
                <w:b/>
                <w:bCs/>
                <w:i w:val="false"/>
                <w:iCs w:val="false"/>
                <w:color w:val="1A4731"/>
                <w:sz w:val="20"/>
                <w:szCs w:val="20"/>
              </w:rPr>
              <w:t xml:space="preserve">RM 550,000</w:t>
            </w:r>
          </w:p>
        </w:tc>
      </w:tr>
    </w:tbl>
    <w:p>
      <w:pPr>
        <w:spacing w:after="240" w:before="0"/>
      </w:pPr>
    </w:p>
    <w:p>
      <w:pPr>
        <w:spacing w:after="40" w:before="0"/>
        <w:jc w:val="center"/>
      </w:pPr>
      <w:r>
        <w:rPr>
          <w:rFonts w:ascii="Arial" w:cs="Arial" w:eastAsia="Arial" w:hAnsi="Arial"/>
          <w:b w:val="false"/>
          <w:bCs w:val="false"/>
          <w:i/>
          <w:iCs/>
          <w:color w:val="1A4731"/>
          <w:sz w:val="28"/>
          <w:szCs w:val="28"/>
        </w:rPr>
        <w:t xml:space="preserve">بِسْمِ اللّـهِ الرَّحْمٰنِ الرَّحِيْمِ</w:t>
      </w:r>
    </w:p>
    <w:p>
      <w:pPr>
        <w:spacing w:after="0" w:before="0"/>
        <w:jc w:val="center"/>
      </w:pPr>
      <w:r>
        <w:rPr>
          <w:rFonts w:ascii="Arial" w:cs="Arial" w:eastAsia="Arial" w:hAnsi="Arial"/>
          <w:b w:val="false"/>
          <w:bCs w:val="false"/>
          <w:i/>
          <w:iCs/>
          <w:color w:val="2D7A4F"/>
          <w:sz w:val="22"/>
          <w:szCs w:val="22"/>
        </w:rPr>
        <w:t xml:space="preserve">Bismillahirrahmanirrahim</w:t>
      </w:r>
    </w:p>
    <w:p>
      <w:pPr>
        <w:spacing w:after="0" w:before="0"/>
      </w:pPr>
      <w:r>
        <w:br w:type="page"/>
      </w:r>
    </w:p>
    <w:p>
      <w:pPr>
        <w:pStyle w:val="Heading1"/>
        <w:shd w:fill="1A4731" w:val="clear"/>
        <w:spacing w:after="160" w:before="0"/>
        <w:ind w:left="360" w:right="360"/>
      </w:pPr>
      <w:r>
        <w:rPr>
          <w:rFonts w:ascii="Arial" w:cs="Arial" w:eastAsia="Arial" w:hAnsi="Arial"/>
          <w:b/>
          <w:bCs/>
          <w:color w:val="FFFFFF"/>
          <w:sz w:val="34"/>
          <w:szCs w:val="34"/>
        </w:rPr>
        <w:t xml:space="preserve">Ringkasan Eksekutif</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DF6E3" w:val="clear"/>
            <w:tcMar>
              <w:top w:type="dxa" w:w="160"/>
              <w:left w:type="dxa" w:w="240"/>
              <w:bottom w:type="dxa" w:w="160"/>
              <w:right w:type="dxa" w:w="240"/>
            </w:tcMar>
          </w:tcPr>
          <w:p>
            <w:pPr>
              <w:spacing w:after="0" w:before="0"/>
            </w:pPr>
            <w:r>
              <w:rPr>
                <w:rFonts w:ascii="Arial" w:cs="Arial" w:eastAsia="Arial" w:hAnsi="Arial"/>
                <w:b/>
                <w:bCs/>
                <w:color w:val="C8922A"/>
                <w:sz w:val="22"/>
                <w:szCs w:val="22"/>
              </w:rPr>
              <w:t xml:space="preserve">إِنَّ اللّـهَ يَأْمُرُكُمْ أَنْ تُؤَدُّوا الْأَمَانَاتِ إِلَى أَهْلِهَا  </w:t>
            </w:r>
            <w:r>
              <w:rPr>
                <w:rFonts w:ascii="Arial" w:cs="Arial" w:eastAsia="Arial" w:hAnsi="Arial"/>
                <w:color w:val="1A1A1A"/>
                <w:sz w:val="22"/>
                <w:szCs w:val="22"/>
              </w:rPr>
              <w:t xml:space="preserve">"Sesungguhnya Allah menyuruh kamu menyampaikan amanah kepada yang berhak menerimanya." — Surah An-Nisa, 4:58</w:t>
            </w:r>
          </w:p>
        </w:tc>
      </w:tr>
    </w:tbl>
    <w:p>
      <w:pPr>
        <w:spacing w:after="120" w:before="0"/>
      </w:pPr>
    </w:p>
    <w:p>
      <w:pPr>
        <w:spacing w:after="100" w:before="80"/>
        <w:jc w:val="both"/>
      </w:pPr>
      <w:r>
        <w:rPr>
          <w:rFonts w:ascii="Arial" w:cs="Arial" w:eastAsia="Arial" w:hAnsi="Arial"/>
          <w:b w:val="false"/>
          <w:bCs w:val="false"/>
          <w:i w:val="false"/>
          <w:iCs w:val="false"/>
          <w:color w:val="1A1A1A"/>
          <w:sz w:val="22"/>
          <w:szCs w:val="22"/>
        </w:rPr>
        <w:t xml:space="preserve">Effort Studio dengan hormatnya mengemukakan cadangan geran ini untuk permohonan dana sebanyak </w:t>
      </w:r>
      <w:r>
        <w:rPr>
          <w:rFonts w:ascii="Arial" w:cs="Arial" w:eastAsia="Arial" w:hAnsi="Arial"/>
          <w:b/>
          <w:bCs/>
          <w:i w:val="false"/>
          <w:iCs w:val="false"/>
          <w:color w:val="1A1A1A"/>
          <w:sz w:val="22"/>
          <w:szCs w:val="22"/>
        </w:rPr>
        <w:t xml:space="preserve">RM 550,000</w:t>
      </w:r>
      <w:r>
        <w:rPr>
          <w:rFonts w:ascii="Arial" w:cs="Arial" w:eastAsia="Arial" w:hAnsi="Arial"/>
          <w:b w:val="false"/>
          <w:bCs w:val="false"/>
          <w:i w:val="false"/>
          <w:iCs w:val="false"/>
          <w:color w:val="1A1A1A"/>
          <w:sz w:val="22"/>
          <w:szCs w:val="22"/>
        </w:rPr>
        <w:t xml:space="preserve"> bagi membiayai pelancaran 12-bulan projek perintis </w:t>
      </w:r>
      <w:r>
        <w:rPr>
          <w:rFonts w:ascii="Arial" w:cs="Arial" w:eastAsia="Arial" w:hAnsi="Arial"/>
          <w:b/>
          <w:bCs/>
          <w:i w:val="false"/>
          <w:iCs w:val="false"/>
          <w:color w:val="1A1A1A"/>
          <w:sz w:val="22"/>
          <w:szCs w:val="22"/>
        </w:rPr>
        <w:t xml:space="preserve">Amanah Governance Platform (AGP)</w:t>
      </w:r>
      <w:r>
        <w:rPr>
          <w:rFonts w:ascii="Arial" w:cs="Arial" w:eastAsia="Arial" w:hAnsi="Arial"/>
          <w:b w:val="false"/>
          <w:bCs w:val="false"/>
          <w:i w:val="false"/>
          <w:iCs w:val="false"/>
          <w:color w:val="1A1A1A"/>
          <w:sz w:val="22"/>
          <w:szCs w:val="22"/>
        </w:rPr>
        <w:t xml:space="preserve"> — infrastruktur tadbir urus digital pertama di Malaysia yang dibina khas untuk masjid, NGO Islam, badan Waqf, dan institusi zakat.</w:t>
      </w:r>
    </w:p>
    <w:p>
      <w:pPr>
        <w:spacing w:after="60" w:before="0"/>
      </w:pPr>
    </w:p>
    <w:p>
      <w:pPr>
        <w:spacing w:after="100" w:before="80"/>
        <w:jc w:val="both"/>
      </w:pPr>
      <w:r>
        <w:rPr>
          <w:rFonts w:ascii="Arial" w:cs="Arial" w:eastAsia="Arial" w:hAnsi="Arial"/>
          <w:b w:val="false"/>
          <w:bCs w:val="false"/>
          <w:i w:val="false"/>
          <w:iCs w:val="false"/>
          <w:color w:val="1A1A1A"/>
          <w:sz w:val="22"/>
          <w:szCs w:val="22"/>
        </w:rPr>
        <w:t xml:space="preserve">Sektor filantropi Islam Malaysia merangkumi pengumpulan Zakat melebihi </w:t>
      </w:r>
      <w:r>
        <w:rPr>
          <w:rFonts w:ascii="Arial" w:cs="Arial" w:eastAsia="Arial" w:hAnsi="Arial"/>
          <w:b/>
          <w:bCs/>
          <w:i w:val="false"/>
          <w:iCs w:val="false"/>
          <w:color w:val="1A1A1A"/>
          <w:sz w:val="22"/>
          <w:szCs w:val="22"/>
        </w:rPr>
        <w:t xml:space="preserve">RM 3.65 bilion setahun</w:t>
      </w:r>
      <w:r>
        <w:rPr>
          <w:rFonts w:ascii="Arial" w:cs="Arial" w:eastAsia="Arial" w:hAnsi="Arial"/>
          <w:b w:val="false"/>
          <w:bCs w:val="false"/>
          <w:i w:val="false"/>
          <w:iCs w:val="false"/>
          <w:color w:val="1A1A1A"/>
          <w:sz w:val="22"/>
          <w:szCs w:val="22"/>
        </w:rPr>
        <w:t xml:space="preserve">, lebih </w:t>
      </w:r>
      <w:r>
        <w:rPr>
          <w:rFonts w:ascii="Arial" w:cs="Arial" w:eastAsia="Arial" w:hAnsi="Arial"/>
          <w:b/>
          <w:bCs/>
          <w:i w:val="false"/>
          <w:iCs w:val="false"/>
          <w:color w:val="1A1A1A"/>
          <w:sz w:val="22"/>
          <w:szCs w:val="22"/>
        </w:rPr>
        <w:t xml:space="preserve">96,722 NGO berdaftar</w:t>
      </w:r>
      <w:r>
        <w:rPr>
          <w:rFonts w:ascii="Arial" w:cs="Arial" w:eastAsia="Arial" w:hAnsi="Arial"/>
          <w:b w:val="false"/>
          <w:bCs w:val="false"/>
          <w:i w:val="false"/>
          <w:iCs w:val="false"/>
          <w:color w:val="1A1A1A"/>
          <w:sz w:val="22"/>
          <w:szCs w:val="22"/>
        </w:rPr>
        <w:t xml:space="preserve">, </w:t>
      </w:r>
      <w:r>
        <w:rPr>
          <w:rFonts w:ascii="Arial" w:cs="Arial" w:eastAsia="Arial" w:hAnsi="Arial"/>
          <w:b/>
          <w:bCs/>
          <w:i w:val="false"/>
          <w:iCs w:val="false"/>
          <w:color w:val="1A1A1A"/>
          <w:sz w:val="22"/>
          <w:szCs w:val="22"/>
        </w:rPr>
        <w:t xml:space="preserve">25,196 masjid dan surau</w:t>
      </w:r>
      <w:r>
        <w:rPr>
          <w:rFonts w:ascii="Arial" w:cs="Arial" w:eastAsia="Arial" w:hAnsi="Arial"/>
          <w:b w:val="false"/>
          <w:bCs w:val="false"/>
          <w:i w:val="false"/>
          <w:iCs w:val="false"/>
          <w:color w:val="1A1A1A"/>
          <w:sz w:val="22"/>
          <w:szCs w:val="22"/>
        </w:rPr>
        <w:t xml:space="preserve">, serta aset Waqf dianggarkan bernilai </w:t>
      </w:r>
      <w:r>
        <w:rPr>
          <w:rFonts w:ascii="Arial" w:cs="Arial" w:eastAsia="Arial" w:hAnsi="Arial"/>
          <w:b/>
          <w:bCs/>
          <w:i w:val="false"/>
          <w:iCs w:val="false"/>
          <w:color w:val="1A1A1A"/>
          <w:sz w:val="22"/>
          <w:szCs w:val="22"/>
        </w:rPr>
        <w:t xml:space="preserve">RM 1.3 trilion</w:t>
      </w:r>
      <w:r>
        <w:rPr>
          <w:rFonts w:ascii="Arial" w:cs="Arial" w:eastAsia="Arial" w:hAnsi="Arial"/>
          <w:b w:val="false"/>
          <w:bCs w:val="false"/>
          <w:i w:val="false"/>
          <w:iCs w:val="false"/>
          <w:color w:val="1A1A1A"/>
          <w:sz w:val="22"/>
          <w:szCs w:val="22"/>
        </w:rPr>
        <w:t xml:space="preserve">. Namun, infrastruktur tadbir urus digital yang menyokong sektor ini masih terpecah-belah, manual, dan tidak telus. Kes-kes penyalahgunaan dana — termasuk kes RM 70 juta Aman Palestin dan RM 26 juta Pertubuhan Kebajikan Serantau Muslim yang kini disiasat SPRM — mencerminkan keperluan mendesak untuk sistem akauntabiliti berstruktur.</w:t>
      </w:r>
    </w:p>
    <w:p>
      <w:pPr>
        <w:spacing w:after="60" w:before="0"/>
      </w:pPr>
    </w:p>
    <w:p>
      <w:pPr>
        <w:spacing w:after="100" w:before="80"/>
        <w:jc w:val="both"/>
      </w:pPr>
      <w:r>
        <w:rPr>
          <w:rFonts w:ascii="Arial" w:cs="Arial" w:eastAsia="Arial" w:hAnsi="Arial"/>
          <w:b w:val="false"/>
          <w:bCs w:val="false"/>
          <w:i w:val="false"/>
          <w:iCs w:val="false"/>
          <w:color w:val="1A1A1A"/>
          <w:sz w:val="22"/>
          <w:szCs w:val="22"/>
        </w:rPr>
        <w:t xml:space="preserve">AGP menjawab jurang ini secara langsung melalui: rangka kerja pensijilan berstruktur lima lapisan (</w:t>
      </w:r>
      <w:r>
        <w:rPr>
          <w:rFonts w:ascii="Arial" w:cs="Arial" w:eastAsia="Arial" w:hAnsi="Arial"/>
          <w:b/>
          <w:bCs/>
          <w:i w:val="false"/>
          <w:iCs w:val="false"/>
          <w:color w:val="1A1A1A"/>
          <w:sz w:val="22"/>
          <w:szCs w:val="22"/>
        </w:rPr>
        <w:t xml:space="preserve">CTCF — Charity Transparency Certification Framework</w:t>
      </w:r>
      <w:r>
        <w:rPr>
          <w:rFonts w:ascii="Arial" w:cs="Arial" w:eastAsia="Arial" w:hAnsi="Arial"/>
          <w:b w:val="false"/>
          <w:bCs w:val="false"/>
          <w:i w:val="false"/>
          <w:iCs w:val="false"/>
          <w:color w:val="1A1A1A"/>
          <w:sz w:val="22"/>
          <w:szCs w:val="22"/>
        </w:rPr>
        <w:t xml:space="preserve">); skor kepercayaan hidup (</w:t>
      </w:r>
      <w:r>
        <w:rPr>
          <w:rFonts w:ascii="Arial" w:cs="Arial" w:eastAsia="Arial" w:hAnsi="Arial"/>
          <w:b/>
          <w:bCs/>
          <w:i w:val="false"/>
          <w:iCs w:val="false"/>
          <w:color w:val="1A1A1A"/>
          <w:sz w:val="22"/>
          <w:szCs w:val="22"/>
        </w:rPr>
        <w:t xml:space="preserve">Amanah Index™</w:t>
      </w:r>
      <w:r>
        <w:rPr>
          <w:rFonts w:ascii="Arial" w:cs="Arial" w:eastAsia="Arial" w:hAnsi="Arial"/>
          <w:b w:val="false"/>
          <w:bCs w:val="false"/>
          <w:i w:val="false"/>
          <w:iCs w:val="false"/>
          <w:color w:val="1A1A1A"/>
          <w:sz w:val="22"/>
          <w:szCs w:val="22"/>
        </w:rPr>
        <w:t xml:space="preserve">); pengurusan bukti persendirian dengan aliran kerja kelulusan penilai; dan portal derma bukan-kustodian yang mengalirkan dana terus kepada organisasi yang diperakui — tanpa AGP menyentuh sebarang wang.</w:t>
      </w:r>
    </w:p>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8F5ED" w:val="clear"/>
            <w:tcMar>
              <w:top w:type="dxa" w:w="160"/>
              <w:left w:type="dxa" w:w="240"/>
              <w:bottom w:type="dxa" w:w="160"/>
              <w:right w:type="dxa" w:w="240"/>
            </w:tcMar>
          </w:tcPr>
          <w:p>
            <w:pPr>
              <w:spacing w:after="0" w:before="0"/>
            </w:pPr>
            <w:r>
              <w:rPr>
                <w:rFonts w:ascii="Arial" w:cs="Arial" w:eastAsia="Arial" w:hAnsi="Arial"/>
                <w:b/>
                <w:bCs/>
                <w:color w:val="2D7A4F"/>
                <w:sz w:val="22"/>
                <w:szCs w:val="22"/>
              </w:rPr>
              <w:t xml:space="preserve">Status Semasa:  </w:t>
            </w:r>
            <w:r>
              <w:rPr>
                <w:rFonts w:ascii="Arial" w:cs="Arial" w:eastAsia="Arial" w:hAnsi="Arial"/>
                <w:color w:val="1A1A1A"/>
                <w:sz w:val="22"/>
                <w:szCs w:val="22"/>
              </w:rPr>
              <w:t xml:space="preserve">Platform Fasa 1 telah siap dibina dan digunakan. Permohonan geran ini bukan untuk membiayai prototaip — ia untuk penggunaan perintis, latihan, dan penginstitusian secara nasional.</w:t>
            </w:r>
          </w:p>
        </w:tc>
      </w:tr>
    </w:tbl>
    <w:p>
      <w:pPr>
        <w:spacing w:after="160" w:before="0"/>
      </w:pPr>
    </w:p>
    <w:p>
      <w:pPr>
        <w:pStyle w:val="Heading1"/>
        <w:shd w:fill="1A4731" w:val="clear"/>
        <w:spacing w:after="160" w:before="0"/>
        <w:ind w:left="360" w:right="360"/>
      </w:pPr>
      <w:r>
        <w:rPr>
          <w:rFonts w:ascii="Arial" w:cs="Arial" w:eastAsia="Arial" w:hAnsi="Arial"/>
          <w:b/>
          <w:bCs/>
          <w:color w:val="FFFFFF"/>
          <w:sz w:val="34"/>
          <w:szCs w:val="34"/>
        </w:rPr>
        <w:t xml:space="preserve">Executive Summary (English)</w:t>
      </w:r>
    </w:p>
    <w:p>
      <w:pPr>
        <w:spacing w:after="80" w:before="0"/>
      </w:pPr>
    </w:p>
    <w:p>
      <w:pPr>
        <w:spacing w:after="100" w:before="80"/>
        <w:jc w:val="both"/>
      </w:pPr>
      <w:r>
        <w:rPr>
          <w:rFonts w:ascii="Arial" w:cs="Arial" w:eastAsia="Arial" w:hAnsi="Arial"/>
          <w:b w:val="false"/>
          <w:bCs w:val="false"/>
          <w:i w:val="false"/>
          <w:iCs w:val="false"/>
          <w:color w:val="1A1A1A"/>
          <w:sz w:val="22"/>
          <w:szCs w:val="22"/>
        </w:rPr>
        <w:t xml:space="preserve">Effort Studio respectfully requests </w:t>
      </w:r>
      <w:r>
        <w:rPr>
          <w:rFonts w:ascii="Arial" w:cs="Arial" w:eastAsia="Arial" w:hAnsi="Arial"/>
          <w:b/>
          <w:bCs/>
          <w:i w:val="false"/>
          <w:iCs w:val="false"/>
          <w:color w:val="1A1A1A"/>
          <w:sz w:val="22"/>
          <w:szCs w:val="22"/>
        </w:rPr>
        <w:t xml:space="preserve">RM 550,000</w:t>
      </w:r>
      <w:r>
        <w:rPr>
          <w:rFonts w:ascii="Arial" w:cs="Arial" w:eastAsia="Arial" w:hAnsi="Arial"/>
          <w:b w:val="false"/>
          <w:bCs w:val="false"/>
          <w:i w:val="false"/>
          <w:iCs w:val="false"/>
          <w:color w:val="1A1A1A"/>
          <w:sz w:val="22"/>
          <w:szCs w:val="22"/>
        </w:rPr>
        <w:t xml:space="preserve"> in institutional grant funding to support the 12-month pilot deployment and national institutionalisation of the </w:t>
      </w:r>
      <w:r>
        <w:rPr>
          <w:rFonts w:ascii="Arial" w:cs="Arial" w:eastAsia="Arial" w:hAnsi="Arial"/>
          <w:b/>
          <w:bCs/>
          <w:i w:val="false"/>
          <w:iCs w:val="false"/>
          <w:color w:val="1A1A1A"/>
          <w:sz w:val="22"/>
          <w:szCs w:val="22"/>
        </w:rPr>
        <w:t xml:space="preserve">Amanah Governance Platform (AGP)</w:t>
      </w:r>
      <w:r>
        <w:rPr>
          <w:rFonts w:ascii="Arial" w:cs="Arial" w:eastAsia="Arial" w:hAnsi="Arial"/>
          <w:b w:val="false"/>
          <w:bCs w:val="false"/>
          <w:i w:val="false"/>
          <w:iCs w:val="false"/>
          <w:color w:val="1A1A1A"/>
          <w:sz w:val="22"/>
          <w:szCs w:val="22"/>
        </w:rPr>
        <w:t xml:space="preserve"> — Malaysia’s first purpose-built digital governance and transparency infrastructure for Islamic charities, mosques, Waqf institutions, and Zakat bodies.</w:t>
      </w:r>
    </w:p>
    <w:p>
      <w:pPr>
        <w:spacing w:after="60" w:before="0"/>
      </w:pPr>
    </w:p>
    <w:p>
      <w:pPr>
        <w:spacing w:after="100" w:before="80"/>
        <w:jc w:val="both"/>
      </w:pPr>
      <w:r>
        <w:rPr>
          <w:rFonts w:ascii="Arial" w:cs="Arial" w:eastAsia="Arial" w:hAnsi="Arial"/>
          <w:b w:val="false"/>
          <w:bCs w:val="false"/>
          <w:i w:val="false"/>
          <w:iCs w:val="false"/>
          <w:color w:val="1A1A1A"/>
          <w:sz w:val="22"/>
          <w:szCs w:val="22"/>
        </w:rPr>
        <w:t xml:space="preserve">We submit this proposal to MAIN, JAKIM, and JAWHAR as the natural governance anchors of this initiative. The platform is grounded in the three pillars that these institutions were established to protect: </w:t>
      </w:r>
      <w:r>
        <w:rPr>
          <w:rFonts w:ascii="Arial" w:cs="Arial" w:eastAsia="Arial" w:hAnsi="Arial"/>
          <w:b/>
          <w:bCs/>
          <w:i w:val="false"/>
          <w:iCs w:val="false"/>
          <w:color w:val="1A1A1A"/>
          <w:sz w:val="22"/>
          <w:szCs w:val="22"/>
        </w:rPr>
        <w:t xml:space="preserve">Amanah</w:t>
      </w:r>
      <w:r>
        <w:rPr>
          <w:rFonts w:ascii="Arial" w:cs="Arial" w:eastAsia="Arial" w:hAnsi="Arial"/>
          <w:b w:val="false"/>
          <w:bCs w:val="false"/>
          <w:i w:val="false"/>
          <w:iCs w:val="false"/>
          <w:color w:val="1A1A1A"/>
          <w:sz w:val="22"/>
          <w:szCs w:val="22"/>
        </w:rPr>
        <w:t xml:space="preserve"> (trust), </w:t>
      </w:r>
      <w:r>
        <w:rPr>
          <w:rFonts w:ascii="Arial" w:cs="Arial" w:eastAsia="Arial" w:hAnsi="Arial"/>
          <w:b/>
          <w:bCs/>
          <w:i w:val="false"/>
          <w:iCs w:val="false"/>
          <w:color w:val="1A1A1A"/>
          <w:sz w:val="22"/>
          <w:szCs w:val="22"/>
        </w:rPr>
        <w:t xml:space="preserve">Shafafiyyah</w:t>
      </w:r>
      <w:r>
        <w:rPr>
          <w:rFonts w:ascii="Arial" w:cs="Arial" w:eastAsia="Arial" w:hAnsi="Arial"/>
          <w:b w:val="false"/>
          <w:bCs w:val="false"/>
          <w:i w:val="false"/>
          <w:iCs w:val="false"/>
          <w:color w:val="1A1A1A"/>
          <w:sz w:val="22"/>
          <w:szCs w:val="22"/>
        </w:rPr>
        <w:t xml:space="preserve"> (transparency), and </w:t>
      </w:r>
      <w:r>
        <w:rPr>
          <w:rFonts w:ascii="Arial" w:cs="Arial" w:eastAsia="Arial" w:hAnsi="Arial"/>
          <w:b/>
          <w:bCs/>
          <w:i w:val="false"/>
          <w:iCs w:val="false"/>
          <w:color w:val="1A1A1A"/>
          <w:sz w:val="22"/>
          <w:szCs w:val="22"/>
        </w:rPr>
        <w:t xml:space="preserve">Mas’uliyyah</w:t>
      </w:r>
      <w:r>
        <w:rPr>
          <w:rFonts w:ascii="Arial" w:cs="Arial" w:eastAsia="Arial" w:hAnsi="Arial"/>
          <w:b w:val="false"/>
          <w:bCs w:val="false"/>
          <w:i w:val="false"/>
          <w:iCs w:val="false"/>
          <w:color w:val="1A1A1A"/>
          <w:sz w:val="22"/>
          <w:szCs w:val="22"/>
        </w:rPr>
        <w:t xml:space="preserve"> (accountability). AGP is not a competing system — it is the digital infrastructure layer that makes the governance mandate of MAIN, JAKIM, and JAWHAR verifiable, scalable, and visible to the Malaysian public.</w:t>
      </w:r>
    </w:p>
    <w:p>
      <w:pPr>
        <w:spacing w:after="60" w:before="0"/>
      </w:pPr>
    </w:p>
    <w:p>
      <w:pPr>
        <w:spacing w:after="100" w:before="80"/>
        <w:jc w:val="both"/>
      </w:pPr>
      <w:r>
        <w:rPr>
          <w:rFonts w:ascii="Arial" w:cs="Arial" w:eastAsia="Arial" w:hAnsi="Arial"/>
          <w:b w:val="false"/>
          <w:bCs w:val="false"/>
          <w:i w:val="false"/>
          <w:iCs w:val="false"/>
          <w:color w:val="1A1A1A"/>
          <w:sz w:val="22"/>
          <w:szCs w:val="22"/>
        </w:rPr>
        <w:t xml:space="preserve">The timing is urgent. MACC is investigating multiple NGOs for fund misappropriation. The Amanah Palestin case (‘RM 70 million alleged misuse’), the Serantau case (RM 26 million), and a confirmed probe into more than five fundraising organisations in 2026 demonstrate that informal trust can no longer govern a sector mobilising billions annually. The infrastructure of amanah must be digital, structured, and independently verifiable.</w:t>
      </w:r>
    </w:p>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DF6E3" w:val="clear"/>
            <w:tcMar>
              <w:top w:type="dxa" w:w="160"/>
              <w:left w:type="dxa" w:w="240"/>
              <w:bottom w:type="dxa" w:w="160"/>
              <w:right w:type="dxa" w:w="240"/>
            </w:tcMar>
          </w:tcPr>
          <w:p>
            <w:pPr>
              <w:spacing w:after="0" w:before="0"/>
            </w:pPr>
            <w:r>
              <w:rPr>
                <w:rFonts w:ascii="Arial" w:cs="Arial" w:eastAsia="Arial" w:hAnsi="Arial"/>
                <w:b/>
                <w:bCs/>
                <w:color w:val="C8922A"/>
                <w:sz w:val="22"/>
                <w:szCs w:val="22"/>
              </w:rPr>
              <w:t xml:space="preserve">Funding Request:  </w:t>
            </w:r>
            <w:r>
              <w:rPr>
                <w:rFonts w:ascii="Arial" w:cs="Arial" w:eastAsia="Arial" w:hAnsi="Arial"/>
                <w:color w:val="1A1A1A"/>
                <w:sz w:val="22"/>
                <w:szCs w:val="22"/>
              </w:rPr>
              <w:t xml:space="preserve">RM 550,000 for 12 months covering pilot deployment, onboarding, reviewer training, monitoring &amp; evaluation, and national rollout planning. AGP Phase 1 is already built and live.</w:t>
            </w:r>
          </w:p>
        </w:tc>
      </w:tr>
    </w:tbl>
    <w:p>
      <w:pPr>
        <w:spacing w:after="0" w:before="0"/>
      </w:pPr>
      <w:r>
        <w:br w:type="page"/>
      </w:r>
    </w:p>
    <w:p>
      <w:pPr>
        <w:pStyle w:val="Heading1"/>
        <w:shd w:fill="1A4731" w:val="clear"/>
        <w:spacing w:after="160" w:before="0"/>
        <w:ind w:left="360" w:right="360"/>
      </w:pPr>
      <w:r>
        <w:rPr>
          <w:rFonts w:ascii="Arial" w:cs="Arial" w:eastAsia="Arial" w:hAnsi="Arial"/>
          <w:b/>
          <w:bCs/>
          <w:color w:val="FFFFFF"/>
          <w:sz w:val="34"/>
          <w:szCs w:val="34"/>
        </w:rPr>
        <w:t xml:space="preserve">Kerangka Maqasid al-Shariah</w:t>
      </w:r>
    </w:p>
    <w:p>
      <w:pPr>
        <w:spacing w:after="80" w:before="0"/>
      </w:pPr>
    </w:p>
    <w:p>
      <w:pPr>
        <w:spacing w:after="100" w:before="80"/>
        <w:jc w:val="both"/>
      </w:pPr>
      <w:r>
        <w:rPr>
          <w:rFonts w:ascii="Arial" w:cs="Arial" w:eastAsia="Arial" w:hAnsi="Arial"/>
          <w:b w:val="false"/>
          <w:bCs w:val="false"/>
          <w:i w:val="false"/>
          <w:iCs w:val="false"/>
          <w:color w:val="1A1A1A"/>
          <w:sz w:val="22"/>
          <w:szCs w:val="22"/>
        </w:rPr>
        <w:t xml:space="preserve">AGP dibina berasaskan lima objektif Shariah (Maqasid al-Shariah) sebagai teras reka bentuk platformnya, bukan sebagai tambahan kemudian. Setiap ciri teknikal utama peta secara langsung kepada salah satu Maqasid:</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c>
          <w:tcPr>
            <w:tcW w:type="dxa" w:w="3400"/>
            <w:tcBorders>
              <w:top w:val="single" w:color="DDDDDD" w:sz="1"/>
              <w:left w:val="single" w:color="DDDDDD" w:sz="1"/>
              <w:bottom w:val="single" w:color="DDDDDD" w:sz="1"/>
              <w:right w:val="single" w:color="DDDDDD" w:sz="1"/>
            </w:tcBorders>
            <w:shd w:fill="1A4731" w:val="clear"/>
            <w:tcMar>
              <w:top w:type="dxa" w:w="80"/>
              <w:left w:type="dxa" w:w="160"/>
              <w:bottom w:type="dxa" w:w="80"/>
              <w:right w:type="dxa" w:w="160"/>
            </w:tcMar>
          </w:tcPr>
          <w:p>
            <w:r>
              <w:rPr>
                <w:rFonts w:ascii="Arial" w:cs="Arial" w:eastAsia="Arial" w:hAnsi="Arial"/>
                <w:b/>
                <w:bCs/>
                <w:color w:val="FFFFFF"/>
                <w:sz w:val="20"/>
                <w:szCs w:val="20"/>
              </w:rPr>
              <w:t xml:space="preserve">Maqasid al-Shariah</w:t>
            </w:r>
          </w:p>
        </w:tc>
        <w:tc>
          <w:tcPr>
            <w:tcW w:type="dxa" w:w="5626"/>
            <w:tcBorders>
              <w:top w:val="single" w:color="DDDDDD" w:sz="1"/>
              <w:left w:val="single" w:color="DDDDDD" w:sz="1"/>
              <w:bottom w:val="single" w:color="DDDDDD" w:sz="1"/>
              <w:right w:val="single" w:color="DDDDDD" w:sz="1"/>
            </w:tcBorders>
            <w:shd w:fill="1A4731" w:val="clear"/>
            <w:tcMar>
              <w:top w:type="dxa" w:w="80"/>
              <w:left w:type="dxa" w:w="160"/>
              <w:bottom w:type="dxa" w:w="80"/>
              <w:right w:type="dxa" w:w="160"/>
            </w:tcMar>
          </w:tcPr>
          <w:p>
            <w:r>
              <w:rPr>
                <w:rFonts w:ascii="Arial" w:cs="Arial" w:eastAsia="Arial" w:hAnsi="Arial"/>
                <w:color w:val="FFFFFF"/>
                <w:sz w:val="20"/>
                <w:szCs w:val="20"/>
              </w:rPr>
              <w:t xml:space="preserve">Perlaksanaan dalam AGP</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حفظ الدّين — Hifz al-Deen (Pemeliharaan Agama)</w:t>
            </w:r>
          </w:p>
        </w:tc>
        <w:tc>
          <w:tcPr>
            <w:tcW w:type="dxa" w:w="56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AGP memperkukuh kepercayaan terhadap institusi amal Islam melalui pensijilan berstruktur, meningkatkan integriti pemberian agama, dan menjadikan tadbir urus Syariah kelihatan dan boleh disahkan secara awam.</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حفظ المَال — Hifz al-Maal (Pemeliharaan Harta)</w:t>
            </w:r>
          </w:p>
        </w:tc>
        <w:tc>
          <w:tcPr>
            <w:tcW w:type="dxa" w:w="56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Pengurusan aset Waqf berstruktur, pengasingan dana Zakat, jejak pengagihan, dan audit tidak boleh diubah menghalang pembaziran dan penyelewengan.</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حفظ النَّفس — Hifz al-Nafs (Pemeliharaan Jiwa)</w:t>
            </w:r>
          </w:p>
        </w:tc>
        <w:tc>
          <w:tcPr>
            <w:tcW w:type="dxa" w:w="56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Pengagihan asnaf yang lebih cekap dan boleh ditelusuri memastikan dana sampai kepada penerima yang betul. Ketelusan profil awam menyokong keputusan derma untuk kebajikan nyata.</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حفظ العَقْل — Hifz al-Aql (Pemeliharaan Akal)</w:t>
            </w:r>
          </w:p>
        </w:tc>
        <w:tc>
          <w:tcPr>
            <w:tcW w:type="dxa" w:w="56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Papan pemuka analitik dan laporan trend membolehkan MAIN, JAKIM, dan JAWHAR membuat keputusan berasaskan bukti — bukan pada andaian atau periksa manual.</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حفظ النَّسْل — Hifz al-Nasl (Pemeliharaan Keturunan)</w:t>
            </w:r>
          </w:p>
        </w:tc>
        <w:tc>
          <w:tcPr>
            <w:tcW w:type="dxa" w:w="56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Infrastruktur tadbir urus yang mampan memastikan pemberian Islam kekal berterusan untuk generasi akan datang — ini adalah intipati jariah.</w:t>
            </w:r>
          </w:p>
        </w:tc>
      </w:tr>
    </w:tbl>
    <w:p>
      <w:pPr>
        <w:spacing w:after="0" w:before="0"/>
      </w:pPr>
      <w:r>
        <w:br w:type="page"/>
      </w:r>
    </w:p>
    <w:p>
      <w:pPr>
        <w:pStyle w:val="Heading1"/>
        <w:shd w:fill="1A4731" w:val="clear"/>
        <w:spacing w:after="160" w:before="0"/>
        <w:ind w:left="360" w:right="360"/>
      </w:pPr>
      <w:r>
        <w:rPr>
          <w:rFonts w:ascii="Arial" w:cs="Arial" w:eastAsia="Arial" w:hAnsi="Arial"/>
          <w:b/>
          <w:bCs/>
          <w:color w:val="FFFFFF"/>
          <w:sz w:val="34"/>
          <w:szCs w:val="34"/>
        </w:rPr>
        <w:t xml:space="preserve">2. The Problem: A Crisis of Institutional Trust</w:t>
      </w:r>
    </w:p>
    <w:p>
      <w:pPr>
        <w:spacing w:after="80" w:before="0"/>
      </w:pPr>
    </w:p>
    <w:p>
      <w:pPr>
        <w:pStyle w:val="Heading2"/>
        <w:pBdr>
          <w:bottom w:val="single" w:color="C8922A" w:sz="6" w:space="4"/>
        </w:pBdr>
        <w:spacing w:after="100" w:before="280"/>
      </w:pPr>
      <w:r>
        <w:rPr>
          <w:rFonts w:ascii="Arial" w:cs="Arial" w:eastAsia="Arial" w:hAnsi="Arial"/>
          <w:b/>
          <w:bCs/>
          <w:color w:val="1A4731"/>
          <w:sz w:val="27"/>
          <w:szCs w:val="27"/>
        </w:rPr>
        <w:t xml:space="preserve">2.1  The Scale of Malaysia's Islamic Philanthropy Sector</w:t>
      </w:r>
    </w:p>
    <w:p>
      <w:pPr>
        <w:spacing w:after="100" w:before="80"/>
        <w:jc w:val="both"/>
      </w:pPr>
      <w:r>
        <w:rPr>
          <w:rFonts w:ascii="Arial" w:cs="Arial" w:eastAsia="Arial" w:hAnsi="Arial"/>
          <w:b w:val="false"/>
          <w:bCs w:val="false"/>
          <w:i w:val="false"/>
          <w:iCs w:val="false"/>
          <w:color w:val="1A1A1A"/>
          <w:sz w:val="22"/>
          <w:szCs w:val="22"/>
        </w:rPr>
        <w:t xml:space="preserve">The Islamic social finance sector in Malaysia is among the largest per-capita in the world, yet operates with governance infrastructure designed for a much smaller, pre-digital era.</w:t>
      </w:r>
    </w:p>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7"/>
        <w:gridCol w:w="2257"/>
        <w:gridCol w:w="2256"/>
      </w:tblGrid>
      <w:tr>
        <w:tc>
          <w:tcPr>
            <w:tcW w:type="dxa" w:w="2256"/>
            <w:tcBorders>
              <w:top w:val="none" w:color="FFFFFF" w:sz="0"/>
              <w:left w:val="none" w:color="FFFFFF" w:sz="0"/>
              <w:bottom w:val="none" w:color="FFFFFF" w:sz="0"/>
              <w:right w:val="none" w:color="FFFFFF" w:sz="0"/>
            </w:tcBorders>
            <w:shd w:fill="E8F5ED" w:val="clear"/>
            <w:tcMar>
              <w:top w:type="dxa" w:w="160"/>
              <w:left w:type="dxa" w:w="180"/>
              <w:bottom w:type="dxa" w:w="160"/>
              <w:right w:type="dxa" w:w="180"/>
            </w:tcMar>
          </w:tcPr>
          <w:p>
            <w:pPr>
              <w:spacing w:after="40" w:before="0"/>
              <w:jc w:val="center"/>
            </w:pPr>
            <w:r>
              <w:rPr>
                <w:rFonts w:ascii="Arial" w:cs="Arial" w:eastAsia="Arial" w:hAnsi="Arial"/>
                <w:b/>
                <w:bCs/>
                <w:i w:val="false"/>
                <w:iCs w:val="false"/>
                <w:color w:val="2D7A4F"/>
                <w:sz w:val="30"/>
                <w:szCs w:val="30"/>
              </w:rPr>
              <w:t xml:space="preserve">RM 1.22B</w:t>
            </w:r>
          </w:p>
          <w:p>
            <w:pPr>
              <w:spacing w:after="0" w:before="0"/>
              <w:jc w:val="center"/>
            </w:pPr>
            <w:r>
              <w:rPr>
                <w:rFonts w:ascii="Arial" w:cs="Arial" w:eastAsia="Arial" w:hAnsi="Arial"/>
                <w:b w:val="false"/>
                <w:bCs w:val="false"/>
                <w:i w:val="false"/>
                <w:iCs w:val="false"/>
                <w:color w:val="555555"/>
                <w:sz w:val="18"/>
                <w:szCs w:val="18"/>
              </w:rPr>
              <w:t xml:space="preserve">LZS Zakat collection, Selangor 2024 (record)</w:t>
            </w:r>
          </w:p>
        </w:tc>
        <w:tc>
          <w:tcPr>
            <w:tcW w:type="dxa" w:w="2256"/>
            <w:tcBorders>
              <w:top w:val="none" w:color="FFFFFF" w:sz="0"/>
              <w:left w:val="none" w:color="FFFFFF" w:sz="0"/>
              <w:bottom w:val="none" w:color="FFFFFF" w:sz="0"/>
              <w:right w:val="none" w:color="FFFFFF" w:sz="0"/>
            </w:tcBorders>
            <w:shd w:fill="E8F5ED" w:val="clear"/>
            <w:tcMar>
              <w:top w:type="dxa" w:w="160"/>
              <w:left w:type="dxa" w:w="180"/>
              <w:bottom w:type="dxa" w:w="160"/>
              <w:right w:type="dxa" w:w="180"/>
            </w:tcMar>
          </w:tcPr>
          <w:p>
            <w:pPr>
              <w:spacing w:after="40" w:before="0"/>
              <w:jc w:val="center"/>
            </w:pPr>
            <w:r>
              <w:rPr>
                <w:rFonts w:ascii="Arial" w:cs="Arial" w:eastAsia="Arial" w:hAnsi="Arial"/>
                <w:b/>
                <w:bCs/>
                <w:i w:val="false"/>
                <w:iCs w:val="false"/>
                <w:color w:val="2D7A4F"/>
                <w:sz w:val="30"/>
                <w:szCs w:val="30"/>
              </w:rPr>
              <w:t xml:space="preserve">RM 1.13B</w:t>
            </w:r>
          </w:p>
          <w:p>
            <w:pPr>
              <w:spacing w:after="0" w:before="0"/>
              <w:jc w:val="center"/>
            </w:pPr>
            <w:r>
              <w:rPr>
                <w:rFonts w:ascii="Arial" w:cs="Arial" w:eastAsia="Arial" w:hAnsi="Arial"/>
                <w:b w:val="false"/>
                <w:bCs w:val="false"/>
                <w:i w:val="false"/>
                <w:iCs w:val="false"/>
                <w:color w:val="555555"/>
                <w:sz w:val="18"/>
                <w:szCs w:val="18"/>
              </w:rPr>
              <w:t xml:space="preserve">PPZ-MAIWP Zakat collection, FT 2024</w:t>
            </w:r>
          </w:p>
        </w:tc>
        <w:tc>
          <w:tcPr>
            <w:tcW w:type="dxa" w:w="2256"/>
            <w:tcBorders>
              <w:top w:val="none" w:color="FFFFFF" w:sz="0"/>
              <w:left w:val="none" w:color="FFFFFF" w:sz="0"/>
              <w:bottom w:val="none" w:color="FFFFFF" w:sz="0"/>
              <w:right w:val="none" w:color="FFFFFF" w:sz="0"/>
            </w:tcBorders>
            <w:shd w:fill="E8F5ED" w:val="clear"/>
            <w:tcMar>
              <w:top w:type="dxa" w:w="160"/>
              <w:left w:type="dxa" w:w="180"/>
              <w:bottom w:type="dxa" w:w="160"/>
              <w:right w:type="dxa" w:w="180"/>
            </w:tcMar>
          </w:tcPr>
          <w:p>
            <w:pPr>
              <w:spacing w:after="40" w:before="0"/>
              <w:jc w:val="center"/>
            </w:pPr>
            <w:r>
              <w:rPr>
                <w:rFonts w:ascii="Arial" w:cs="Arial" w:eastAsia="Arial" w:hAnsi="Arial"/>
                <w:b/>
                <w:bCs/>
                <w:i w:val="false"/>
                <w:iCs w:val="false"/>
                <w:color w:val="2D7A4F"/>
                <w:sz w:val="30"/>
                <w:szCs w:val="30"/>
              </w:rPr>
              <w:t xml:space="preserve">25,196</w:t>
            </w:r>
          </w:p>
          <w:p>
            <w:pPr>
              <w:spacing w:after="0" w:before="0"/>
              <w:jc w:val="center"/>
            </w:pPr>
            <w:r>
              <w:rPr>
                <w:rFonts w:ascii="Arial" w:cs="Arial" w:eastAsia="Arial" w:hAnsi="Arial"/>
                <w:b w:val="false"/>
                <w:bCs w:val="false"/>
                <w:i w:val="false"/>
                <w:iCs w:val="false"/>
                <w:color w:val="555555"/>
                <w:sz w:val="18"/>
                <w:szCs w:val="18"/>
              </w:rPr>
              <w:t xml:space="preserve">Mosques and surau in Malaysia (JAKIM 2022)</w:t>
            </w:r>
          </w:p>
        </w:tc>
        <w:tc>
          <w:tcPr>
            <w:tcW w:type="dxa" w:w="2256"/>
            <w:tcBorders>
              <w:top w:val="none" w:color="FFFFFF" w:sz="0"/>
              <w:left w:val="none" w:color="FFFFFF" w:sz="0"/>
              <w:bottom w:val="none" w:color="FFFFFF" w:sz="0"/>
              <w:right w:val="none" w:color="FFFFFF" w:sz="0"/>
            </w:tcBorders>
            <w:shd w:fill="E8F5ED" w:val="clear"/>
            <w:tcMar>
              <w:top w:type="dxa" w:w="160"/>
              <w:left w:type="dxa" w:w="180"/>
              <w:bottom w:type="dxa" w:w="160"/>
              <w:right w:type="dxa" w:w="180"/>
            </w:tcMar>
          </w:tcPr>
          <w:p>
            <w:pPr>
              <w:spacing w:after="40" w:before="0"/>
              <w:jc w:val="center"/>
            </w:pPr>
            <w:r>
              <w:rPr>
                <w:rFonts w:ascii="Arial" w:cs="Arial" w:eastAsia="Arial" w:hAnsi="Arial"/>
                <w:b/>
                <w:bCs/>
                <w:i w:val="false"/>
                <w:iCs w:val="false"/>
                <w:color w:val="2D7A4F"/>
                <w:sz w:val="30"/>
                <w:szCs w:val="30"/>
              </w:rPr>
              <w:t xml:space="preserve">96,722</w:t>
            </w:r>
          </w:p>
          <w:p>
            <w:pPr>
              <w:spacing w:after="0" w:before="0"/>
              <w:jc w:val="center"/>
            </w:pPr>
            <w:r>
              <w:rPr>
                <w:rFonts w:ascii="Arial" w:cs="Arial" w:eastAsia="Arial" w:hAnsi="Arial"/>
                <w:b w:val="false"/>
                <w:bCs w:val="false"/>
                <w:i w:val="false"/>
                <w:iCs w:val="false"/>
                <w:color w:val="555555"/>
                <w:sz w:val="18"/>
                <w:szCs w:val="18"/>
              </w:rPr>
              <w:t xml:space="preserve">NGOs registered with ROS (August 2024)</w:t>
            </w:r>
          </w:p>
        </w:tc>
      </w:tr>
    </w:tbl>
    <w:p>
      <w:pPr>
        <w:spacing w:after="120" w:before="0"/>
      </w:pPr>
    </w:p>
    <w:p>
      <w:pPr>
        <w:pStyle w:val="Heading2"/>
        <w:pBdr>
          <w:bottom w:val="single" w:color="C8922A" w:sz="6" w:space="4"/>
        </w:pBdr>
        <w:spacing w:after="100" w:before="280"/>
      </w:pPr>
      <w:r>
        <w:rPr>
          <w:rFonts w:ascii="Arial" w:cs="Arial" w:eastAsia="Arial" w:hAnsi="Arial"/>
          <w:b/>
          <w:bCs/>
          <w:color w:val="1A4731"/>
          <w:sz w:val="27"/>
          <w:szCs w:val="27"/>
        </w:rPr>
        <w:t xml:space="preserve">2.2  Four Compounding Governance Failures</w:t>
      </w:r>
    </w:p>
    <w:p>
      <w:pPr>
        <w:spacing w:after="60" w:before="0"/>
      </w:pPr>
    </w:p>
    <w:p>
      <w:pPr>
        <w:pStyle w:val="Heading3"/>
        <w:spacing w:after="80" w:before="200"/>
      </w:pPr>
      <w:r>
        <w:rPr>
          <w:rFonts w:ascii="Arial" w:cs="Arial" w:eastAsia="Arial" w:hAnsi="Arial"/>
          <w:b/>
          <w:bCs/>
          <w:color w:val="2D7A4F"/>
          <w:sz w:val="24"/>
          <w:szCs w:val="24"/>
        </w:rPr>
        <w:t xml:space="preserve">Tiada Daftar Pusat atau Portal Ketelusan</w:t>
      </w:r>
    </w:p>
    <w:p>
      <w:pPr>
        <w:spacing w:after="100" w:before="80"/>
        <w:jc w:val="both"/>
      </w:pPr>
      <w:r>
        <w:rPr>
          <w:rFonts w:ascii="Arial" w:cs="Arial" w:eastAsia="Arial" w:hAnsi="Arial"/>
          <w:b w:val="false"/>
          <w:bCs w:val="false"/>
          <w:i w:val="false"/>
          <w:iCs w:val="false"/>
          <w:color w:val="1A1A1A"/>
          <w:sz w:val="22"/>
          <w:szCs w:val="22"/>
        </w:rPr>
        <w:t xml:space="preserve">Tiada pangkalan data awam yang membolehkan pengandar mengesahkan sama ada sebuah pertubuhan mematuhi, bagaimana dana diagihkan, atau sama ada laporan dikemukakan. Tidak seperti UK Charity Commission atau U.S. Charity Navigator, Malaysia tidak mempunyai standard penarafan pematuhan yang tersedia untuk awam untuk NGO Islam.</w:t>
      </w:r>
    </w:p>
    <w:p>
      <w:pPr>
        <w:spacing w:after="60" w:before="0"/>
      </w:pPr>
    </w:p>
    <w:p>
      <w:pPr>
        <w:pStyle w:val="Heading3"/>
        <w:spacing w:after="80" w:before="200"/>
      </w:pPr>
      <w:r>
        <w:rPr>
          <w:rFonts w:ascii="Arial" w:cs="Arial" w:eastAsia="Arial" w:hAnsi="Arial"/>
          <w:b/>
          <w:bCs/>
          <w:color w:val="2D7A4F"/>
          <w:sz w:val="24"/>
          <w:szCs w:val="24"/>
        </w:rPr>
        <w:t xml:space="preserve">Pelaporan Manual dan Tidak Lengkap</w:t>
      </w:r>
    </w:p>
    <w:p>
      <w:pPr>
        <w:spacing w:after="100" w:before="80"/>
        <w:jc w:val="both"/>
      </w:pPr>
      <w:r>
        <w:rPr>
          <w:rFonts w:ascii="Arial" w:cs="Arial" w:eastAsia="Arial" w:hAnsi="Arial"/>
          <w:b w:val="false"/>
          <w:bCs w:val="false"/>
          <w:i w:val="false"/>
          <w:iCs w:val="false"/>
          <w:color w:val="1A1A1A"/>
          <w:sz w:val="22"/>
          <w:szCs w:val="22"/>
        </w:rPr>
        <w:t xml:space="preserve">Kajian terhadap 205 NPO Malaysia mendapati lebih 50% mendedahkan sumber pendapatan, tetapi kurang daripada </w:t>
      </w:r>
      <w:r>
        <w:rPr>
          <w:rFonts w:ascii="Arial" w:cs="Arial" w:eastAsia="Arial" w:hAnsi="Arial"/>
          <w:b/>
          <w:bCs/>
          <w:i w:val="false"/>
          <w:iCs w:val="false"/>
          <w:color w:val="1A1A1A"/>
          <w:sz w:val="22"/>
          <w:szCs w:val="22"/>
        </w:rPr>
        <w:t xml:space="preserve">25% melaporkan kos kutipan dana</w:t>
      </w:r>
      <w:r>
        <w:rPr>
          <w:rFonts w:ascii="Arial" w:cs="Arial" w:eastAsia="Arial" w:hAnsi="Arial"/>
          <w:b w:val="false"/>
          <w:bCs w:val="false"/>
          <w:i w:val="false"/>
          <w:iCs w:val="false"/>
          <w:color w:val="1A1A1A"/>
          <w:sz w:val="22"/>
          <w:szCs w:val="22"/>
        </w:rPr>
        <w:t xml:space="preserve">. Kebanyakan jawatankuasa masjid dan NGO kecil mengekalkan lejar manual, tanpa format piawai dan tanpa jejak audit digital.</w:t>
      </w:r>
    </w:p>
    <w:p>
      <w:pPr>
        <w:spacing w:after="60" w:before="0"/>
      </w:pPr>
    </w:p>
    <w:p>
      <w:pPr>
        <w:pStyle w:val="Heading3"/>
        <w:spacing w:after="80" w:before="200"/>
      </w:pPr>
      <w:r>
        <w:rPr>
          <w:rFonts w:ascii="Arial" w:cs="Arial" w:eastAsia="Arial" w:hAnsi="Arial"/>
          <w:b/>
          <w:bCs/>
          <w:color w:val="2D7A4F"/>
          <w:sz w:val="24"/>
          <w:szCs w:val="24"/>
        </w:rPr>
        <w:t xml:space="preserve">Beban Pengawasan yang Tidak Mampan</w:t>
      </w:r>
    </w:p>
    <w:p>
      <w:pPr>
        <w:spacing w:after="100" w:before="80"/>
        <w:jc w:val="both"/>
      </w:pPr>
      <w:r>
        <w:rPr>
          <w:rFonts w:ascii="Arial" w:cs="Arial" w:eastAsia="Arial" w:hAnsi="Arial"/>
          <w:b w:val="false"/>
          <w:bCs w:val="false"/>
          <w:i w:val="false"/>
          <w:iCs w:val="false"/>
          <w:color w:val="1A1A1A"/>
          <w:sz w:val="22"/>
          <w:szCs w:val="22"/>
        </w:rPr>
        <w:t xml:space="preserve">JAKIM, MAIN, JAWHAR, dan ROS bertanggungjawab secara kolektif terhadap pengawasan lebih </w:t>
      </w:r>
      <w:r>
        <w:rPr>
          <w:rFonts w:ascii="Arial" w:cs="Arial" w:eastAsia="Arial" w:hAnsi="Arial"/>
          <w:b/>
          <w:bCs/>
          <w:i w:val="false"/>
          <w:iCs w:val="false"/>
          <w:color w:val="1A1A1A"/>
          <w:sz w:val="22"/>
          <w:szCs w:val="22"/>
        </w:rPr>
        <w:t xml:space="preserve">96,000 organisasi</w:t>
      </w:r>
      <w:r>
        <w:rPr>
          <w:rFonts w:ascii="Arial" w:cs="Arial" w:eastAsia="Arial" w:hAnsi="Arial"/>
          <w:b w:val="false"/>
          <w:bCs w:val="false"/>
          <w:i w:val="false"/>
          <w:iCs w:val="false"/>
          <w:color w:val="1A1A1A"/>
          <w:sz w:val="22"/>
          <w:szCs w:val="22"/>
        </w:rPr>
        <w:t xml:space="preserve">. Audit dipicu oleh skandal atau aduan, bukan pemantauan berterusan. Ini model yang sudah ketinggalan zaman untuk sektor yang memobilisasi berbilion ringgit setiap tahun.</w:t>
      </w:r>
    </w:p>
    <w:p>
      <w:pPr>
        <w:spacing w:after="60" w:before="0"/>
      </w:pPr>
    </w:p>
    <w:p>
      <w:pPr>
        <w:pStyle w:val="Heading3"/>
        <w:spacing w:after="80" w:before="200"/>
      </w:pPr>
      <w:r>
        <w:rPr>
          <w:rFonts w:ascii="Arial" w:cs="Arial" w:eastAsia="Arial" w:hAnsi="Arial"/>
          <w:b/>
          <w:bCs/>
          <w:color w:val="2D7A4F"/>
          <w:sz w:val="24"/>
          <w:szCs w:val="24"/>
        </w:rPr>
        <w:t xml:space="preserve">Penyelewengan Dana Semakin Meningkat</w:t>
      </w:r>
    </w:p>
    <w:p>
      <w:pPr>
        <w:spacing w:after="100" w:before="80"/>
        <w:jc w:val="both"/>
      </w:pPr>
      <w:r>
        <w:rPr>
          <w:rFonts w:ascii="Arial" w:cs="Arial" w:eastAsia="Arial" w:hAnsi="Arial"/>
          <w:b w:val="false"/>
          <w:bCs w:val="false"/>
          <w:i w:val="false"/>
          <w:iCs w:val="false"/>
          <w:color w:val="1A1A1A"/>
          <w:sz w:val="22"/>
          <w:szCs w:val="22"/>
        </w:rPr>
        <w:t xml:space="preserve">SPRM mengesahkan siasatan terhadap lebih lima NGO kutipan awam pada awal 2026. Kes </w:t>
      </w:r>
      <w:r>
        <w:rPr>
          <w:rFonts w:ascii="Arial" w:cs="Arial" w:eastAsia="Arial" w:hAnsi="Arial"/>
          <w:b/>
          <w:bCs/>
          <w:i w:val="false"/>
          <w:iCs w:val="false"/>
          <w:color w:val="1A1A1A"/>
          <w:sz w:val="22"/>
          <w:szCs w:val="22"/>
        </w:rPr>
        <w:t xml:space="preserve">Aman Palestin</w:t>
      </w:r>
      <w:r>
        <w:rPr>
          <w:rFonts w:ascii="Arial" w:cs="Arial" w:eastAsia="Arial" w:hAnsi="Arial"/>
          <w:b w:val="false"/>
          <w:bCs w:val="false"/>
          <w:i w:val="false"/>
          <w:iCs w:val="false"/>
          <w:color w:val="1A1A1A"/>
          <w:sz w:val="22"/>
          <w:szCs w:val="22"/>
        </w:rPr>
        <w:t xml:space="preserve"> melibatkan </w:t>
      </w:r>
      <w:r>
        <w:rPr>
          <w:rFonts w:ascii="Arial" w:cs="Arial" w:eastAsia="Arial" w:hAnsi="Arial"/>
          <w:b/>
          <w:bCs/>
          <w:i w:val="false"/>
          <w:iCs w:val="false"/>
          <w:color w:val="1A1A1A"/>
          <w:sz w:val="22"/>
          <w:szCs w:val="22"/>
        </w:rPr>
        <w:t xml:space="preserve">164 pertuduhan CBT dan pengubahan wang haram berjumlah RM 39.53 juta</w:t>
      </w:r>
      <w:r>
        <w:rPr>
          <w:rFonts w:ascii="Arial" w:cs="Arial" w:eastAsia="Arial" w:hAnsi="Arial"/>
          <w:b w:val="false"/>
          <w:bCs w:val="false"/>
          <w:i w:val="false"/>
          <w:iCs w:val="false"/>
          <w:color w:val="1A1A1A"/>
          <w:sz w:val="22"/>
          <w:szCs w:val="22"/>
        </w:rPr>
        <w:t xml:space="preserve"> (dengan anggaran penyelewengan keseluruhan RM 70 juta). Kes </w:t>
      </w:r>
      <w:r>
        <w:rPr>
          <w:rFonts w:ascii="Arial" w:cs="Arial" w:eastAsia="Arial" w:hAnsi="Arial"/>
          <w:b/>
          <w:bCs/>
          <w:i w:val="false"/>
          <w:iCs w:val="false"/>
          <w:color w:val="1A1A1A"/>
          <w:sz w:val="22"/>
          <w:szCs w:val="22"/>
        </w:rPr>
        <w:t xml:space="preserve">Pertubuhan Kebajikan Serantau Muslim</w:t>
      </w:r>
      <w:r>
        <w:rPr>
          <w:rFonts w:ascii="Arial" w:cs="Arial" w:eastAsia="Arial" w:hAnsi="Arial"/>
          <w:b w:val="false"/>
          <w:bCs w:val="false"/>
          <w:i w:val="false"/>
          <w:iCs w:val="false"/>
          <w:color w:val="1A1A1A"/>
          <w:sz w:val="22"/>
          <w:szCs w:val="22"/>
        </w:rPr>
        <w:t xml:space="preserve"> melibatkan penyelewengan didakwa RM 26 juta dalam derma awam. Dana digunakan untuk membeli hartanah, kriptowang, dan barang kemas. Kegagalan-kegagalan ini menjejaskan kepercayaan terhadap </w:t>
      </w:r>
      <w:r>
        <w:rPr>
          <w:rFonts w:ascii="Arial" w:cs="Arial" w:eastAsia="Arial" w:hAnsi="Arial"/>
          <w:b/>
          <w:bCs/>
          <w:i w:val="false"/>
          <w:iCs w:val="false"/>
          <w:color w:val="1A1A1A"/>
          <w:sz w:val="22"/>
          <w:szCs w:val="22"/>
        </w:rPr>
        <w:t xml:space="preserve">semua</w:t>
      </w:r>
      <w:r>
        <w:rPr>
          <w:rFonts w:ascii="Arial" w:cs="Arial" w:eastAsia="Arial" w:hAnsi="Arial"/>
          <w:b w:val="false"/>
          <w:bCs w:val="false"/>
          <w:i w:val="false"/>
          <w:iCs w:val="false"/>
          <w:color w:val="1A1A1A"/>
          <w:sz w:val="22"/>
          <w:szCs w:val="22"/>
        </w:rPr>
        <w:t xml:space="preserve"> pertubuhan amal Islam — termasuk yang berkelakuan baik.</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DF6E3" w:val="clear"/>
            <w:tcMar>
              <w:top w:type="dxa" w:w="160"/>
              <w:left w:type="dxa" w:w="240"/>
              <w:bottom w:type="dxa" w:w="160"/>
              <w:right w:type="dxa" w:w="240"/>
            </w:tcMar>
          </w:tcPr>
          <w:p>
            <w:pPr>
              <w:spacing w:after="0" w:before="0"/>
            </w:pPr>
            <w:r>
              <w:rPr>
                <w:rFonts w:ascii="Arial" w:cs="Arial" w:eastAsia="Arial" w:hAnsi="Arial"/>
                <w:b/>
                <w:bCs/>
                <w:color w:val="C8922A"/>
                <w:sz w:val="22"/>
                <w:szCs w:val="22"/>
              </w:rPr>
              <w:t xml:space="preserve">Nota Dasar Utama:  </w:t>
            </w:r>
            <w:r>
              <w:rPr>
                <w:rFonts w:ascii="Arial" w:cs="Arial" w:eastAsia="Arial" w:hAnsi="Arial"/>
                <w:color w:val="1A1A1A"/>
                <w:sz w:val="22"/>
                <w:szCs w:val="22"/>
              </w:rPr>
              <w:t xml:space="preserve">Portal Pelaburan Digital Malaysia menyatakan secara eksplisit: "Ketelusan dan akauntabiliti Waqf dan Zakat adalah titik kesakitan industri. Penyedia penyelesaian teknologi mempunyai peluang untuk membuka potensi ekonomi Waqf dan Zakat melalui inisiatif penggunaan digital." — Pejabat Pelaburan Digital Malaysia</w:t>
            </w:r>
          </w:p>
        </w:tc>
      </w:tr>
    </w:tbl>
    <w:p>
      <w:pPr>
        <w:spacing w:after="0" w:before="0"/>
      </w:pPr>
      <w:r>
        <w:br w:type="page"/>
      </w:r>
    </w:p>
    <w:p>
      <w:pPr>
        <w:pStyle w:val="Heading1"/>
        <w:shd w:fill="1A4731" w:val="clear"/>
        <w:spacing w:after="160" w:before="0"/>
        <w:ind w:left="360" w:right="360"/>
      </w:pPr>
      <w:r>
        <w:rPr>
          <w:rFonts w:ascii="Arial" w:cs="Arial" w:eastAsia="Arial" w:hAnsi="Arial"/>
          <w:b/>
          <w:bCs/>
          <w:color w:val="FFFFFF"/>
          <w:sz w:val="34"/>
          <w:szCs w:val="34"/>
        </w:rPr>
        <w:t xml:space="preserve">3. The Solution: Amanah Governance Platform</w:t>
      </w:r>
    </w:p>
    <w:p>
      <w:pPr>
        <w:spacing w:after="80" w:before="0"/>
      </w:pPr>
    </w:p>
    <w:p>
      <w:pPr>
        <w:spacing w:after="100" w:before="80"/>
        <w:jc w:val="both"/>
      </w:pPr>
      <w:r>
        <w:rPr>
          <w:rFonts w:ascii="Arial" w:cs="Arial" w:eastAsia="Arial" w:hAnsi="Arial"/>
          <w:b w:val="false"/>
          <w:bCs w:val="false"/>
          <w:i w:val="false"/>
          <w:iCs w:val="false"/>
          <w:color w:val="1A1A1A"/>
          <w:sz w:val="22"/>
          <w:szCs w:val="22"/>
        </w:rPr>
        <w:t xml:space="preserve">AGP ialah platform tadbir urus digital berasaskan web — bukan platform kutipan dana — yang membolehkan organisasi menunjukkan akauntabiliti dan membolehkan penderma, pengawal selia, dan ulama mengesahkannya. Ia mengintegrasikan komponen berikut:</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c>
          <w:tcPr>
            <w:tcW w:type="dxa" w:w="3400"/>
            <w:tcBorders>
              <w:top w:val="single" w:color="DDDDDD" w:sz="1"/>
              <w:left w:val="single" w:color="DDDDDD" w:sz="1"/>
              <w:bottom w:val="single" w:color="DDDDDD" w:sz="1"/>
              <w:right w:val="single" w:color="DDDDDD" w:sz="1"/>
            </w:tcBorders>
            <w:shd w:fill="1A4731" w:val="clear"/>
            <w:tcMar>
              <w:top w:type="dxa" w:w="80"/>
              <w:left w:type="dxa" w:w="160"/>
              <w:bottom w:type="dxa" w:w="80"/>
              <w:right w:type="dxa" w:w="160"/>
            </w:tcMar>
          </w:tcPr>
          <w:p>
            <w:r>
              <w:rPr>
                <w:rFonts w:ascii="Arial" w:cs="Arial" w:eastAsia="Arial" w:hAnsi="Arial"/>
                <w:b/>
                <w:bCs/>
                <w:color w:val="FFFFFF"/>
                <w:sz w:val="20"/>
                <w:szCs w:val="20"/>
              </w:rPr>
              <w:t xml:space="preserve">Modul Platform</w:t>
            </w:r>
          </w:p>
        </w:tc>
        <w:tc>
          <w:tcPr>
            <w:tcW w:type="dxa" w:w="5626"/>
            <w:tcBorders>
              <w:top w:val="single" w:color="DDDDDD" w:sz="1"/>
              <w:left w:val="single" w:color="DDDDDD" w:sz="1"/>
              <w:bottom w:val="single" w:color="DDDDDD" w:sz="1"/>
              <w:right w:val="single" w:color="DDDDDD" w:sz="1"/>
            </w:tcBorders>
            <w:shd w:fill="1A4731" w:val="clear"/>
            <w:tcMar>
              <w:top w:type="dxa" w:w="80"/>
              <w:left w:type="dxa" w:w="160"/>
              <w:bottom w:type="dxa" w:w="80"/>
              <w:right w:type="dxa" w:w="160"/>
            </w:tcMar>
          </w:tcPr>
          <w:p>
            <w:r>
              <w:rPr>
                <w:rFonts w:ascii="Arial" w:cs="Arial" w:eastAsia="Arial" w:hAnsi="Arial"/>
                <w:color w:val="FFFFFF"/>
                <w:sz w:val="20"/>
                <w:szCs w:val="20"/>
              </w:rPr>
              <w:t xml:space="preserve">Fungsi</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Onboarding &amp; Klasifikasi Organisasi</w:t>
            </w:r>
          </w:p>
        </w:tc>
        <w:tc>
          <w:tcPr>
            <w:tcW w:type="dxa" w:w="56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Pendaftaran berstruktur merangkumi bidang khusus Malaysia: jenis org, pihak berkuasa pengawasan, jenis dana (Zakat/Waqf/Sadaqah), petunjuk tadbir urus Syariah, negeri, nombor pendaftaran.</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Enjin Pensijilan CTCF (5 Lapisan)</w:t>
            </w:r>
          </w:p>
        </w:tc>
        <w:tc>
          <w:tcPr>
            <w:tcW w:type="dxa" w:w="56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Penilaian berstruktur 5 lapisan menghasilkan gred Platinum / Emas / Perak / Tidak Diperakui. Lapisan 1 adalah gerbang identiti undang-undang; Lapisan 5 menilai tadbir urus Syariah dengan pengesahan penasihat Syariah.</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Amanah Index™ Skor Kepercayaan Hidup</w:t>
            </w:r>
          </w:p>
        </w:tc>
        <w:tc>
          <w:tcPr>
            <w:tcW w:type="dxa" w:w="56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Skor kepercayaan 0–100 yang dikemas kini setiap kali peristiwa kepercayaan yang boleh disahkan berlaku. Wajaran: Tadbir Urus (30%), Kewangan (25%), Projek (20%), Impak (15%), Maklum Balas (10%).</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Pengurusan Bukti (Peribadi Secara Lalai)</w:t>
            </w:r>
          </w:p>
        </w:tc>
        <w:tc>
          <w:tcPr>
            <w:tcW w:type="dxa" w:w="56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Repositori dokumen selamat. Semua bukti mentah adalah peribadi. Hanya dokumen yang diluluskan oleh penilai menjadi kelihatan kepada awam. URL ditandatangani menghalang pendedahan storan langsung.</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Aliran Kerja Penilai &amp; Ulama</w:t>
            </w:r>
          </w:p>
        </w:tc>
        <w:tc>
          <w:tcPr>
            <w:tcW w:type="dxa" w:w="56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Antara muka khusus untuk penilai dan ulama Syariah yang dilantik. Semua tindakan semakan distempkan masa dan tidak boleh diubah. Nota ulama boleh ditanda sebagai boleh diterbit.</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Portal Derma Bukan-Kustodian</w:t>
            </w:r>
          </w:p>
        </w:tc>
        <w:tc>
          <w:tcPr>
            <w:tcW w:type="dxa" w:w="56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Penderma memberi terus ke akaun bank organisasi yang diperakui. AGP tidak pernah memegang wang. Tag terikat tujuan memastikan dana Zakat, Waqf, dan Sadaqah diperuntukkan dengan betul.</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Papan Pemuka Awam</w:t>
            </w:r>
          </w:p>
        </w:tc>
        <w:tc>
          <w:tcPr>
            <w:tcW w:type="dxa" w:w="56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Profil yang boleh diakses awam: skor Amanah, lencana CTCF, halaman projek yang disahkan, galeri bukti yang diluluskan.</w:t>
            </w:r>
          </w:p>
        </w:tc>
      </w:tr>
    </w:tbl>
    <w:p>
      <w:pPr>
        <w:spacing w:after="120" w:before="0"/>
      </w:pPr>
    </w:p>
    <w:p>
      <w:pPr>
        <w:pStyle w:val="Heading2"/>
        <w:pBdr>
          <w:bottom w:val="single" w:color="C8922A" w:sz="6" w:space="4"/>
        </w:pBdr>
        <w:spacing w:after="100" w:before="280"/>
      </w:pPr>
      <w:r>
        <w:rPr>
          <w:rFonts w:ascii="Arial" w:cs="Arial" w:eastAsia="Arial" w:hAnsi="Arial"/>
          <w:b/>
          <w:bCs/>
          <w:color w:val="1A4731"/>
          <w:sz w:val="27"/>
          <w:szCs w:val="27"/>
        </w:rPr>
        <w:t xml:space="preserve">3.1  Rangka Kerja CTCF: Piawaian Penilaian Unik untuk Malaysia</w:t>
      </w:r>
    </w:p>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c>
          <w:tcPr>
            <w:tcW w:type="dxa" w:w="3400"/>
            <w:tcBorders>
              <w:top w:val="single" w:color="DDDDDD" w:sz="1"/>
              <w:left w:val="single" w:color="DDDDDD" w:sz="1"/>
              <w:bottom w:val="single" w:color="DDDDDD" w:sz="1"/>
              <w:right w:val="single" w:color="DDDDDD" w:sz="1"/>
            </w:tcBorders>
            <w:shd w:fill="1A4731" w:val="clear"/>
            <w:tcMar>
              <w:top w:type="dxa" w:w="80"/>
              <w:left w:type="dxa" w:w="160"/>
              <w:bottom w:type="dxa" w:w="80"/>
              <w:right w:type="dxa" w:w="160"/>
            </w:tcMar>
          </w:tcPr>
          <w:p>
            <w:r>
              <w:rPr>
                <w:rFonts w:ascii="Arial" w:cs="Arial" w:eastAsia="Arial" w:hAnsi="Arial"/>
                <w:b/>
                <w:bCs/>
                <w:color w:val="FFFFFF"/>
                <w:sz w:val="20"/>
                <w:szCs w:val="20"/>
              </w:rPr>
              <w:t xml:space="preserve">Lapisan CTCF</w:t>
            </w:r>
          </w:p>
        </w:tc>
        <w:tc>
          <w:tcPr>
            <w:tcW w:type="dxa" w:w="5626"/>
            <w:tcBorders>
              <w:top w:val="single" w:color="DDDDDD" w:sz="1"/>
              <w:left w:val="single" w:color="DDDDDD" w:sz="1"/>
              <w:bottom w:val="single" w:color="DDDDDD" w:sz="1"/>
              <w:right w:val="single" w:color="DDDDDD" w:sz="1"/>
            </w:tcBorders>
            <w:shd w:fill="1A4731" w:val="clear"/>
            <w:tcMar>
              <w:top w:type="dxa" w:w="80"/>
              <w:left w:type="dxa" w:w="160"/>
              <w:bottom w:type="dxa" w:w="80"/>
              <w:right w:type="dxa" w:w="160"/>
            </w:tcMar>
          </w:tcPr>
          <w:p>
            <w:r>
              <w:rPr>
                <w:rFonts w:ascii="Arial" w:cs="Arial" w:eastAsia="Arial" w:hAnsi="Arial"/>
                <w:color w:val="FFFFFF"/>
                <w:sz w:val="20"/>
                <w:szCs w:val="20"/>
              </w:rPr>
              <w:t xml:space="preserve">Tema &amp; Wajaran</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Lapisan 1 — Gerbang Identiti Undang-undang</w:t>
            </w:r>
          </w:p>
        </w:tc>
        <w:tc>
          <w:tcPr>
            <w:tcW w:type="dxa" w:w="56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Lulus/Gagal. Semua 6 kriteria mesti dipenuhi: bukti pendaftaran, dokumen pemerintahan, lembaga dinamakan, polisi konflik kepentingan, akaun bank berasingan, alamat fizikal.</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Lapisan 2 — Ketelusan Kewangan (20 mata)</w:t>
            </w:r>
          </w:p>
        </w:tc>
        <w:tc>
          <w:tcPr>
            <w:tcW w:type="dxa" w:w="56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Penyata kewangan tahunan, bukti audit, pecahan program vs pentadbiran, pengasingan dana Zakat. Penskalaan saiz: Micro/Kecil — semakan dalaman yang boleh dipercayai boleh diterima; Sederhana/Besar — audit akauntan berdaftar luar diperlukan.</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Lapisan 3 — Ketelusan Projek (25 mata)</w:t>
            </w:r>
          </w:p>
        </w:tc>
        <w:tc>
          <w:tcPr>
            <w:tcW w:type="dxa" w:w="56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Penjejakan belanjawan vs sebenar, pelaporan geo-disahkan, dokumentasi sebelum/selepas, metrik impak penerima manfaat, ketepatan masa laporan penyelesaian.</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Lapisan 4 — Impak &amp; Kemampanan (20 mata)</w:t>
            </w:r>
          </w:p>
        </w:tc>
        <w:tc>
          <w:tcPr>
            <w:tcW w:type="dxa" w:w="56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Kualiti KPI &amp; penjajaran Teori Perubahan, pelan kemampanan, kadaran penjejakan jariah, metrik kos-per-impak.</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Lapisan 5 — Tadbir Urus Syariah (15 mata)</w:t>
            </w:r>
          </w:p>
        </w:tc>
        <w:tc>
          <w:tcPr>
            <w:tcW w:type="dxa" w:w="56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Penasihat Syariah dinamakan (luar diperakui untuk markah penuh), polisi pematuhan Syariah bertulis, tadbir urus kelayakan Zakat, tadbir urus aset Waqf. UNIK KEPADA AGP — tiada padanan dalam mana-mana platform penarafan amal global.</w:t>
            </w:r>
          </w:p>
        </w:tc>
      </w:tr>
    </w:tbl>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3400"/>
            <w:tcBorders>
              <w:top w:val="single" w:color="DDDDDD" w:sz="1"/>
              <w:left w:val="single" w:color="DDDDDD" w:sz="1"/>
              <w:bottom w:val="single" w:color="DDDDDD" w:sz="1"/>
              <w:right w:val="single" w:color="DDDDDD" w:sz="1"/>
            </w:tcBorders>
            <w:shd w:fill="1A4731" w:val="clear"/>
            <w:tcMar>
              <w:top w:type="dxa" w:w="80"/>
              <w:left w:type="dxa" w:w="160"/>
              <w:bottom w:type="dxa" w:w="80"/>
              <w:right w:type="dxa" w:w="160"/>
            </w:tcMar>
          </w:tcPr>
          <w:p>
            <w:r>
              <w:rPr>
                <w:rFonts w:ascii="Arial" w:cs="Arial" w:eastAsia="Arial" w:hAnsi="Arial"/>
                <w:b/>
                <w:bCs/>
                <w:color w:val="FFFFFF"/>
                <w:sz w:val="20"/>
                <w:szCs w:val="20"/>
              </w:rPr>
              <w:t xml:space="preserve">Jumlah Skor (0–100)</w:t>
            </w:r>
          </w:p>
        </w:tc>
        <w:tc>
          <w:tcPr>
            <w:tcW w:type="dxa" w:w="5626"/>
            <w:tcBorders>
              <w:top w:val="single" w:color="DDDDDD" w:sz="1"/>
              <w:left w:val="single" w:color="DDDDDD" w:sz="1"/>
              <w:bottom w:val="single" w:color="DDDDDD" w:sz="1"/>
              <w:right w:val="single" w:color="DDDDDD" w:sz="1"/>
            </w:tcBorders>
            <w:shd w:fill="1A4731" w:val="clear"/>
            <w:tcMar>
              <w:top w:type="dxa" w:w="80"/>
              <w:left w:type="dxa" w:w="160"/>
              <w:bottom w:type="dxa" w:w="80"/>
              <w:right w:type="dxa" w:w="160"/>
            </w:tcMar>
          </w:tcPr>
          <w:p>
            <w:r>
              <w:rPr>
                <w:rFonts w:ascii="Arial" w:cs="Arial" w:eastAsia="Arial" w:hAnsi="Arial"/>
                <w:color w:val="FFFFFF"/>
                <w:sz w:val="20"/>
                <w:szCs w:val="20"/>
              </w:rPr>
              <w:t xml:space="preserve">Gred</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85 – 100</w:t>
            </w:r>
          </w:p>
        </w:tc>
        <w:tc>
          <w:tcPr>
            <w:tcW w:type="dxa" w:w="56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Platinum Amanah</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70 – 84</w:t>
            </w:r>
          </w:p>
        </w:tc>
        <w:tc>
          <w:tcPr>
            <w:tcW w:type="dxa" w:w="56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Emas Amanah</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55 – 69</w:t>
            </w:r>
          </w:p>
        </w:tc>
        <w:tc>
          <w:tcPr>
            <w:tcW w:type="dxa" w:w="56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Perak Amanah</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&lt; 55 atau gagal Lapisan 1</w:t>
            </w:r>
          </w:p>
        </w:tc>
        <w:tc>
          <w:tcPr>
            <w:tcW w:type="dxa" w:w="56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Tidak Diperakui</w:t>
            </w:r>
          </w:p>
        </w:tc>
      </w:tr>
    </w:tbl>
    <w:p>
      <w:pPr>
        <w:spacing w:after="0" w:before="0"/>
      </w:pPr>
      <w:r>
        <w:br w:type="page"/>
      </w:r>
    </w:p>
    <w:p>
      <w:pPr>
        <w:pStyle w:val="Heading1"/>
        <w:shd w:fill="1A4731" w:val="clear"/>
        <w:spacing w:after="160" w:before="0"/>
        <w:ind w:left="360" w:right="360"/>
      </w:pPr>
      <w:r>
        <w:rPr>
          <w:rFonts w:ascii="Arial" w:cs="Arial" w:eastAsia="Arial" w:hAnsi="Arial"/>
          <w:b/>
          <w:bCs/>
          <w:color w:val="FFFFFF"/>
          <w:sz w:val="34"/>
          <w:szCs w:val="34"/>
        </w:rPr>
        <w:t xml:space="preserve">4. Pelan Perintis 12 Bulan</w:t>
      </w:r>
    </w:p>
    <w:p>
      <w:pPr>
        <w:spacing w:after="80" w:before="0"/>
      </w:pPr>
    </w:p>
    <w:p>
      <w:pPr>
        <w:spacing w:after="100" w:before="80"/>
        <w:jc w:val="both"/>
      </w:pPr>
      <w:r>
        <w:rPr>
          <w:rFonts w:ascii="Arial" w:cs="Arial" w:eastAsia="Arial" w:hAnsi="Arial"/>
          <w:b w:val="false"/>
          <w:bCs w:val="false"/>
          <w:i w:val="false"/>
          <w:iCs w:val="false"/>
          <w:color w:val="1A1A1A"/>
          <w:sz w:val="22"/>
          <w:szCs w:val="22"/>
        </w:rPr>
        <w:t xml:space="preserve">Perintis 12 bulan ini direka untuk menunjukkan kitaran hayat AGP yang lengkap — daripada onboarding organisasi kepada penerbitan skor kepercayaan awam — ke atas kohort yang nyata dan boleh disahkan dalam perkongsian dengan MAIN dan JAKIM.</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c>
          <w:tcPr>
            <w:tcW w:type="dxa" w:w="3400"/>
            <w:tcBorders>
              <w:top w:val="single" w:color="DDDDDD" w:sz="1"/>
              <w:left w:val="single" w:color="DDDDDD" w:sz="1"/>
              <w:bottom w:val="single" w:color="DDDDDD" w:sz="1"/>
              <w:right w:val="single" w:color="DDDDDD" w:sz="1"/>
            </w:tcBorders>
            <w:shd w:fill="1A4731" w:val="clear"/>
            <w:tcMar>
              <w:top w:type="dxa" w:w="80"/>
              <w:left w:type="dxa" w:w="160"/>
              <w:bottom w:type="dxa" w:w="80"/>
              <w:right w:type="dxa" w:w="160"/>
            </w:tcMar>
          </w:tcPr>
          <w:p>
            <w:r>
              <w:rPr>
                <w:rFonts w:ascii="Arial" w:cs="Arial" w:eastAsia="Arial" w:hAnsi="Arial"/>
                <w:b/>
                <w:bCs/>
                <w:color w:val="FFFFFF"/>
                <w:sz w:val="20"/>
                <w:szCs w:val="20"/>
              </w:rPr>
              <w:t xml:space="preserve">Parameter Perintis</w:t>
            </w:r>
          </w:p>
        </w:tc>
        <w:tc>
          <w:tcPr>
            <w:tcW w:type="dxa" w:w="5626"/>
            <w:tcBorders>
              <w:top w:val="single" w:color="DDDDDD" w:sz="1"/>
              <w:left w:val="single" w:color="DDDDDD" w:sz="1"/>
              <w:bottom w:val="single" w:color="DDDDDD" w:sz="1"/>
              <w:right w:val="single" w:color="DDDDDD" w:sz="1"/>
            </w:tcBorders>
            <w:shd w:fill="1A4731" w:val="clear"/>
            <w:tcMar>
              <w:top w:type="dxa" w:w="80"/>
              <w:left w:type="dxa" w:w="160"/>
              <w:bottom w:type="dxa" w:w="80"/>
              <w:right w:type="dxa" w:w="160"/>
            </w:tcMar>
          </w:tcPr>
          <w:p>
            <w:r>
              <w:rPr>
                <w:rFonts w:ascii="Arial" w:cs="Arial" w:eastAsia="Arial" w:hAnsi="Arial"/>
                <w:color w:val="FFFFFF"/>
                <w:sz w:val="20"/>
                <w:szCs w:val="20"/>
              </w:rPr>
              <w:t xml:space="preserve">Perincian</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Tempoh</w:t>
            </w:r>
          </w:p>
        </w:tc>
        <w:tc>
          <w:tcPr>
            <w:tcW w:type="dxa" w:w="56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12 bulan (Julai 2026 – Jun 2027)</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Kohort Perintis</w:t>
            </w:r>
          </w:p>
        </w:tc>
        <w:tc>
          <w:tcPr>
            <w:tcW w:type="dxa" w:w="56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20–30 organisasi: masjid, NGO, badan Waqf</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Skop Geografi</w:t>
            </w:r>
          </w:p>
        </w:tc>
        <w:tc>
          <w:tcPr>
            <w:tcW w:type="dxa" w:w="56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2–3 negeri (utama: Selangor; sekunder: dicadangkan oleh MAIN)</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Rakan Tadbir Urus</w:t>
            </w:r>
          </w:p>
        </w:tc>
        <w:tc>
          <w:tcPr>
            <w:tcW w:type="dxa" w:w="56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MAIN + JAKIM sebagai Jawatankuasa Pemandu</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Status Platform</w:t>
            </w:r>
          </w:p>
        </w:tc>
        <w:tc>
          <w:tcPr>
            <w:tcW w:type="dxa" w:w="56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Fasa 1 selesai dibina; perintis menguji sistem yang sedia hidup</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Kos kepada Organisasi Perintis</w:t>
            </w:r>
          </w:p>
        </w:tc>
        <w:tc>
          <w:tcPr>
            <w:tcW w:type="dxa" w:w="56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Sifar — semua kos infrastruktur ditanggung oleh Effort Studio</w:t>
            </w:r>
          </w:p>
        </w:tc>
      </w:tr>
    </w:tbl>
    <w:p>
      <w:pPr>
        <w:spacing w:after="120" w:before="0"/>
      </w:pPr>
    </w:p>
    <w:p>
      <w:pPr>
        <w:pStyle w:val="Heading2"/>
        <w:pBdr>
          <w:bottom w:val="single" w:color="C8922A" w:sz="6" w:space="4"/>
        </w:pBdr>
        <w:spacing w:after="100" w:before="280"/>
      </w:pPr>
      <w:r>
        <w:rPr>
          <w:rFonts w:ascii="Arial" w:cs="Arial" w:eastAsia="Arial" w:hAnsi="Arial"/>
          <w:b/>
          <w:bCs/>
          <w:color w:val="1A4731"/>
          <w:sz w:val="27"/>
          <w:szCs w:val="27"/>
        </w:rPr>
        <w:t xml:space="preserve">4.1  Fasa Pelaksanaan</w:t>
      </w:r>
    </w:p>
    <w:p>
      <w:pPr>
        <w:spacing w:after="60" w:before="0"/>
      </w:pPr>
    </w:p>
    <w:p>
      <w:pPr>
        <w:pStyle w:val="Heading3"/>
        <w:spacing w:after="80" w:before="200"/>
      </w:pPr>
      <w:r>
        <w:rPr>
          <w:rFonts w:ascii="Arial" w:cs="Arial" w:eastAsia="Arial" w:hAnsi="Arial"/>
          <w:b/>
          <w:bCs/>
          <w:color w:val="2D7A4F"/>
          <w:sz w:val="24"/>
          <w:szCs w:val="24"/>
        </w:rPr>
        <w:t xml:space="preserve">Bulan 1–2: Persediaan &amp; Onboarding</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Menubuhkan Jawatankuasa Pemandu dengan wakil MAIN/JAKIM, Effort Studio, dan rakan akademik (IIUM/UTM)</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Merekrut dan mengesahkan 20–30 organisasi perintis dengan sokongan MAIN</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Latihan penilai CTCF untuk penilai yang dilantik oleh MAIN/JAKIM</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Onboarding organisasi: pendaftaran, klasifikasi, profil tadbir urus</w:t>
      </w:r>
    </w:p>
    <w:p>
      <w:pPr>
        <w:spacing w:after="60" w:before="0"/>
      </w:pPr>
    </w:p>
    <w:p>
      <w:pPr>
        <w:pStyle w:val="Heading3"/>
        <w:spacing w:after="80" w:before="200"/>
      </w:pPr>
      <w:r>
        <w:rPr>
          <w:rFonts w:ascii="Arial" w:cs="Arial" w:eastAsia="Arial" w:hAnsi="Arial"/>
          <w:b/>
          <w:bCs/>
          <w:color w:val="2D7A4F"/>
          <w:sz w:val="24"/>
          <w:szCs w:val="24"/>
        </w:rPr>
        <w:t xml:space="preserve">Bulan 3–6: Kitaran Penilaian</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Muat naik dan semak bukti untuk semua 5 lapisan CTCF bagi setiap organisasi</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Penilaian pensijilan CTCF pertama dilengkapi; gred diberikan</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Skor Amanah Index™ dikira dan diterbit ke papan pemuka awam</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Nota ulama ditambah untuk lapisan tadbir urus Syariah</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Aliran derma pertama diuji untuk sekurang-kurangnya 5 organisasi perintis</w:t>
      </w:r>
    </w:p>
    <w:p>
      <w:pPr>
        <w:spacing w:after="60" w:before="0"/>
      </w:pPr>
    </w:p>
    <w:p>
      <w:pPr>
        <w:pStyle w:val="Heading3"/>
        <w:spacing w:after="80" w:before="200"/>
      </w:pPr>
      <w:r>
        <w:rPr>
          <w:rFonts w:ascii="Arial" w:cs="Arial" w:eastAsia="Arial" w:hAnsi="Arial"/>
          <w:b/>
          <w:bCs/>
          <w:color w:val="2D7A4F"/>
          <w:sz w:val="24"/>
          <w:szCs w:val="24"/>
        </w:rPr>
        <w:t xml:space="preserve">Bulan 7–10: Operasi Langsung</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Operasi platform penuh; kitaran pelaporan berterusan; pengurusan antrian penilai</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Penilaian perantaraan: tinjauan penderma, maklum balas penilai, tinjauan kepuasan pentadbir org</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Kempen derma berulang dilancarkan untuk organisasi terdaftar</w:t>
      </w:r>
    </w:p>
    <w:p>
      <w:pPr>
        <w:spacing w:after="60" w:before="0"/>
      </w:pPr>
    </w:p>
    <w:p>
      <w:pPr>
        <w:pStyle w:val="Heading3"/>
        <w:spacing w:after="80" w:before="200"/>
      </w:pPr>
      <w:r>
        <w:rPr>
          <w:rFonts w:ascii="Arial" w:cs="Arial" w:eastAsia="Arial" w:hAnsi="Arial"/>
          <w:b/>
          <w:bCs/>
          <w:color w:val="2D7A4F"/>
          <w:sz w:val="24"/>
          <w:szCs w:val="24"/>
        </w:rPr>
        <w:t xml:space="preserve">Bulan 11–12: Penilaian &amp; Perancangan Skala</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Perunding M&amp;E bebas melengkapi laporan penilaian akhir</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Pelan pelancaran nasional dihasilkan berdasarkan pembelajaran perintis</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Pembentangan kepada MAIN negeri tambahan untuk pengembangan Fasa 2</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Laporan akhir dikemukakan kepada pemberi geran dengan semua hasil KPI</w:t>
      </w:r>
    </w:p>
    <w:p>
      <w:pPr>
        <w:spacing w:after="120" w:before="0"/>
      </w:pPr>
    </w:p>
    <w:p>
      <w:pPr>
        <w:pStyle w:val="Heading2"/>
        <w:pBdr>
          <w:bottom w:val="single" w:color="C8922A" w:sz="6" w:space="4"/>
        </w:pBdr>
        <w:spacing w:after="100" w:before="280"/>
      </w:pPr>
      <w:r>
        <w:rPr>
          <w:rFonts w:ascii="Arial" w:cs="Arial" w:eastAsia="Arial" w:hAnsi="Arial"/>
          <w:b/>
          <w:bCs/>
          <w:color w:val="1A4731"/>
          <w:sz w:val="27"/>
          <w:szCs w:val="27"/>
        </w:rPr>
        <w:t xml:space="preserve">4.2  Petunjuk Prestasi Utama (KPI)</w:t>
      </w:r>
    </w:p>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126"/>
        <w:gridCol w:w="2100"/>
      </w:tblGrid>
      <w:tr>
        <w:tc>
          <w:tcPr>
            <w:tcW w:type="dxa" w:w="2200"/>
            <w:tcBorders>
              <w:top w:val="single" w:color="DDDDDD" w:sz="1"/>
              <w:left w:val="single" w:color="DDDDDD" w:sz="1"/>
              <w:bottom w:val="single" w:color="DDDDDD" w:sz="1"/>
              <w:right w:val="single" w:color="DDDDDD" w:sz="1"/>
            </w:tcBorders>
            <w:shd w:fill="1A4731" w:val="clear"/>
            <w:tcMar>
              <w:top w:type="dxa" w:w="80"/>
              <w:left w:type="dxa" w:w="120"/>
              <w:bottom w:type="dxa" w:w="80"/>
              <w:right w:type="dxa" w:w="120"/>
            </w:tcMar>
          </w:tcPr>
          <w:p>
            <w:r>
              <w:rPr>
                <w:rFonts w:ascii="Arial" w:cs="Arial" w:eastAsia="Arial" w:hAnsi="Arial"/>
                <w:b/>
                <w:bCs/>
                <w:color w:val="FFFFFF"/>
                <w:sz w:val="19"/>
                <w:szCs w:val="19"/>
              </w:rPr>
              <w:t xml:space="preserve">KPI</w:t>
            </w:r>
          </w:p>
        </w:tc>
        <w:tc>
          <w:tcPr>
            <w:tcW w:type="dxa" w:w="2600"/>
            <w:tcBorders>
              <w:top w:val="single" w:color="DDDDDD" w:sz="1"/>
              <w:left w:val="single" w:color="DDDDDD" w:sz="1"/>
              <w:bottom w:val="single" w:color="DDDDDD" w:sz="1"/>
              <w:right w:val="single" w:color="DDDDDD" w:sz="1"/>
            </w:tcBorders>
            <w:shd w:fill="1A4731" w:val="clear"/>
            <w:tcMar>
              <w:top w:type="dxa" w:w="80"/>
              <w:left w:type="dxa" w:w="120"/>
              <w:bottom w:type="dxa" w:w="80"/>
              <w:right w:type="dxa" w:w="120"/>
            </w:tcMar>
          </w:tcPr>
          <w:p>
            <w:r>
              <w:rPr>
                <w:rFonts w:ascii="Arial" w:cs="Arial" w:eastAsia="Arial" w:hAnsi="Arial"/>
                <w:b/>
                <w:bCs/>
                <w:color w:val="FFFFFF"/>
                <w:sz w:val="19"/>
                <w:szCs w:val="19"/>
              </w:rPr>
              <w:t xml:space="preserve">Garis Asas</w:t>
            </w:r>
          </w:p>
        </w:tc>
        <w:tc>
          <w:tcPr>
            <w:tcW w:type="dxa" w:w="2126"/>
            <w:tcBorders>
              <w:top w:val="single" w:color="DDDDDD" w:sz="1"/>
              <w:left w:val="single" w:color="DDDDDD" w:sz="1"/>
              <w:bottom w:val="single" w:color="DDDDDD" w:sz="1"/>
              <w:right w:val="single" w:color="DDDDDD" w:sz="1"/>
            </w:tcBorders>
            <w:shd w:fill="1A4731" w:val="clear"/>
            <w:tcMar>
              <w:top w:type="dxa" w:w="80"/>
              <w:left w:type="dxa" w:w="120"/>
              <w:bottom w:type="dxa" w:w="80"/>
              <w:right w:type="dxa" w:w="120"/>
            </w:tcMar>
          </w:tcPr>
          <w:p>
            <w:r>
              <w:rPr>
                <w:rFonts w:ascii="Arial" w:cs="Arial" w:eastAsia="Arial" w:hAnsi="Arial"/>
                <w:b/>
                <w:bCs/>
                <w:color w:val="FFFFFF"/>
                <w:sz w:val="19"/>
                <w:szCs w:val="19"/>
              </w:rPr>
              <w:t xml:space="preserve">Sasaran 12 Bulan</w:t>
            </w:r>
          </w:p>
        </w:tc>
        <w:tc>
          <w:tcPr>
            <w:tcW w:type="dxa" w:w="2100"/>
            <w:tcBorders>
              <w:top w:val="single" w:color="DDDDDD" w:sz="1"/>
              <w:left w:val="single" w:color="DDDDDD" w:sz="1"/>
              <w:bottom w:val="single" w:color="DDDDDD" w:sz="1"/>
              <w:right w:val="single" w:color="DDDDDD" w:sz="1"/>
            </w:tcBorders>
            <w:shd w:fill="1A4731" w:val="clear"/>
            <w:tcMar>
              <w:top w:type="dxa" w:w="80"/>
              <w:left w:type="dxa" w:w="120"/>
              <w:bottom w:type="dxa" w:w="80"/>
              <w:right w:type="dxa" w:w="120"/>
            </w:tcMar>
          </w:tcPr>
          <w:p>
            <w:r>
              <w:rPr>
                <w:rFonts w:ascii="Arial" w:cs="Arial" w:eastAsia="Arial" w:hAnsi="Arial"/>
                <w:b/>
                <w:bCs/>
                <w:color w:val="FFFFFF"/>
                <w:sz w:val="19"/>
                <w:szCs w:val="19"/>
              </w:rPr>
              <w:t xml:space="preserve">Kaedah Pengukuran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Organisasi onboarded</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0</w:t>
            </w:r>
          </w:p>
        </w:tc>
        <w:tc>
          <w:tcPr>
            <w:tcW w:type="dxa" w:w="21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20–30 org</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Papan pemuka AGP</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Penilaian CTCF selesai</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0</w:t>
            </w:r>
          </w:p>
        </w:tc>
        <w:tc>
          <w:tcPr>
            <w:tcW w:type="dxa" w:w="21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80% org onboarded</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Antrian pensijilan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Skor Amanah diterbit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0</w:t>
            </w:r>
          </w:p>
        </w:tc>
        <w:tc>
          <w:tcPr>
            <w:tcW w:type="dxa" w:w="21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100% org diperakui</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Papan pemuka awam</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Purata Skor Amanah Index</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~60 (anggaran)</w:t>
            </w:r>
          </w:p>
        </w:tc>
        <w:tc>
          <w:tcPr>
            <w:tcW w:type="dxa" w:w="21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Purata ≥75 (disahkan)</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Enjin AGP</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Kadar pengemukaan laporan</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~40% (garis asas sektor)</w:t>
            </w:r>
          </w:p>
        </w:tc>
        <w:tc>
          <w:tcPr>
            <w:tcW w:type="dxa" w:w="21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100% org perintis</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Modul pelaporan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Aliran derma diuji</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0</w:t>
            </w:r>
          </w:p>
        </w:tc>
        <w:tc>
          <w:tcPr>
            <w:tcW w:type="dxa" w:w="21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Min. 5 org</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Log pembayaran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Dana berulang difasilitasi</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RM 0 melalui AGP</w:t>
            </w:r>
          </w:p>
        </w:tc>
        <w:tc>
          <w:tcPr>
            <w:tcW w:type="dxa" w:w="21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RM 200,000+</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Lejar derma</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Penjimatan masa audit (penilai)</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100% manual</w:t>
            </w:r>
          </w:p>
        </w:tc>
        <w:tc>
          <w:tcPr>
            <w:tcW w:type="dxa" w:w="21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Pengurangan ≥50%</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Tinjauan penilai</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Kepuasan pentadbir org</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T/B</w:t>
            </w:r>
          </w:p>
        </w:tc>
        <w:tc>
          <w:tcPr>
            <w:tcW w:type="dxa" w:w="21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≥3.5 / 5.0</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Tinjauan pentadbir org</w:t>
            </w:r>
          </w:p>
        </w:tc>
      </w:tr>
    </w:tbl>
    <w:p>
      <w:pPr>
        <w:spacing w:after="0" w:before="0"/>
      </w:pPr>
      <w:r>
        <w:br w:type="page"/>
      </w:r>
    </w:p>
    <w:p>
      <w:pPr>
        <w:pStyle w:val="Heading1"/>
        <w:shd w:fill="1A4731" w:val="clear"/>
        <w:spacing w:after="160" w:before="0"/>
        <w:ind w:left="360" w:right="360"/>
      </w:pPr>
      <w:r>
        <w:rPr>
          <w:rFonts w:ascii="Arial" w:cs="Arial" w:eastAsia="Arial" w:hAnsi="Arial"/>
          <w:b/>
          <w:bCs/>
          <w:color w:val="FFFFFF"/>
          <w:sz w:val="34"/>
          <w:szCs w:val="34"/>
        </w:rPr>
        <w:t xml:space="preserve">5. Bajet</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4026"/>
        <w:gridCol w:w="1800"/>
      </w:tblGrid>
      <w:tr>
        <w:tc>
          <w:tcPr>
            <w:tcW w:type="dxa" w:w="3200"/>
            <w:tcBorders>
              <w:top w:val="single" w:color="DDDDDD" w:sz="1"/>
              <w:left w:val="single" w:color="DDDDDD" w:sz="1"/>
              <w:bottom w:val="single" w:color="DDDDDD" w:sz="1"/>
              <w:right w:val="single" w:color="DDDDDD" w:sz="1"/>
            </w:tcBorders>
            <w:shd w:fill="1A4731"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Item Bajet</w:t>
            </w:r>
          </w:p>
        </w:tc>
        <w:tc>
          <w:tcPr>
            <w:tcW w:type="dxa" w:w="4026"/>
            <w:tcBorders>
              <w:top w:val="single" w:color="DDDDDD" w:sz="1"/>
              <w:left w:val="single" w:color="DDDDDD" w:sz="1"/>
              <w:bottom w:val="single" w:color="DDDDDD" w:sz="1"/>
              <w:right w:val="single" w:color="DDDDDD" w:sz="1"/>
            </w:tcBorders>
            <w:shd w:fill="1A4731"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Penerangan</w:t>
            </w:r>
          </w:p>
        </w:tc>
        <w:tc>
          <w:tcPr>
            <w:tcW w:type="dxa" w:w="1800"/>
            <w:tcBorders>
              <w:top w:val="single" w:color="DDDDDD" w:sz="1"/>
              <w:left w:val="single" w:color="DDDDDD" w:sz="1"/>
              <w:bottom w:val="single" w:color="DDDDDD" w:sz="1"/>
              <w:right w:val="single" w:color="DDDDDD" w:sz="1"/>
            </w:tcBorders>
            <w:shd w:fill="1A4731"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Jumlah (RM)</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i w:val="false"/>
                <w:iCs w:val="false"/>
                <w:color w:val="1A1A1A"/>
                <w:sz w:val="19"/>
                <w:szCs w:val="19"/>
              </w:rPr>
              <w:t xml:space="preserve">Pembangunan Platform</w:t>
            </w:r>
          </w:p>
        </w:tc>
        <w:tc>
          <w:tcPr>
            <w:tcW w:type="dxa" w:w="4026"/>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i w:val="false"/>
                <w:iCs w:val="false"/>
                <w:color w:val="1A1A1A"/>
                <w:sz w:val="19"/>
                <w:szCs w:val="19"/>
              </w:rPr>
              <w:t xml:space="preserve">Pengukuhan ciri, audit keselamatan, kejuruteraan pematuhan, modul khusus perintis</w:t>
            </w:r>
          </w:p>
        </w:tc>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right"/>
            </w:pPr>
            <w:r>
              <w:rPr>
                <w:rFonts w:ascii="Arial" w:cs="Arial" w:eastAsia="Arial" w:hAnsi="Arial"/>
                <w:b w:val="false"/>
                <w:bCs w:val="false"/>
                <w:i w:val="false"/>
                <w:iCs w:val="false"/>
                <w:color w:val="1A4731"/>
                <w:sz w:val="19"/>
                <w:szCs w:val="19"/>
              </w:rPr>
              <w:t xml:space="preserve">RM 250,000</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i w:val="false"/>
                <w:iCs w:val="false"/>
                <w:color w:val="1A1A1A"/>
                <w:sz w:val="19"/>
                <w:szCs w:val="19"/>
              </w:rPr>
              <w:t xml:space="preserve">Hosting Awan &amp; Infrastruktur</w:t>
            </w:r>
          </w:p>
        </w:tc>
        <w:tc>
          <w:tcPr>
            <w:tcW w:type="dxa" w:w="40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A1A1A"/>
                <w:sz w:val="19"/>
                <w:szCs w:val="19"/>
              </w:rPr>
              <w:t xml:space="preserve">Perkhidmatan awan terurus berasaskan Malaysia, storan, SSL, pemantauan — 12 bulan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right"/>
            </w:pPr>
            <w:r>
              <w:rPr>
                <w:rFonts w:ascii="Arial" w:cs="Arial" w:eastAsia="Arial" w:hAnsi="Arial"/>
                <w:b w:val="false"/>
                <w:bCs w:val="false"/>
                <w:i w:val="false"/>
                <w:iCs w:val="false"/>
                <w:color w:val="1A4731"/>
                <w:sz w:val="19"/>
                <w:szCs w:val="19"/>
              </w:rPr>
              <w:t xml:space="preserve">RM 100,000</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i w:val="false"/>
                <w:iCs w:val="false"/>
                <w:color w:val="1A1A1A"/>
                <w:sz w:val="19"/>
                <w:szCs w:val="19"/>
              </w:rPr>
              <w:t xml:space="preserve">Onboarding &amp; Latihan</w:t>
            </w:r>
          </w:p>
        </w:tc>
        <w:tc>
          <w:tcPr>
            <w:tcW w:type="dxa" w:w="4026"/>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i w:val="false"/>
                <w:iCs w:val="false"/>
                <w:color w:val="1A1A1A"/>
                <w:sz w:val="19"/>
                <w:szCs w:val="19"/>
              </w:rPr>
              <w:t xml:space="preserve">Bengkel (3 sesi: bandar + luar bandar + khusus Waqf), manual pengguna, sokongan helpdesk, latihan penilai CTCF</w:t>
            </w:r>
          </w:p>
        </w:tc>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right"/>
            </w:pPr>
            <w:r>
              <w:rPr>
                <w:rFonts w:ascii="Arial" w:cs="Arial" w:eastAsia="Arial" w:hAnsi="Arial"/>
                <w:b w:val="false"/>
                <w:bCs w:val="false"/>
                <w:i w:val="false"/>
                <w:iCs w:val="false"/>
                <w:color w:val="1A4731"/>
                <w:sz w:val="19"/>
                <w:szCs w:val="19"/>
              </w:rPr>
              <w:t xml:space="preserve">RM 50,000</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i w:val="false"/>
                <w:iCs w:val="false"/>
                <w:color w:val="1A1A1A"/>
                <w:sz w:val="19"/>
                <w:szCs w:val="19"/>
              </w:rPr>
              <w:t xml:space="preserve">Operasi Perintis</w:t>
            </w:r>
          </w:p>
        </w:tc>
        <w:tc>
          <w:tcPr>
            <w:tcW w:type="dxa" w:w="40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A1A1A"/>
                <w:sz w:val="19"/>
                <w:szCs w:val="19"/>
              </w:rPr>
              <w:t xml:space="preserve">Dua penyelaras separuh masa, lawatan lapangan, sokongan org, penyelarasan MAIN/JAKIM</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right"/>
            </w:pPr>
            <w:r>
              <w:rPr>
                <w:rFonts w:ascii="Arial" w:cs="Arial" w:eastAsia="Arial" w:hAnsi="Arial"/>
                <w:b w:val="false"/>
                <w:bCs w:val="false"/>
                <w:i w:val="false"/>
                <w:iCs w:val="false"/>
                <w:color w:val="1A4731"/>
                <w:sz w:val="19"/>
                <w:szCs w:val="19"/>
              </w:rPr>
              <w:t xml:space="preserve">RM 70,000</w:t>
            </w:r>
          </w:p>
        </w:tc>
      </w:tr>
      <w:tr>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i w:val="false"/>
                <w:iCs w:val="false"/>
                <w:color w:val="1A1A1A"/>
                <w:sz w:val="19"/>
                <w:szCs w:val="19"/>
              </w:rPr>
              <w:t xml:space="preserve">Pemantauan &amp; Penilaian</w:t>
            </w:r>
          </w:p>
        </w:tc>
        <w:tc>
          <w:tcPr>
            <w:tcW w:type="dxa" w:w="4026"/>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i w:val="false"/>
                <w:iCs w:val="false"/>
                <w:color w:val="1A1A1A"/>
                <w:sz w:val="19"/>
                <w:szCs w:val="19"/>
              </w:rPr>
              <w:t xml:space="preserve">Perunding M&amp;E bebas, tinjauan, alat analisis data, laporan perantaraan dan akhir</w:t>
            </w:r>
          </w:p>
        </w:tc>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pPr>
              <w:jc w:val="right"/>
            </w:pPr>
            <w:r>
              <w:rPr>
                <w:rFonts w:ascii="Arial" w:cs="Arial" w:eastAsia="Arial" w:hAnsi="Arial"/>
                <w:b w:val="false"/>
                <w:bCs w:val="false"/>
                <w:i w:val="false"/>
                <w:iCs w:val="false"/>
                <w:color w:val="1A4731"/>
                <w:sz w:val="19"/>
                <w:szCs w:val="19"/>
              </w:rPr>
              <w:t xml:space="preserve">RM 30,000</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i w:val="false"/>
                <w:iCs w:val="false"/>
                <w:color w:val="1A1A1A"/>
                <w:sz w:val="19"/>
                <w:szCs w:val="19"/>
              </w:rPr>
              <w:t xml:space="preserve">Pentadbiran &amp; Luar Jangka</w:t>
            </w:r>
          </w:p>
        </w:tc>
        <w:tc>
          <w:tcPr>
            <w:tcW w:type="dxa" w:w="40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1A1A1A"/>
                <w:sz w:val="19"/>
                <w:szCs w:val="19"/>
              </w:rPr>
              <w:t xml:space="preserve">Pengurusan projek, komunikasi, mesyuarat Jawatankuasa Pemandu, luar jangka 5%</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jc w:val="right"/>
            </w:pPr>
            <w:r>
              <w:rPr>
                <w:rFonts w:ascii="Arial" w:cs="Arial" w:eastAsia="Arial" w:hAnsi="Arial"/>
                <w:b w:val="false"/>
                <w:bCs w:val="false"/>
                <w:i w:val="false"/>
                <w:iCs w:val="false"/>
                <w:color w:val="1A4731"/>
                <w:sz w:val="19"/>
                <w:szCs w:val="19"/>
              </w:rPr>
              <w:t xml:space="preserve">RM 50,000</w:t>
            </w:r>
          </w:p>
        </w:tc>
      </w:tr>
      <w:tr>
        <w:tc>
          <w:tcPr>
            <w:tcW w:type="dxa" w:w="3200"/>
            <w:tcBorders>
              <w:top w:val="single" w:color="DDDDDD" w:sz="1"/>
              <w:left w:val="single" w:color="DDDDDD" w:sz="1"/>
              <w:bottom w:val="single" w:color="DDDDDD" w:sz="1"/>
              <w:right w:val="single" w:color="DDDDDD" w:sz="1"/>
            </w:tcBorders>
            <w:shd w:fill="1A4731" w:val="clear"/>
            <w:tcMar>
              <w:top w:type="dxa" w:w="100"/>
              <w:left w:type="dxa" w:w="140"/>
              <w:bottom w:type="dxa" w:w="100"/>
              <w:right w:type="dxa" w:w="140"/>
            </w:tcMar>
          </w:tcPr>
          <w:p>
            <w:r>
              <w:rPr>
                <w:rFonts w:ascii="Arial" w:cs="Arial" w:eastAsia="Arial" w:hAnsi="Arial"/>
                <w:b/>
                <w:bCs/>
                <w:i w:val="false"/>
                <w:iCs w:val="false"/>
                <w:color w:val="FFFFFF"/>
                <w:sz w:val="20"/>
                <w:szCs w:val="20"/>
              </w:rPr>
              <w:t xml:space="preserve">JUMLAH</w:t>
            </w:r>
          </w:p>
        </w:tc>
        <w:tc>
          <w:tcPr>
            <w:tcW w:type="dxa" w:w="4026"/>
            <w:tcBorders>
              <w:top w:val="single" w:color="DDDDDD" w:sz="1"/>
              <w:left w:val="single" w:color="DDDDDD" w:sz="1"/>
              <w:bottom w:val="single" w:color="DDDDDD" w:sz="1"/>
              <w:right w:val="single" w:color="DDDDDD" w:sz="1"/>
            </w:tcBorders>
            <w:shd w:fill="1A4731" w:val="clear"/>
            <w:tcMar>
              <w:top w:type="dxa" w:w="100"/>
              <w:left w:type="dxa" w:w="140"/>
              <w:bottom w:type="dxa" w:w="100"/>
              <w:right w:type="dxa" w:w="140"/>
            </w:tcMar>
          </w:tcPr>
          <w:p>
            <w:r>
              <w:rPr>
                <w:rFonts w:ascii="Arial" w:cs="Arial" w:eastAsia="Arial" w:hAnsi="Arial"/>
                <w:b w:val="false"/>
                <w:bCs w:val="false"/>
                <w:i w:val="false"/>
                <w:iCs w:val="false"/>
                <w:color w:val="FFFFFF"/>
                <w:sz w:val="20"/>
                <w:szCs w:val="20"/>
              </w:rPr>
              <w:t xml:space="preserve"/>
            </w:r>
          </w:p>
        </w:tc>
        <w:tc>
          <w:tcPr>
            <w:tcW w:type="dxa" w:w="1800"/>
            <w:tcBorders>
              <w:top w:val="single" w:color="DDDDDD" w:sz="1"/>
              <w:left w:val="single" w:color="DDDDDD" w:sz="1"/>
              <w:bottom w:val="single" w:color="DDDDDD" w:sz="1"/>
              <w:right w:val="single" w:color="DDDDDD" w:sz="1"/>
            </w:tcBorders>
            <w:shd w:fill="1A4731" w:val="clear"/>
            <w:tcMar>
              <w:top w:type="dxa" w:w="100"/>
              <w:left w:type="dxa" w:w="140"/>
              <w:bottom w:type="dxa" w:w="100"/>
              <w:right w:type="dxa" w:w="140"/>
            </w:tcMar>
          </w:tcPr>
          <w:p>
            <w:pPr>
              <w:jc w:val="right"/>
            </w:pPr>
            <w:r>
              <w:rPr>
                <w:rFonts w:ascii="Arial" w:cs="Arial" w:eastAsia="Arial" w:hAnsi="Arial"/>
                <w:b/>
                <w:bCs/>
                <w:i w:val="false"/>
                <w:iCs w:val="false"/>
                <w:color w:val="C8922A"/>
                <w:sz w:val="20"/>
                <w:szCs w:val="20"/>
              </w:rPr>
              <w:t xml:space="preserve">RM 550,000</w:t>
            </w:r>
          </w:p>
        </w:tc>
      </w:tr>
    </w:tbl>
    <w:p>
      <w:pPr>
        <w:spacing w:after="120" w:before="0"/>
      </w:pPr>
    </w:p>
    <w:p>
      <w:pPr>
        <w:pStyle w:val="Heading2"/>
        <w:pBdr>
          <w:bottom w:val="single" w:color="C8922A" w:sz="6" w:space="4"/>
        </w:pBdr>
        <w:spacing w:after="100" w:before="280"/>
      </w:pPr>
      <w:r>
        <w:rPr>
          <w:rFonts w:ascii="Arial" w:cs="Arial" w:eastAsia="Arial" w:hAnsi="Arial"/>
          <w:b/>
          <w:bCs/>
          <w:color w:val="1A4731"/>
          <w:sz w:val="27"/>
          <w:szCs w:val="27"/>
        </w:rPr>
        <w:t xml:space="preserve">5.1  Kelayakan Zakat — Asnaf Fisabilillah</w:t>
      </w:r>
    </w:p>
    <w:p>
      <w:pPr>
        <w:spacing w:after="100" w:before="80"/>
        <w:jc w:val="both"/>
      </w:pPr>
      <w:r>
        <w:rPr>
          <w:rFonts w:ascii="Arial" w:cs="Arial" w:eastAsia="Arial" w:hAnsi="Arial"/>
          <w:b w:val="false"/>
          <w:bCs w:val="false"/>
          <w:i w:val="false"/>
          <w:iCs w:val="false"/>
          <w:color w:val="1A1A1A"/>
          <w:sz w:val="22"/>
          <w:szCs w:val="22"/>
        </w:rPr>
        <w:t xml:space="preserve">Platform AGP — yang mendigitalkan tadbir urus masjid, membolehkan ketelusan pengagihan Zakat, dan menyokong infrastruktur kebajikan komuniti Islam — memenuhi syarat untuk pembiayaan Zakat di bawah kategori </w:t>
      </w:r>
      <w:r>
        <w:rPr>
          <w:rFonts w:ascii="Arial" w:cs="Arial" w:eastAsia="Arial" w:hAnsi="Arial"/>
          <w:b/>
          <w:bCs/>
          <w:i w:val="false"/>
          <w:iCs w:val="false"/>
          <w:color w:val="1A1A1A"/>
          <w:sz w:val="22"/>
          <w:szCs w:val="22"/>
        </w:rPr>
        <w:t xml:space="preserve">Asnaf Fisabilillah</w:t>
      </w:r>
      <w:r>
        <w:rPr>
          <w:rFonts w:ascii="Arial" w:cs="Arial" w:eastAsia="Arial" w:hAnsi="Arial"/>
          <w:b w:val="false"/>
          <w:bCs w:val="false"/>
          <w:i w:val="false"/>
          <w:iCs w:val="false"/>
          <w:color w:val="1A1A1A"/>
          <w:sz w:val="22"/>
          <w:szCs w:val="22"/>
        </w:rPr>
        <w:t xml:space="preserve"> (mereka yang bekerja demi agama Allah). Ini bukan kelayakan teori: vendor teknologi yang menyediakan sistem pengurusan masjid sudah mendapat bayaran melalui bajet institusi Zakat di Malaysia. Saiz pembiayaan Zakat yang berpotensi untuk infrastruktur digitalisasi: </w:t>
      </w:r>
      <w:r>
        <w:rPr>
          <w:rFonts w:ascii="Arial" w:cs="Arial" w:eastAsia="Arial" w:hAnsi="Arial"/>
          <w:b/>
          <w:bCs/>
          <w:i w:val="false"/>
          <w:iCs w:val="false"/>
          <w:color w:val="1A1A1A"/>
          <w:sz w:val="22"/>
          <w:szCs w:val="22"/>
        </w:rPr>
        <w:t xml:space="preserve">RM 200,000 – RM 2,000,000 setiap projek</w:t>
      </w:r>
      <w:r>
        <w:rPr>
          <w:rFonts w:ascii="Arial" w:cs="Arial" w:eastAsia="Arial" w:hAnsi="Arial"/>
          <w:b w:val="false"/>
          <w:bCs w:val="false"/>
          <w:i w:val="false"/>
          <w:iCs w:val="false"/>
          <w:color w:val="1A1A1A"/>
          <w:sz w:val="22"/>
          <w:szCs w:val="22"/>
        </w:rPr>
        <w:t xml:space="preserve">.</w:t>
      </w:r>
    </w:p>
    <w:p>
      <w:pPr>
        <w:spacing w:after="0" w:before="0"/>
      </w:pPr>
      <w:r>
        <w:br w:type="page"/>
      </w:r>
    </w:p>
    <w:p>
      <w:pPr>
        <w:pStyle w:val="Heading1"/>
        <w:shd w:fill="1A4731" w:val="clear"/>
        <w:spacing w:after="160" w:before="0"/>
        <w:ind w:left="360" w:right="360"/>
      </w:pPr>
      <w:r>
        <w:rPr>
          <w:rFonts w:ascii="Arial" w:cs="Arial" w:eastAsia="Arial" w:hAnsi="Arial"/>
          <w:b/>
          <w:bCs/>
          <w:color w:val="FFFFFF"/>
          <w:sz w:val="34"/>
          <w:szCs w:val="34"/>
        </w:rPr>
        <w:t xml:space="preserve">6. Model Kemampanan</w:t>
      </w:r>
    </w:p>
    <w:p>
      <w:pPr>
        <w:spacing w:after="80" w:before="0"/>
      </w:pPr>
    </w:p>
    <w:p>
      <w:pPr>
        <w:spacing w:after="100" w:before="80"/>
        <w:jc w:val="both"/>
      </w:pPr>
      <w:r>
        <w:rPr>
          <w:rFonts w:ascii="Arial" w:cs="Arial" w:eastAsia="Arial" w:hAnsi="Arial"/>
          <w:b w:val="false"/>
          <w:bCs w:val="false"/>
          <w:i w:val="false"/>
          <w:iCs w:val="false"/>
          <w:color w:val="1A1A1A"/>
          <w:sz w:val="22"/>
          <w:szCs w:val="22"/>
        </w:rPr>
        <w:t xml:space="preserve">AGP direka untuk kemandirian kewangan jangka panjang, bukan pergantungan geran berterusan. Perintis adalah fasa bukti konsep. Dari Bulan 13 dan seterusnya, platform beralih kepada model hasil yang mampan:</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c>
          <w:tcPr>
            <w:tcW w:type="dxa" w:w="3400"/>
            <w:tcBorders>
              <w:top w:val="single" w:color="DDDDDD" w:sz="1"/>
              <w:left w:val="single" w:color="DDDDDD" w:sz="1"/>
              <w:bottom w:val="single" w:color="DDDDDD" w:sz="1"/>
              <w:right w:val="single" w:color="DDDDDD" w:sz="1"/>
            </w:tcBorders>
            <w:shd w:fill="1A4731" w:val="clear"/>
            <w:tcMar>
              <w:top w:type="dxa" w:w="80"/>
              <w:left w:type="dxa" w:w="160"/>
              <w:bottom w:type="dxa" w:w="80"/>
              <w:right w:type="dxa" w:w="160"/>
            </w:tcMar>
          </w:tcPr>
          <w:p>
            <w:r>
              <w:rPr>
                <w:rFonts w:ascii="Arial" w:cs="Arial" w:eastAsia="Arial" w:hAnsi="Arial"/>
                <w:b/>
                <w:bCs/>
                <w:color w:val="FFFFFF"/>
                <w:sz w:val="20"/>
                <w:szCs w:val="20"/>
              </w:rPr>
              <w:t xml:space="preserve">Sumber Hasil</w:t>
            </w:r>
          </w:p>
        </w:tc>
        <w:tc>
          <w:tcPr>
            <w:tcW w:type="dxa" w:w="5626"/>
            <w:tcBorders>
              <w:top w:val="single" w:color="DDDDDD" w:sz="1"/>
              <w:left w:val="single" w:color="DDDDDD" w:sz="1"/>
              <w:bottom w:val="single" w:color="DDDDDD" w:sz="1"/>
              <w:right w:val="single" w:color="DDDDDD" w:sz="1"/>
            </w:tcBorders>
            <w:shd w:fill="1A4731" w:val="clear"/>
            <w:tcMar>
              <w:top w:type="dxa" w:w="80"/>
              <w:left w:type="dxa" w:w="160"/>
              <w:bottom w:type="dxa" w:w="80"/>
              <w:right w:type="dxa" w:w="160"/>
            </w:tcMar>
          </w:tcPr>
          <w:p>
            <w:r>
              <w:rPr>
                <w:rFonts w:ascii="Arial" w:cs="Arial" w:eastAsia="Arial" w:hAnsi="Arial"/>
                <w:color w:val="FFFFFF"/>
                <w:sz w:val="20"/>
                <w:szCs w:val="20"/>
              </w:rPr>
              <w:t xml:space="preserve">Unjuran Sumbangan pada Skala</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Langganan SaaS Masjid (RM 99–299/bulan)</w:t>
            </w:r>
          </w:p>
        </w:tc>
        <w:tc>
          <w:tcPr>
            <w:tcW w:type="dxa" w:w="56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25% — 500 masjid pada RM 150 = RM 75,000/bulan</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Fi Pemprosesan Derma (fi platform 4% kepada org)</w:t>
            </w:r>
          </w:p>
        </w:tc>
        <w:tc>
          <w:tcPr>
            <w:tcW w:type="dxa" w:w="56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25% — bukan kustodian; dibayar oleh org, bukan penderma; patuh Syariah</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NGO / Sekolah Islam / Badan Kemanusiaan SaaS</w:t>
            </w:r>
          </w:p>
        </w:tc>
        <w:tc>
          <w:tcPr>
            <w:tcW w:type="dxa" w:w="56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20% — label putih untuk NGO dan sekolah Islam</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Projek Institusi Zakat (kontrak infrastruktur ketelusan)</w:t>
            </w:r>
          </w:p>
        </w:tc>
        <w:tc>
          <w:tcPr>
            <w:tcW w:type="dxa" w:w="56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15% — lembaga zakat negeri menugaskan AGP sebagai lapisan pengawasan</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Integrasi Sedekah Gaji Korporat (lesen tahunan)</w:t>
            </w:r>
          </w:p>
        </w:tc>
        <w:tc>
          <w:tcPr>
            <w:tcW w:type="dxa" w:w="56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10% — program auto-Sedekah pekerja; sejajar CSR</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Perkhidmatan Data &amp; Analitik (dijual kepada badan zakat/kerajaan)</w:t>
            </w:r>
          </w:p>
        </w:tc>
        <w:tc>
          <w:tcPr>
            <w:tcW w:type="dxa" w:w="56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5% — data trend tanpa nama; papan pemuka penanda aras tadbir urus</w:t>
            </w:r>
          </w:p>
        </w:tc>
      </w:tr>
    </w:tbl>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8F5ED" w:val="clear"/>
            <w:tcMar>
              <w:top w:type="dxa" w:w="160"/>
              <w:left w:type="dxa" w:w="240"/>
              <w:bottom w:type="dxa" w:w="160"/>
              <w:right w:type="dxa" w:w="240"/>
            </w:tcMar>
          </w:tcPr>
          <w:p>
            <w:pPr>
              <w:spacing w:after="0" w:before="0"/>
            </w:pPr>
            <w:r>
              <w:rPr>
                <w:rFonts w:ascii="Arial" w:cs="Arial" w:eastAsia="Arial" w:hAnsi="Arial"/>
                <w:b/>
                <w:bCs/>
                <w:color w:val="2D7A4F"/>
                <w:sz w:val="22"/>
                <w:szCs w:val="22"/>
              </w:rPr>
              <w:t xml:space="preserve">Anggaran Titik Pulang Modal:  </w:t>
            </w:r>
            <w:r>
              <w:rPr>
                <w:rFonts w:ascii="Arial" w:cs="Arial" w:eastAsia="Arial" w:hAnsi="Arial"/>
                <w:color w:val="1A1A1A"/>
                <w:sz w:val="22"/>
                <w:szCs w:val="22"/>
              </w:rPr>
              <w:t xml:space="preserve">Pada 500 pelanggan masjid/NGO aktif pada purata RM 150/bulan, AGP mencapai lebih kurang RM 75,000/bulan dalam hasil berulang. Ini menanggung hosting awan, kakitangan sokongan, dan penyelenggaraan platform tanpa memerlukan pembiayaan geran selanjutnya.</w:t>
            </w:r>
          </w:p>
        </w:tc>
      </w:tr>
    </w:tbl>
    <w:p>
      <w:pPr>
        <w:spacing w:after="0" w:before="0"/>
      </w:pPr>
      <w:r>
        <w:br w:type="page"/>
      </w:r>
    </w:p>
    <w:p>
      <w:pPr>
        <w:pStyle w:val="Heading1"/>
        <w:shd w:fill="1A4731" w:val="clear"/>
        <w:spacing w:after="160" w:before="0"/>
        <w:ind w:left="360" w:right="360"/>
      </w:pPr>
      <w:r>
        <w:rPr>
          <w:rFonts w:ascii="Arial" w:cs="Arial" w:eastAsia="Arial" w:hAnsi="Arial"/>
          <w:b/>
          <w:bCs/>
          <w:color w:val="FFFFFF"/>
          <w:sz w:val="34"/>
          <w:szCs w:val="34"/>
        </w:rPr>
        <w:t xml:space="preserve">7. Struktur Tadbir Urus &amp; Pematuhan</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c>
          <w:tcPr>
            <w:tcW w:type="dxa" w:w="3400"/>
            <w:tcBorders>
              <w:top w:val="single" w:color="DDDDDD" w:sz="1"/>
              <w:left w:val="single" w:color="DDDDDD" w:sz="1"/>
              <w:bottom w:val="single" w:color="DDDDDD" w:sz="1"/>
              <w:right w:val="single" w:color="DDDDDD" w:sz="1"/>
            </w:tcBorders>
            <w:shd w:fill="1A4731" w:val="clear"/>
            <w:tcMar>
              <w:top w:type="dxa" w:w="80"/>
              <w:left w:type="dxa" w:w="160"/>
              <w:bottom w:type="dxa" w:w="80"/>
              <w:right w:type="dxa" w:w="160"/>
            </w:tcMar>
          </w:tcPr>
          <w:p>
            <w:r>
              <w:rPr>
                <w:rFonts w:ascii="Arial" w:cs="Arial" w:eastAsia="Arial" w:hAnsi="Arial"/>
                <w:b/>
                <w:bCs/>
                <w:color w:val="FFFFFF"/>
                <w:sz w:val="20"/>
                <w:szCs w:val="20"/>
              </w:rPr>
              <w:t xml:space="preserve">Peranan</w:t>
            </w:r>
          </w:p>
        </w:tc>
        <w:tc>
          <w:tcPr>
            <w:tcW w:type="dxa" w:w="5626"/>
            <w:tcBorders>
              <w:top w:val="single" w:color="DDDDDD" w:sz="1"/>
              <w:left w:val="single" w:color="DDDDDD" w:sz="1"/>
              <w:bottom w:val="single" w:color="DDDDDD" w:sz="1"/>
              <w:right w:val="single" w:color="DDDDDD" w:sz="1"/>
            </w:tcBorders>
            <w:shd w:fill="1A4731" w:val="clear"/>
            <w:tcMar>
              <w:top w:type="dxa" w:w="80"/>
              <w:left w:type="dxa" w:w="160"/>
              <w:bottom w:type="dxa" w:w="80"/>
              <w:right w:type="dxa" w:w="160"/>
            </w:tcMar>
          </w:tcPr>
          <w:p>
            <w:r>
              <w:rPr>
                <w:rFonts w:ascii="Arial" w:cs="Arial" w:eastAsia="Arial" w:hAnsi="Arial"/>
                <w:color w:val="FFFFFF"/>
                <w:sz w:val="20"/>
                <w:szCs w:val="20"/>
              </w:rPr>
              <w:t xml:space="preserve">Tanggungjawab</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Jawatankuasa Pemandu</w:t>
            </w:r>
          </w:p>
        </w:tc>
        <w:tc>
          <w:tcPr>
            <w:tcW w:type="dxa" w:w="56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Hala tuju strategik dan pengawasan. Komposisi: wakil MAIN utama, JAKIM (Jabatan Awqaf &amp; Zakat), Effort Studio, rakan akademik (IIUM atau UTM). Bermesyuarat setiap suku tahun.</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Effort Studio (Pemaju AGP)</w:t>
            </w:r>
          </w:p>
        </w:tc>
        <w:tc>
          <w:tcPr>
            <w:tcW w:type="dxa" w:w="56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Pembangunan platform, hosting, penyelenggaraan, penyelarasan perintis, sokongan onboarding, dan semua kos infrastruktur sepanjang tempoh perintis.</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MAIN (Majlis Agama Islam Negeri)</w:t>
            </w:r>
          </w:p>
        </w:tc>
        <w:tc>
          <w:tcPr>
            <w:tcW w:type="dxa" w:w="56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Anchor tadbir urus untuk pensijilan peringkat negeri. Mencadangkan org perintis. Melantik dan melatih penilai CTCF. Mengesahkan kriteria tadbir urus Syariah.</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JAKIM (Jabatan Awqaf, Zakat &amp; Haji)</w:t>
            </w:r>
          </w:p>
        </w:tc>
        <w:tc>
          <w:tcPr>
            <w:tcW w:type="dxa" w:w="56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Penjajaran polisi nasional. Memastikan kriteria CTCF memenuhi piawaian tadbir urus Islam persekutuan. Modul tadbir urus Waqf dan Zakat.</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Ulama Syariah</w:t>
            </w:r>
          </w:p>
        </w:tc>
        <w:tc>
          <w:tcPr>
            <w:tcW w:type="dxa" w:w="56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Peranan penasihat dan semakan pada penilaian Lapisan 5. Nota ulama ditanda sebagai boleh diterbit mengikut kesesuaian. Tiada tuntutan pengeluaran fatwa.</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Rakan Akademik (IIUM/UTM)</w:t>
            </w:r>
          </w:p>
        </w:tc>
        <w:tc>
          <w:tcPr>
            <w:tcW w:type="dxa" w:w="56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Pengesahan penyelidikan, sokongan M&amp;E, penilaian impak, dan penerbitan dapatan. Menyediakan kredibiliti penilaian bebas.</w:t>
            </w:r>
          </w:p>
        </w:tc>
      </w:tr>
    </w:tbl>
    <w:p>
      <w:pPr>
        <w:spacing w:after="120" w:before="0"/>
      </w:pPr>
    </w:p>
    <w:p>
      <w:pPr>
        <w:pStyle w:val="Heading2"/>
        <w:pBdr>
          <w:bottom w:val="single" w:color="C8922A" w:sz="6" w:space="4"/>
        </w:pBdr>
        <w:spacing w:after="100" w:before="280"/>
      </w:pPr>
      <w:r>
        <w:rPr>
          <w:rFonts w:ascii="Arial" w:cs="Arial" w:eastAsia="Arial" w:hAnsi="Arial"/>
          <w:b/>
          <w:bCs/>
          <w:color w:val="1A4731"/>
          <w:sz w:val="27"/>
          <w:szCs w:val="27"/>
        </w:rPr>
        <w:t xml:space="preserve">7.1  Pematuhan PDPA &amp; Komitmen Keselamatan</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Semua data peribadi dikendalikan di bawah Akta Perlindungan Data Peribadi (PDPA) Malaysia</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Prinsip pengumpulan data minimum: KYC dilakukan oleh bank berlesen, bukan oleh AGP</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Bukti disimpan dalam storan peribadi secara lalai; tiada pendedahan baldi awam</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Keselamatan Row-Level dikuatkuasakan di peringkat pangkalan data: pengguna hanya melihat apa yang dibenarkan oleh peranan mereka</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Log audit append-only: tiada pemadaman rekod, sejarah acara kalis gangguan</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Kod sumber terbuka untuk audit teknikal kerajaan atas permintaan</w:t>
      </w:r>
    </w:p>
    <w:p>
      <w:pPr>
        <w:spacing w:after="120" w:before="0"/>
      </w:pPr>
    </w:p>
    <w:p>
      <w:pPr>
        <w:pStyle w:val="Heading2"/>
        <w:pBdr>
          <w:bottom w:val="single" w:color="C8922A" w:sz="6" w:space="4"/>
        </w:pBdr>
        <w:spacing w:after="100" w:before="280"/>
      </w:pPr>
      <w:r>
        <w:rPr>
          <w:rFonts w:ascii="Arial" w:cs="Arial" w:eastAsia="Arial" w:hAnsi="Arial"/>
          <w:b/>
          <w:bCs/>
          <w:color w:val="1A4731"/>
          <w:sz w:val="27"/>
          <w:szCs w:val="27"/>
        </w:rPr>
        <w:t xml:space="preserve">7.2  Status Bina Semasa (Platform Sedia Hidup)</w:t>
      </w:r>
    </w:p>
    <w:p>
      <w:pPr>
        <w:spacing w:after="100" w:before="80"/>
        <w:jc w:val="both"/>
      </w:pPr>
      <w:r>
        <w:rPr>
          <w:rFonts w:ascii="Arial" w:cs="Arial" w:eastAsia="Arial" w:hAnsi="Arial"/>
          <w:b w:val="false"/>
          <w:bCs w:val="false"/>
          <w:i w:val="false"/>
          <w:iCs w:val="false"/>
          <w:color w:val="1A1A1A"/>
          <w:sz w:val="22"/>
          <w:szCs w:val="22"/>
        </w:rPr>
        <w:t xml:space="preserve">AGP Fasa 1 telah </w:t>
      </w:r>
      <w:r>
        <w:rPr>
          <w:rFonts w:ascii="Arial" w:cs="Arial" w:eastAsia="Arial" w:hAnsi="Arial"/>
          <w:b/>
          <w:bCs/>
          <w:i w:val="false"/>
          <w:iCs w:val="false"/>
          <w:color w:val="1A1A1A"/>
          <w:sz w:val="22"/>
          <w:szCs w:val="22"/>
        </w:rPr>
        <w:t xml:space="preserve">siap sepenuhnya dibina dan digunakan</w:t>
      </w:r>
      <w:r>
        <w:rPr>
          <w:rFonts w:ascii="Arial" w:cs="Arial" w:eastAsia="Arial" w:hAnsi="Arial"/>
          <w:b w:val="false"/>
          <w:bCs w:val="false"/>
          <w:i w:val="false"/>
          <w:iCs w:val="false"/>
          <w:color w:val="1A1A1A"/>
          <w:sz w:val="22"/>
          <w:szCs w:val="22"/>
        </w:rPr>
        <w:t xml:space="preserve">. Geran ini bukan untuk membiayai prototaip — ia untuk penggunaan perintis dan penginstitusian nasional sistem yang sedia beroperasi, diuji, dan telah digunakan. Perkara berikut telah lengkap:</w:t>
      </w:r>
    </w:p>
    <w:p>
      <w:pPr>
        <w:spacing w:after="60" w:before="0"/>
      </w:pP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AmanahHub awam: direktori amal, profil org, panel pensijilan CTCF, paparan skor Amanah, halaman projek, checkout derma (ToyyibPay)</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AmanahHub Console: onboarding org, pengurusan ahli dan jemputan, galeri bukti dengan URL ditandatangani, penilaian pensijilan CTCF (ctcf_v2), nota ulama, halaman resit penderma</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Enjin penilaian: pakej @agp/scoring dengan enjin ctcf_v2 dan amanah_v1, diuji sepenuhnya</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Infrastruktur: Row-Level Security, log audit, Supabase Edge Functions, konfigurasi Vercel</w:t>
      </w:r>
    </w:p>
    <w:p>
      <w:pPr>
        <w:pStyle w:val="ListParagraph"/>
        <w:numPr>
          <w:ilvl w:val="0"/>
          <w:numId w:val="2"/>
        </w:numPr>
        <w:spacing w:after="40" w:before="40"/>
      </w:pPr>
      <w:r>
        <w:rPr>
          <w:rFonts w:ascii="Arial" w:cs="Arial" w:eastAsia="Arial" w:hAnsi="Arial"/>
          <w:b w:val="false"/>
          <w:bCs w:val="false"/>
          <w:i w:val="false"/>
          <w:iCs w:val="false"/>
          <w:color w:val="1A1A1A"/>
          <w:sz w:val="22"/>
          <w:szCs w:val="22"/>
        </w:rPr>
        <w:t xml:space="preserve">Ujian: 64 ujian unit, 4 suite Playwright E2E (penemuan penderma, pentadbir org, aliran kerja penilai, pencegahan kebocoran data/privasi)</w:t>
      </w:r>
    </w:p>
    <w:p>
      <w:pPr>
        <w:spacing w:after="0" w:before="0"/>
      </w:pPr>
      <w:r>
        <w:br w:type="page"/>
      </w:r>
    </w:p>
    <w:p>
      <w:pPr>
        <w:pStyle w:val="Heading1"/>
        <w:shd w:fill="1A4731" w:val="clear"/>
        <w:spacing w:after="160" w:before="0"/>
        <w:ind w:left="360" w:right="360"/>
      </w:pPr>
      <w:r>
        <w:rPr>
          <w:rFonts w:ascii="Arial" w:cs="Arial" w:eastAsia="Arial" w:hAnsi="Arial"/>
          <w:b/>
          <w:bCs/>
          <w:color w:val="FFFFFF"/>
          <w:sz w:val="34"/>
          <w:szCs w:val="34"/>
        </w:rPr>
        <w:t xml:space="preserve">8. Impak Sosial &amp; Penjajaran Polisi</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c>
          <w:tcPr>
            <w:tcW w:type="dxa" w:w="3400"/>
            <w:tcBorders>
              <w:top w:val="single" w:color="DDDDDD" w:sz="1"/>
              <w:left w:val="single" w:color="DDDDDD" w:sz="1"/>
              <w:bottom w:val="single" w:color="DDDDDD" w:sz="1"/>
              <w:right w:val="single" w:color="DDDDDD" w:sz="1"/>
            </w:tcBorders>
            <w:shd w:fill="1A4731" w:val="clear"/>
            <w:tcMar>
              <w:top w:type="dxa" w:w="80"/>
              <w:left w:type="dxa" w:w="160"/>
              <w:bottom w:type="dxa" w:w="80"/>
              <w:right w:type="dxa" w:w="160"/>
            </w:tcMar>
          </w:tcPr>
          <w:p>
            <w:r>
              <w:rPr>
                <w:rFonts w:ascii="Arial" w:cs="Arial" w:eastAsia="Arial" w:hAnsi="Arial"/>
                <w:b/>
                <w:bCs/>
                <w:color w:val="FFFFFF"/>
                <w:sz w:val="20"/>
                <w:szCs w:val="20"/>
              </w:rPr>
              <w:t xml:space="preserve">Agenda Nasional</w:t>
            </w:r>
          </w:p>
        </w:tc>
        <w:tc>
          <w:tcPr>
            <w:tcW w:type="dxa" w:w="5626"/>
            <w:tcBorders>
              <w:top w:val="single" w:color="DDDDDD" w:sz="1"/>
              <w:left w:val="single" w:color="DDDDDD" w:sz="1"/>
              <w:bottom w:val="single" w:color="DDDDDD" w:sz="1"/>
              <w:right w:val="single" w:color="DDDDDD" w:sz="1"/>
            </w:tcBorders>
            <w:shd w:fill="1A4731" w:val="clear"/>
            <w:tcMar>
              <w:top w:type="dxa" w:w="80"/>
              <w:left w:type="dxa" w:w="160"/>
              <w:bottom w:type="dxa" w:w="80"/>
              <w:right w:type="dxa" w:w="160"/>
            </w:tcMar>
          </w:tcPr>
          <w:p>
            <w:r>
              <w:rPr>
                <w:rFonts w:ascii="Arial" w:cs="Arial" w:eastAsia="Arial" w:hAnsi="Arial"/>
                <w:color w:val="FFFFFF"/>
                <w:sz w:val="20"/>
                <w:szCs w:val="20"/>
              </w:rPr>
              <w:t xml:space="preserve">Sumbangan AGP</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Malaysia MADANI (Amanah &amp; Ketelusan)</w:t>
            </w:r>
          </w:p>
        </w:tc>
        <w:tc>
          <w:tcPr>
            <w:tcW w:type="dxa" w:w="56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AGP adalah perlaksanaan langsung prinsip MADANI: Amanah sebagai teras seni bina, Inovasi melalui tadbir urus digital, Ihsan melalui pengagihan dana yang cekap kepada yang benar-benar memerlukan.</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Inisiatif Wakaf MADANI</w:t>
            </w:r>
          </w:p>
        </w:tc>
        <w:tc>
          <w:tcPr>
            <w:tcW w:type="dxa" w:w="56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AGP menyediakan lapisan tadbir urus digital yang diperlukan untuk mengembangkan ekosistem Waqf, menyokong Permodalan Wakaf Nasional Bhd (PWNB) dan sukuk waqf bertokem yang diperkenalkan dalam Belanjawan 2026.</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Rancangan Malaysia ke-13 (2026–2030)</w:t>
            </w:r>
          </w:p>
        </w:tc>
        <w:tc>
          <w:tcPr>
            <w:tcW w:type="dxa" w:w="56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Penjajaran dengan penekanan kepada kepimpinan kewangan Islam, Rangka Kerja AI Nation, dan pendekatan Kerajaan-sebagai-Platform. AGP adalah platform kerajaan untuk tadbir urus amal Islam.</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Pelan Sektor Kewangan BNM 2022–2026</w:t>
            </w:r>
          </w:p>
        </w:tc>
        <w:tc>
          <w:tcPr>
            <w:tcW w:type="dxa" w:w="56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Teras Strategik 5 BNM: majukan kewangan berasaskan nilai melalui kepimpinan kewangan Islam. Pelancaran Kewangan Islam kini mewakili 48% daripada jumlah pembiayaan. AGP membolehkan institusi kewangan Islam menunjukkan pematuhan VBI.</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SDG 16 — Institusi yang Bertanggungjawab</w:t>
            </w:r>
          </w:p>
        </w:tc>
        <w:tc>
          <w:tcPr>
            <w:tcW w:type="dxa" w:w="56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Jejak audit berstruktur dan papan pemuka ketelusan awam menangani akauntabiliti institusi secara langsung.</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SDG 1 — Tiada Kemiskinan</w:t>
            </w:r>
          </w:p>
        </w:tc>
        <w:tc>
          <w:tcPr>
            <w:tcW w:type="dxa" w:w="56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Peningkatan kecekapan pengagihan Zakat dan Sadaqah; pengurangan kebocoran; penargetan asnaf yang lebih baik.</w:t>
            </w:r>
          </w:p>
        </w:tc>
      </w:tr>
    </w:tbl>
    <w:p>
      <w:pPr>
        <w:spacing w:after="0" w:before="0"/>
      </w:pPr>
      <w:r>
        <w:br w:type="page"/>
      </w:r>
    </w:p>
    <w:p>
      <w:pPr>
        <w:pStyle w:val="Heading1"/>
        <w:shd w:fill="1A4731" w:val="clear"/>
        <w:spacing w:after="160" w:before="0"/>
        <w:ind w:left="360" w:right="360"/>
      </w:pPr>
      <w:r>
        <w:rPr>
          <w:rFonts w:ascii="Arial" w:cs="Arial" w:eastAsia="Arial" w:hAnsi="Arial"/>
          <w:b/>
          <w:bCs/>
          <w:color w:val="FFFFFF"/>
          <w:sz w:val="34"/>
          <w:szCs w:val="34"/>
        </w:rPr>
        <w:t xml:space="preserve">9. Pemohon &amp; Keperluan Pasukan</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c>
          <w:tcPr>
            <w:tcW w:type="dxa" w:w="3400"/>
            <w:tcBorders>
              <w:top w:val="single" w:color="DDDDDD" w:sz="1"/>
              <w:left w:val="single" w:color="DDDDDD" w:sz="1"/>
              <w:bottom w:val="single" w:color="DDDDDD" w:sz="1"/>
              <w:right w:val="single" w:color="DDDDDD" w:sz="1"/>
            </w:tcBorders>
            <w:shd w:fill="1A4731" w:val="clear"/>
            <w:tcMar>
              <w:top w:type="dxa" w:w="80"/>
              <w:left w:type="dxa" w:w="160"/>
              <w:bottom w:type="dxa" w:w="80"/>
              <w:right w:type="dxa" w:w="160"/>
            </w:tcMar>
          </w:tcPr>
          <w:p>
            <w:r>
              <w:rPr>
                <w:rFonts w:ascii="Arial" w:cs="Arial" w:eastAsia="Arial" w:hAnsi="Arial"/>
                <w:b/>
                <w:bCs/>
                <w:color w:val="FFFFFF"/>
                <w:sz w:val="20"/>
                <w:szCs w:val="20"/>
              </w:rPr>
              <w:t xml:space="preserve">Pemohon</w:t>
            </w:r>
          </w:p>
        </w:tc>
        <w:tc>
          <w:tcPr>
            <w:tcW w:type="dxa" w:w="5626"/>
            <w:tcBorders>
              <w:top w:val="single" w:color="DDDDDD" w:sz="1"/>
              <w:left w:val="single" w:color="DDDDDD" w:sz="1"/>
              <w:bottom w:val="single" w:color="DDDDDD" w:sz="1"/>
              <w:right w:val="single" w:color="DDDDDD" w:sz="1"/>
            </w:tcBorders>
            <w:shd w:fill="1A4731" w:val="clear"/>
            <w:tcMar>
              <w:top w:type="dxa" w:w="80"/>
              <w:left w:type="dxa" w:w="160"/>
              <w:bottom w:type="dxa" w:w="80"/>
              <w:right w:type="dxa" w:w="160"/>
            </w:tcMar>
          </w:tcPr>
          <w:p>
            <w:r>
              <w:rPr>
                <w:rFonts w:ascii="Arial" w:cs="Arial" w:eastAsia="Arial" w:hAnsi="Arial"/>
                <w:color w:val="FFFFFF"/>
                <w:sz w:val="20"/>
                <w:szCs w:val="20"/>
              </w:rPr>
              <w:t xml:space="preserve">Effort Studio / Darya Malak</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Peranan</w:t>
            </w:r>
          </w:p>
        </w:tc>
        <w:tc>
          <w:tcPr>
            <w:tcW w:type="dxa" w:w="56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Pemilik Produk, Arkitek Platform, Ketua Reka Bentuk Tadbir Urus</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Platform Dibina</w:t>
            </w:r>
          </w:p>
        </w:tc>
        <w:tc>
          <w:tcPr>
            <w:tcW w:type="dxa" w:w="56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Amanah Governance Platform (AGP) — Fasa 1 selesai dan digunakan</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Kelayakan Tadbir Urus</w:t>
            </w:r>
          </w:p>
        </w:tc>
        <w:tc>
          <w:tcPr>
            <w:tcW w:type="dxa" w:w="56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Mereka bentuk CTCF (sejajar dengan piawaian AAOIFI dan klasifikasi kawal selia Malaysia), formula Amanah Index™, dan model klasifikasi amal Islam Malaysia</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Kelayakan Teknikal</w:t>
            </w:r>
          </w:p>
        </w:tc>
        <w:tc>
          <w:tcPr>
            <w:tcW w:type="dxa" w:w="56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Pembinaan full-stack dengan keselamatan RLS, reka bentuk audit append-only, seni bina pembayaran bukan-kustodian, dan liputan ujian komprehensif</w:t>
            </w:r>
          </w:p>
        </w:tc>
      </w:tr>
    </w:tbl>
    <w:p>
      <w:pPr>
        <w:spacing w:after="80" w:before="0"/>
      </w:pPr>
    </w:p>
    <w:p>
      <w:pPr>
        <w:pStyle w:val="Heading2"/>
        <w:pBdr>
          <w:bottom w:val="single" w:color="C8922A" w:sz="6" w:space="4"/>
        </w:pBdr>
        <w:spacing w:after="100" w:before="280"/>
      </w:pPr>
      <w:r>
        <w:rPr>
          <w:rFonts w:ascii="Arial" w:cs="Arial" w:eastAsia="Arial" w:hAnsi="Arial"/>
          <w:b/>
          <w:bCs/>
          <w:color w:val="1A4731"/>
          <w:sz w:val="27"/>
          <w:szCs w:val="27"/>
        </w:rPr>
        <w:t xml:space="preserve">9.1  Keperluan Pasukan untuk Fasa Perintis</w:t>
      </w:r>
    </w:p>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c>
          <w:tcPr>
            <w:tcW w:type="dxa" w:w="3400"/>
            <w:tcBorders>
              <w:top w:val="single" w:color="DDDDDD" w:sz="1"/>
              <w:left w:val="single" w:color="DDDDDD" w:sz="1"/>
              <w:bottom w:val="single" w:color="DDDDDD" w:sz="1"/>
              <w:right w:val="single" w:color="DDDDDD" w:sz="1"/>
            </w:tcBorders>
            <w:shd w:fill="1A4731" w:val="clear"/>
            <w:tcMar>
              <w:top w:type="dxa" w:w="80"/>
              <w:left w:type="dxa" w:w="160"/>
              <w:bottom w:type="dxa" w:w="80"/>
              <w:right w:type="dxa" w:w="160"/>
            </w:tcMar>
          </w:tcPr>
          <w:p>
            <w:r>
              <w:rPr>
                <w:rFonts w:ascii="Arial" w:cs="Arial" w:eastAsia="Arial" w:hAnsi="Arial"/>
                <w:b/>
                <w:bCs/>
                <w:color w:val="FFFFFF"/>
                <w:sz w:val="20"/>
                <w:szCs w:val="20"/>
              </w:rPr>
              <w:t xml:space="preserve">Peranan</w:t>
            </w:r>
          </w:p>
        </w:tc>
        <w:tc>
          <w:tcPr>
            <w:tcW w:type="dxa" w:w="5626"/>
            <w:tcBorders>
              <w:top w:val="single" w:color="DDDDDD" w:sz="1"/>
              <w:left w:val="single" w:color="DDDDDD" w:sz="1"/>
              <w:bottom w:val="single" w:color="DDDDDD" w:sz="1"/>
              <w:right w:val="single" w:color="DDDDDD" w:sz="1"/>
            </w:tcBorders>
            <w:shd w:fill="1A4731" w:val="clear"/>
            <w:tcMar>
              <w:top w:type="dxa" w:w="80"/>
              <w:left w:type="dxa" w:w="160"/>
              <w:bottom w:type="dxa" w:w="80"/>
              <w:right w:type="dxa" w:w="160"/>
            </w:tcMar>
          </w:tcPr>
          <w:p>
            <w:r>
              <w:rPr>
                <w:rFonts w:ascii="Arial" w:cs="Arial" w:eastAsia="Arial" w:hAnsi="Arial"/>
                <w:color w:val="FFFFFF"/>
                <w:sz w:val="20"/>
                <w:szCs w:val="20"/>
              </w:rPr>
              <w:t xml:space="preserve">Skop &amp; Keperluan</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Penasihat Syariah (1 orang)</w:t>
            </w:r>
          </w:p>
        </w:tc>
        <w:tc>
          <w:tcPr>
            <w:tcW w:type="dxa" w:w="56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Semak penilaian Lapisan 5 CTCF. Memberikan nota ulama pada profil org. Penasihat untuk jawatankuasa tadbir urus. Syarat: kelayakan Syariah yang diiktiraf, pengalaman dengan pertubuhan Islam Malaysia.</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Penilai Platform (2–3 orang)</w:t>
            </w:r>
          </w:p>
        </w:tc>
        <w:tc>
          <w:tcPr>
            <w:tcW w:type="dxa" w:w="56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Menjalankan penilaian CTCF untuk organisasi perintis. Menguruskan antrian semakan dan kitaran maklum balas. Calon ideal: pegawai JAKIM/MAIN sedia ada atau graduan kewangan Islam.</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Penyelaras Perintis (2 orang separuh masa)</w:t>
            </w:r>
          </w:p>
        </w:tc>
        <w:tc>
          <w:tcPr>
            <w:tcW w:type="dxa" w:w="56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Onboarding organisasi perintis. Lawatan lapangan dan sokongan latihan. Mengumpul data M&amp;E. Berasaskan Selangor dengan kemampuan pengembangan negeri.</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Rakan Akademik (IIUM/UTM)</w:t>
            </w:r>
          </w:p>
        </w:tc>
        <w:tc>
          <w:tcPr>
            <w:tcW w:type="dxa" w:w="56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Penilaian bebas, pengesahan KPI, analisis data, dan penerbitan akademik kajian kes untuk membangun kredibiliti untuk permohonan geran masa depan.</w:t>
            </w:r>
          </w:p>
        </w:tc>
      </w:tr>
      <w:tr>
        <w:tc>
          <w:tcPr>
            <w:tcW w:type="dxa" w:w="34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0"/>
                <w:szCs w:val="20"/>
              </w:rPr>
              <w:t xml:space="preserve">Penasihat Undang-undang Islam</w:t>
            </w:r>
          </w:p>
        </w:tc>
        <w:tc>
          <w:tcPr>
            <w:tcW w:type="dxa" w:w="5626"/>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Mengesahkan kelayakan Zakat Fisabilillah, menyediakan pendapat undang-undang mengenai pematuhan Syariah perkhidmatan platform. Diperlukan untuk permohonan kepada JAWHAR dan lembaga Zakat negeri.</w:t>
            </w:r>
          </w:p>
        </w:tc>
      </w:tr>
    </w:tbl>
    <w:p>
      <w:pPr>
        <w:spacing w:after="0" w:before="0"/>
      </w:pPr>
      <w:r>
        <w:br w:type="page"/>
      </w:r>
    </w:p>
    <w:p>
      <w:pPr>
        <w:pStyle w:val="Heading1"/>
        <w:shd w:fill="1A4731" w:val="clear"/>
        <w:spacing w:after="160" w:before="0"/>
        <w:ind w:left="360" w:right="360"/>
      </w:pPr>
      <w:r>
        <w:rPr>
          <w:rFonts w:ascii="Arial" w:cs="Arial" w:eastAsia="Arial" w:hAnsi="Arial"/>
          <w:b/>
          <w:bCs/>
          <w:color w:val="FFFFFF"/>
          <w:sz w:val="34"/>
          <w:szCs w:val="34"/>
        </w:rPr>
        <w:t xml:space="preserve">10. Permohonan Rasmi</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E8F5ED" w:val="clear"/>
            <w:tcMar>
              <w:top w:type="dxa" w:w="320"/>
              <w:left w:type="dxa" w:w="480"/>
              <w:bottom w:type="dxa" w:w="320"/>
              <w:right w:type="dxa" w:w="480"/>
            </w:tcMar>
          </w:tcPr>
          <w:p>
            <w:pPr>
              <w:spacing w:after="80" w:before="0"/>
              <w:jc w:val="center"/>
            </w:pPr>
            <w:r>
              <w:rPr>
                <w:rFonts w:ascii="Georgia" w:cs="Georgia" w:eastAsia="Georgia" w:hAnsi="Georgia"/>
                <w:i/>
                <w:iCs/>
                <w:color w:val="1A4731"/>
                <w:sz w:val="26"/>
                <w:szCs w:val="26"/>
              </w:rPr>
              <w:t xml:space="preserve">“Sesungguhnya Allah menyuruh kamu menyampaikan amanah kepada yang berhak menerimanya.”</w:t>
            </w:r>
          </w:p>
          <w:p>
            <w:pPr>
              <w:spacing w:after="0" w:before="0"/>
              <w:jc w:val="center"/>
            </w:pPr>
            <w:r>
              <w:rPr>
                <w:rFonts w:ascii="Arial" w:cs="Arial" w:eastAsia="Arial" w:hAnsi="Arial"/>
                <w:b w:val="false"/>
                <w:bCs w:val="false"/>
                <w:i w:val="false"/>
                <w:iCs w:val="false"/>
                <w:color w:val="555555"/>
                <w:sz w:val="20"/>
                <w:szCs w:val="20"/>
              </w:rPr>
              <w:t xml:space="preserve">— Surah An-Nisa, 4:58</w:t>
            </w:r>
          </w:p>
        </w:tc>
      </w:tr>
    </w:tbl>
    <w:p>
      <w:pPr>
        <w:spacing w:after="160" w:before="0"/>
      </w:pPr>
    </w:p>
    <w:p>
      <w:pPr>
        <w:spacing w:after="100" w:before="80"/>
        <w:jc w:val="both"/>
      </w:pPr>
      <w:r>
        <w:rPr>
          <w:rFonts w:ascii="Arial" w:cs="Arial" w:eastAsia="Arial" w:hAnsi="Arial"/>
          <w:b w:val="false"/>
          <w:bCs w:val="false"/>
          <w:i w:val="false"/>
          <w:iCs w:val="false"/>
          <w:color w:val="1A1A1A"/>
          <w:sz w:val="22"/>
          <w:szCs w:val="22"/>
        </w:rPr>
        <w:t xml:space="preserve">Sektor amal Islam Malaysia adalah antara yang paling dermawan di dunia. Ia mengumpulkan berbilion ringgit dalam Zakat setiap tahun, menyara ribuan masjid dan endowmen Waqf, dan membantu ratusan ribu penerima manfaat asnaf. Apa yang kurang bukan kemurahan hati — tetapi </w:t>
      </w:r>
      <w:r>
        <w:rPr>
          <w:rFonts w:ascii="Arial" w:cs="Arial" w:eastAsia="Arial" w:hAnsi="Arial"/>
          <w:b/>
          <w:bCs/>
          <w:i w:val="false"/>
          <w:iCs w:val="false"/>
          <w:color w:val="1A1A1A"/>
          <w:sz w:val="22"/>
          <w:szCs w:val="22"/>
        </w:rPr>
        <w:t xml:space="preserve">infrastruktur kepercayaan</w:t>
      </w:r>
      <w:r>
        <w:rPr>
          <w:rFonts w:ascii="Arial" w:cs="Arial" w:eastAsia="Arial" w:hAnsi="Arial"/>
          <w:b w:val="false"/>
          <w:bCs w:val="false"/>
          <w:i w:val="false"/>
          <w:iCs w:val="false"/>
          <w:color w:val="1A1A1A"/>
          <w:sz w:val="22"/>
          <w:szCs w:val="22"/>
        </w:rPr>
        <w:t xml:space="preserve"> yang membolehkan kemurahan hati ini disahkan, dikekalkan, dan diskala.</w:t>
      </w:r>
    </w:p>
    <w:p>
      <w:pPr>
        <w:spacing w:after="80" w:before="0"/>
      </w:pPr>
    </w:p>
    <w:p>
      <w:pPr>
        <w:spacing w:after="100" w:before="80"/>
        <w:jc w:val="both"/>
      </w:pPr>
      <w:r>
        <w:rPr>
          <w:rFonts w:ascii="Arial" w:cs="Arial" w:eastAsia="Arial" w:hAnsi="Arial"/>
          <w:b w:val="false"/>
          <w:bCs w:val="false"/>
          <w:i w:val="false"/>
          <w:iCs w:val="false"/>
          <w:color w:val="1A1A1A"/>
          <w:sz w:val="22"/>
          <w:szCs w:val="22"/>
        </w:rPr>
        <w:t xml:space="preserve">Amanah Governance Platform dibina untuk menyediakan infrastruktur itu. Fasa 1 selesai. Platform ini hidup, diuji, dan bersedia untuk perintis. Geran yang dipohon bukan untuk idea atau prototaip — ia untuk penggunaan, onboarding, dan penilaian sistem berfungsi yang boleh menunjukkan peningkatan ketara tadbir urus dalam sektor dalam tempoh 12 bulan.</w:t>
      </w:r>
    </w:p>
    <w:p>
      <w:pPr>
        <w:spacing w:after="80" w:before="0"/>
      </w:pPr>
    </w:p>
    <w:p>
      <w:pPr>
        <w:spacing w:after="100" w:before="80"/>
        <w:jc w:val="both"/>
      </w:pPr>
      <w:r>
        <w:rPr>
          <w:rFonts w:ascii="Arial" w:cs="Arial" w:eastAsia="Arial" w:hAnsi="Arial"/>
          <w:b w:val="false"/>
          <w:bCs w:val="false"/>
          <w:i w:val="false"/>
          <w:iCs w:val="false"/>
          <w:color w:val="1A1A1A"/>
          <w:sz w:val="22"/>
          <w:szCs w:val="22"/>
        </w:rPr>
        <w:t xml:space="preserve">Kami dengan hormatnya memohon sokongan MAIN, JAKIM, dan JAWHAR sebagai anchor institusi bagi usaha ini. Bersama-sama, kita boleh membina ekosistem amal Islam yang telus, akauntabel, dan dipercayai — untuk Malaysia dahulu, dan untuk Ummah global In shaa Allah.</w:t>
      </w:r>
    </w:p>
    <w:p>
      <w:pPr>
        <w:spacing w:after="200" w:before="0"/>
      </w:pPr>
    </w:p>
    <w:p>
      <w:pPr>
        <w:spacing w:after="0" w:before="0"/>
        <w:jc w:val="right"/>
      </w:pPr>
      <w:r>
        <w:rPr>
          <w:rFonts w:ascii="Arial" w:cs="Arial" w:eastAsia="Arial" w:hAnsi="Arial"/>
          <w:b/>
          <w:bCs/>
          <w:i w:val="false"/>
          <w:iCs w:val="false"/>
          <w:color w:val="1A4731"/>
          <w:sz w:val="22"/>
          <w:szCs w:val="22"/>
        </w:rPr>
        <w:t xml:space="preserve">Darya Malak</w:t>
      </w:r>
      <w:r>
        <w:rPr>
          <w:rFonts w:ascii="Arial" w:cs="Arial" w:eastAsia="Arial" w:hAnsi="Arial"/>
          <w:color w:val="555555"/>
          <w:sz w:val="20"/>
          <w:szCs w:val="20"/>
        </w:rPr>
        <w:t xml:space="preserve">
Effort Studio — Amanah Governance Platform</w:t>
      </w:r>
      <w:r>
        <w:rPr>
          <w:rFonts w:ascii="Arial" w:cs="Arial" w:eastAsia="Arial" w:hAnsi="Arial"/>
          <w:color w:val="555555"/>
          <w:sz w:val="20"/>
          <w:szCs w:val="20"/>
        </w:rPr>
        <w:t xml:space="preserve">
April 2026</w:t>
      </w:r>
      <w:r>
        <w:rPr>
          <w:rFonts w:ascii="Arial" w:cs="Arial" w:eastAsia="Arial" w:hAnsi="Arial"/>
          <w:color w:val="555555"/>
          <w:sz w:val="20"/>
          <w:szCs w:val="20"/>
        </w:rPr>
        <w:t xml:space="preserve">
[butiran hubungan]</w:t>
      </w:r>
    </w:p>
    <w:sectPr>
      <w:headerReference w:type="default" r:id="rId7"/>
      <w:footerReference w:type="default" r:id="rId8"/>
      <w:pgSz w:w="11906" w:h="16838"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922A" w:sz="4" w:space="4"/>
      </w:pBdr>
      <w:spacing w:after="0" w:before="120"/>
      <w:jc w:val="right"/>
    </w:pPr>
    <w:r>
      <w:rPr>
        <w:rFonts w:ascii="Arial" w:cs="Arial" w:eastAsia="Arial" w:hAnsi="Arial"/>
        <w:b w:val="false"/>
        <w:bCs w:val="false"/>
        <w:i/>
        <w:iCs/>
        <w:color w:val="555555"/>
        <w:sz w:val="18"/>
        <w:szCs w:val="18"/>
      </w:rPr>
      <w:t xml:space="preserve">Sulit — Effort Studio / Darya Malak — April 2026</w:t>
    </w:r>
    <w:r>
      <w:rPr>
        <w:rFonts w:ascii="Arial" w:cs="Arial" w:eastAsia="Arial" w:hAnsi="Arial"/>
        <w:color w:val="555555"/>
        <w:sz w:val="18"/>
        <w:szCs w:val="18"/>
      </w:rPr>
      <w:t xml:space="preserve"> | Mukasurat </w:t>
      <w:fldChar w:fldCharType="begin"/>
      <w:instrText xml:space="preserve">PAGE</w:instrText>
      <w:fldChar w:fldCharType="separate"/>
      <w:fldChar w:fldCharType="end"/>
      <w:t xml:space="preserve"> daripada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922A" w:sz="4" w:space="4"/>
      </w:pBdr>
      <w:spacing w:after="120" w:before="0"/>
    </w:pPr>
    <w:r>
      <w:rPr>
        <w:rFonts w:ascii="Arial" w:cs="Arial" w:eastAsia="Arial" w:hAnsi="Arial"/>
        <w:b/>
        <w:bCs/>
        <w:i w:val="false"/>
        <w:iCs w:val="false"/>
        <w:color w:val="1A4731"/>
        <w:sz w:val="18"/>
        <w:szCs w:val="18"/>
      </w:rPr>
      <w:t xml:space="preserve">AMANAH GOVERNANCE PLATFORM</w:t>
    </w:r>
    <w:r>
      <w:rPr>
        <w:rFonts w:ascii="Arial" w:cs="Arial" w:eastAsia="Arial" w:hAnsi="Arial"/>
        <w:b w:val="false"/>
        <w:bCs w:val="false"/>
        <w:i w:val="false"/>
        <w:iCs w:val="false"/>
        <w:color w:val="555555"/>
        <w:sz w:val="18"/>
        <w:szCs w:val="18"/>
      </w:rPr>
      <w:t xml:space="preserve">   │   Grant Proposal — Islamic Institutional Partners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0"/>
      <w:outlineLvl w:val="0"/>
    </w:pPr>
    <w:rPr>
      <w:rFonts w:ascii="Arial" w:cs="Arial" w:eastAsia="Arial" w:hAnsi="Arial"/>
      <w:b/>
      <w:bCs/>
      <w:color w:val="FFFFFF"/>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1A4731"/>
      <w:sz w:val="27"/>
      <w:szCs w:val="27"/>
    </w:rPr>
  </w:style>
  <w:style w:type="paragraph" w:styleId="Heading3">
    <w:name w:val="Heading 3"/>
    <w:basedOn w:val="Normal"/>
    <w:next w:val="Normal"/>
    <w:qFormat/>
    <w:pPr>
      <w:spacing w:after="80" w:before="200"/>
      <w:outlineLvl w:val="2"/>
    </w:pPr>
    <w:rPr>
      <w:rFonts w:ascii="Arial" w:cs="Arial" w:eastAsia="Arial" w:hAnsi="Arial"/>
      <w:b/>
      <w:bCs/>
      <w:color w:val="2D7A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2026-04-12T11:25:50.908Z</dcterms:created>
  <dcterms:modified xsi:type="dcterms:W3CDTF">2026-04-12T11:25:50.909Z</dcterms:modified>
</cp:coreProperties>
</file>

<file path=docProps/custom.xml><?xml version="1.0" encoding="utf-8"?>
<Properties xmlns="http://schemas.openxmlformats.org/officeDocument/2006/custom-properties" xmlns:vt="http://schemas.openxmlformats.org/officeDocument/2006/docPropsVTypes"/>
</file>