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731" w:val="clear"/>
            <w:tcMar>
              <w:top w:type="dxa" w:w="560"/>
              <w:left w:type="dxa" w:w="600"/>
              <w:bottom w:type="dxa" w:w="560"/>
              <w:right w:type="dxa" w:w="600"/>
            </w:tcMar>
          </w:tcPr>
          <w:p>
            <w:pPr>
              <w:spacing w:after="80" w:before="0"/>
              <w:jc w:val="center"/>
            </w:pPr>
            <w:r>
              <w:rPr>
                <w:rFonts w:ascii="Arial" w:cs="Arial" w:eastAsia="Arial" w:hAnsi="Arial"/>
                <w:b/>
                <w:bCs/>
                <w:color w:val="C8922A"/>
                <w:spacing w:val="60"/>
                <w:sz w:val="20"/>
                <w:szCs w:val="20"/>
              </w:rPr>
              <w:t xml:space="preserve">GRANT APPLICATION — MULTI-FUNDER VERSION</w:t>
            </w:r>
          </w:p>
          <w:p>
            <w:pPr>
              <w:spacing w:after="80" w:before="0"/>
              <w:jc w:val="center"/>
            </w:pPr>
            <w:r>
              <w:rPr>
                <w:rFonts w:ascii="Arial" w:cs="Arial" w:eastAsia="Arial" w:hAnsi="Arial"/>
                <w:b/>
                <w:bCs/>
                <w:color w:val="FFFFFF"/>
                <w:sz w:val="48"/>
                <w:szCs w:val="48"/>
              </w:rPr>
              <w:t xml:space="preserve">AMANAH GOVERNANCE PLATFORM</w:t>
            </w:r>
          </w:p>
          <w:p>
            <w:pPr>
              <w:spacing w:after="280" w:before="0"/>
              <w:jc w:val="center"/>
            </w:pPr>
            <w:r>
              <w:rPr>
                <w:rFonts w:ascii="Arial" w:cs="Arial" w:eastAsia="Arial" w:hAnsi="Arial"/>
                <w:i/>
                <w:iCs/>
                <w:color w:val="C8D8CC"/>
                <w:sz w:val="26"/>
                <w:szCs w:val="26"/>
              </w:rPr>
              <w:t xml:space="preserve">Trusted Giving. Transparent Governance.</w:t>
            </w:r>
          </w:p>
          <w:p>
            <w:pPr>
              <w:spacing w:after="80" w:before="0"/>
              <w:jc w:val="center"/>
            </w:pPr>
            <w:r>
              <w:rPr>
                <w:rFonts w:ascii="Arial" w:cs="Arial" w:eastAsia="Arial" w:hAnsi="Arial"/>
                <w:b/>
                <w:bCs/>
                <w:color w:val="C8922A"/>
                <w:sz w:val="28"/>
                <w:szCs w:val="28"/>
              </w:rPr>
              <w:t xml:space="preserve">National Digital Governance Infrastructure</w:t>
            </w:r>
          </w:p>
          <w:p>
            <w:pPr>
              <w:spacing w:after="0" w:before="0"/>
              <w:jc w:val="center"/>
            </w:pPr>
            <w:r>
              <w:rPr>
                <w:rFonts w:ascii="Arial" w:cs="Arial" w:eastAsia="Arial" w:hAnsi="Arial"/>
                <w:b/>
                <w:bCs/>
                <w:color w:val="C8922A"/>
                <w:sz w:val="28"/>
                <w:szCs w:val="28"/>
              </w:rPr>
              <w:t xml:space="preserve">for Malaysia's Islamic Charity Sector</w:t>
            </w:r>
          </w:p>
        </w:tc>
      </w:tr>
    </w:tbl>
    <w:p>
      <w:pPr>
        <w:spacing w:after="2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3"/>
        <w:gridCol w:w="1504"/>
        <w:gridCol w:w="1503"/>
        <w:gridCol w:w="1504"/>
        <w:gridCol w:w="1503"/>
        <w:gridCol w:w="1509"/>
      </w:tblGrid>
      <w:tr>
        <w:tc>
          <w:tcPr>
            <w:tcW w:type="dxa" w:w="1504"/>
            <w:tcBorders>
              <w:top w:val="none" w:color="FFFFFF" w:sz="0"/>
              <w:left w:val="none" w:color="FFFFFF" w:sz="0"/>
              <w:bottom w:val="none" w:color="FFFFFF" w:sz="0"/>
              <w:right w:val="none" w:color="FFFFFF" w:sz="0"/>
            </w:tcBorders>
            <w:shd w:fill="E8F5ED" w:val="clear"/>
            <w:tcMar>
              <w:top w:type="dxa" w:w="120"/>
              <w:left w:type="dxa" w:w="120"/>
              <w:bottom w:type="dxa" w:w="120"/>
              <w:right w:type="dxa" w:w="120"/>
            </w:tcMar>
          </w:tcPr>
          <w:p>
            <w:pPr>
              <w:spacing w:after="30" w:before="0"/>
              <w:jc w:val="center"/>
            </w:pPr>
            <w:r>
              <w:rPr>
                <w:rFonts w:ascii="Arial" w:cs="Arial" w:eastAsia="Arial" w:hAnsi="Arial"/>
                <w:b/>
                <w:bCs/>
                <w:i w:val="false"/>
                <w:iCs w:val="false"/>
                <w:color w:val="1A4731"/>
                <w:sz w:val="17"/>
                <w:szCs w:val="17"/>
              </w:rPr>
              <w:t xml:space="preserve">MDEC MDCG</w:t>
            </w:r>
          </w:p>
          <w:p>
            <w:pPr>
              <w:spacing w:after="0" w:before="0"/>
              <w:jc w:val="center"/>
            </w:pPr>
            <w:r>
              <w:rPr>
                <w:rFonts w:ascii="Arial" w:cs="Arial" w:eastAsia="Arial" w:hAnsi="Arial"/>
                <w:b w:val="false"/>
                <w:bCs w:val="false"/>
                <w:i w:val="false"/>
                <w:iCs w:val="false"/>
                <w:color w:val="555555"/>
                <w:sz w:val="16"/>
                <w:szCs w:val="16"/>
              </w:rPr>
              <w:t xml:space="preserve">RM 1M</w:t>
            </w:r>
          </w:p>
        </w:tc>
        <w:tc>
          <w:tcPr>
            <w:tcW w:type="dxa" w:w="1504"/>
            <w:tcBorders>
              <w:top w:val="none" w:color="FFFFFF" w:sz="0"/>
              <w:left w:val="none" w:color="FFFFFF" w:sz="0"/>
              <w:bottom w:val="none" w:color="FFFFFF" w:sz="0"/>
              <w:right w:val="none" w:color="FFFFFF" w:sz="0"/>
            </w:tcBorders>
            <w:shd w:fill="E8F5ED" w:val="clear"/>
            <w:tcMar>
              <w:top w:type="dxa" w:w="120"/>
              <w:left w:type="dxa" w:w="120"/>
              <w:bottom w:type="dxa" w:w="120"/>
              <w:right w:type="dxa" w:w="120"/>
            </w:tcMar>
          </w:tcPr>
          <w:p>
            <w:pPr>
              <w:spacing w:after="30" w:before="0"/>
              <w:jc w:val="center"/>
            </w:pPr>
            <w:r>
              <w:rPr>
                <w:rFonts w:ascii="Arial" w:cs="Arial" w:eastAsia="Arial" w:hAnsi="Arial"/>
                <w:b/>
                <w:bCs/>
                <w:i w:val="false"/>
                <w:iCs w:val="false"/>
                <w:color w:val="1A4731"/>
                <w:sz w:val="17"/>
                <w:szCs w:val="17"/>
              </w:rPr>
              <w:t xml:space="preserve">Yayasan Hasanah</w:t>
            </w:r>
          </w:p>
          <w:p>
            <w:pPr>
              <w:spacing w:after="0" w:before="0"/>
              <w:jc w:val="center"/>
            </w:pPr>
            <w:r>
              <w:rPr>
                <w:rFonts w:ascii="Arial" w:cs="Arial" w:eastAsia="Arial" w:hAnsi="Arial"/>
                <w:b w:val="false"/>
                <w:bCs w:val="false"/>
                <w:i w:val="false"/>
                <w:iCs w:val="false"/>
                <w:color w:val="555555"/>
                <w:sz w:val="16"/>
                <w:szCs w:val="16"/>
              </w:rPr>
              <w:t xml:space="preserve">RM 500K–2.5M</w:t>
            </w:r>
          </w:p>
        </w:tc>
        <w:tc>
          <w:tcPr>
            <w:tcW w:type="dxa" w:w="1504"/>
            <w:tcBorders>
              <w:top w:val="none" w:color="FFFFFF" w:sz="0"/>
              <w:left w:val="none" w:color="FFFFFF" w:sz="0"/>
              <w:bottom w:val="none" w:color="FFFFFF" w:sz="0"/>
              <w:right w:val="none" w:color="FFFFFF" w:sz="0"/>
            </w:tcBorders>
            <w:shd w:fill="E8F5ED" w:val="clear"/>
            <w:tcMar>
              <w:top w:type="dxa" w:w="120"/>
              <w:left w:type="dxa" w:w="120"/>
              <w:bottom w:type="dxa" w:w="120"/>
              <w:right w:type="dxa" w:w="120"/>
            </w:tcMar>
          </w:tcPr>
          <w:p>
            <w:pPr>
              <w:spacing w:after="30" w:before="0"/>
              <w:jc w:val="center"/>
            </w:pPr>
            <w:r>
              <w:rPr>
                <w:rFonts w:ascii="Arial" w:cs="Arial" w:eastAsia="Arial" w:hAnsi="Arial"/>
                <w:b/>
                <w:bCs/>
                <w:i w:val="false"/>
                <w:iCs w:val="false"/>
                <w:color w:val="1A4731"/>
                <w:sz w:val="17"/>
                <w:szCs w:val="17"/>
              </w:rPr>
              <w:t xml:space="preserve">Cradle Fund</w:t>
            </w:r>
          </w:p>
          <w:p>
            <w:pPr>
              <w:spacing w:after="0" w:before="0"/>
              <w:jc w:val="center"/>
            </w:pPr>
            <w:r>
              <w:rPr>
                <w:rFonts w:ascii="Arial" w:cs="Arial" w:eastAsia="Arial" w:hAnsi="Arial"/>
                <w:b w:val="false"/>
                <w:bCs w:val="false"/>
                <w:i w:val="false"/>
                <w:iCs w:val="false"/>
                <w:color w:val="555555"/>
                <w:sz w:val="16"/>
                <w:szCs w:val="16"/>
              </w:rPr>
              <w:t xml:space="preserve">RM 150K–600K</w:t>
            </w:r>
          </w:p>
        </w:tc>
        <w:tc>
          <w:tcPr>
            <w:tcW w:type="dxa" w:w="1504"/>
            <w:tcBorders>
              <w:top w:val="none" w:color="FFFFFF" w:sz="0"/>
              <w:left w:val="none" w:color="FFFFFF" w:sz="0"/>
              <w:bottom w:val="none" w:color="FFFFFF" w:sz="0"/>
              <w:right w:val="none" w:color="FFFFFF" w:sz="0"/>
            </w:tcBorders>
            <w:shd w:fill="E8F5ED" w:val="clear"/>
            <w:tcMar>
              <w:top w:type="dxa" w:w="120"/>
              <w:left w:type="dxa" w:w="120"/>
              <w:bottom w:type="dxa" w:w="120"/>
              <w:right w:type="dxa" w:w="120"/>
            </w:tcMar>
          </w:tcPr>
          <w:p>
            <w:pPr>
              <w:spacing w:after="30" w:before="0"/>
              <w:jc w:val="center"/>
            </w:pPr>
            <w:r>
              <w:rPr>
                <w:rFonts w:ascii="Arial" w:cs="Arial" w:eastAsia="Arial" w:hAnsi="Arial"/>
                <w:b/>
                <w:bCs/>
                <w:i w:val="false"/>
                <w:iCs w:val="false"/>
                <w:color w:val="1A4731"/>
                <w:sz w:val="17"/>
                <w:szCs w:val="17"/>
              </w:rPr>
              <w:t xml:space="preserve">IERIF/INCEIF</w:t>
            </w:r>
          </w:p>
          <w:p>
            <w:pPr>
              <w:spacing w:after="0" w:before="0"/>
              <w:jc w:val="center"/>
            </w:pPr>
            <w:r>
              <w:rPr>
                <w:rFonts w:ascii="Arial" w:cs="Arial" w:eastAsia="Arial" w:hAnsi="Arial"/>
                <w:b w:val="false"/>
                <w:bCs w:val="false"/>
                <w:i w:val="false"/>
                <w:iCs w:val="false"/>
                <w:color w:val="555555"/>
                <w:sz w:val="16"/>
                <w:szCs w:val="16"/>
              </w:rPr>
              <w:t xml:space="preserve">RM 20M pool</w:t>
            </w:r>
          </w:p>
        </w:tc>
        <w:tc>
          <w:tcPr>
            <w:tcW w:type="dxa" w:w="1504"/>
            <w:tcBorders>
              <w:top w:val="none" w:color="FFFFFF" w:sz="0"/>
              <w:left w:val="none" w:color="FFFFFF" w:sz="0"/>
              <w:bottom w:val="none" w:color="FFFFFF" w:sz="0"/>
              <w:right w:val="none" w:color="FFFFFF" w:sz="0"/>
            </w:tcBorders>
            <w:shd w:fill="E8F5ED" w:val="clear"/>
            <w:tcMar>
              <w:top w:type="dxa" w:w="120"/>
              <w:left w:type="dxa" w:w="120"/>
              <w:bottom w:type="dxa" w:w="120"/>
              <w:right w:type="dxa" w:w="120"/>
            </w:tcMar>
          </w:tcPr>
          <w:p>
            <w:pPr>
              <w:spacing w:after="30" w:before="0"/>
              <w:jc w:val="center"/>
            </w:pPr>
            <w:r>
              <w:rPr>
                <w:rFonts w:ascii="Arial" w:cs="Arial" w:eastAsia="Arial" w:hAnsi="Arial"/>
                <w:b/>
                <w:bCs/>
                <w:i w:val="false"/>
                <w:iCs w:val="false"/>
                <w:color w:val="1A4731"/>
                <w:sz w:val="17"/>
                <w:szCs w:val="17"/>
              </w:rPr>
              <w:t xml:space="preserve">MDAG</w:t>
            </w:r>
          </w:p>
          <w:p>
            <w:pPr>
              <w:spacing w:after="0" w:before="0"/>
              <w:jc w:val="center"/>
            </w:pPr>
            <w:r>
              <w:rPr>
                <w:rFonts w:ascii="Arial" w:cs="Arial" w:eastAsia="Arial" w:hAnsi="Arial"/>
                <w:b w:val="false"/>
                <w:bCs w:val="false"/>
                <w:i w:val="false"/>
                <w:iCs w:val="false"/>
                <w:color w:val="555555"/>
                <w:sz w:val="16"/>
                <w:szCs w:val="16"/>
              </w:rPr>
              <w:t xml:space="preserve">RM 5M</w:t>
            </w:r>
          </w:p>
        </w:tc>
        <w:tc>
          <w:tcPr>
            <w:tcW w:type="dxa" w:w="1504"/>
            <w:tcBorders>
              <w:top w:val="none" w:color="FFFFFF" w:sz="0"/>
              <w:left w:val="none" w:color="FFFFFF" w:sz="0"/>
              <w:bottom w:val="none" w:color="FFFFFF" w:sz="0"/>
              <w:right w:val="none" w:color="FFFFFF" w:sz="0"/>
            </w:tcBorders>
            <w:shd w:fill="E8F5ED" w:val="clear"/>
            <w:tcMar>
              <w:top w:type="dxa" w:w="120"/>
              <w:left w:type="dxa" w:w="120"/>
              <w:bottom w:type="dxa" w:w="120"/>
              <w:right w:type="dxa" w:w="120"/>
            </w:tcMar>
          </w:tcPr>
          <w:p>
            <w:pPr>
              <w:spacing w:after="30" w:before="0"/>
              <w:jc w:val="center"/>
            </w:pPr>
            <w:r>
              <w:rPr>
                <w:rFonts w:ascii="Arial" w:cs="Arial" w:eastAsia="Arial" w:hAnsi="Arial"/>
                <w:b/>
                <w:bCs/>
                <w:i w:val="false"/>
                <w:iCs w:val="false"/>
                <w:color w:val="1A4731"/>
                <w:sz w:val="17"/>
                <w:szCs w:val="17"/>
              </w:rPr>
              <w:t xml:space="preserve">IsDB Transform</w:t>
            </w:r>
          </w:p>
          <w:p>
            <w:pPr>
              <w:spacing w:after="0" w:before="0"/>
              <w:jc w:val="center"/>
            </w:pPr>
            <w:r>
              <w:rPr>
                <w:rFonts w:ascii="Arial" w:cs="Arial" w:eastAsia="Arial" w:hAnsi="Arial"/>
                <w:b w:val="false"/>
                <w:bCs w:val="false"/>
                <w:i w:val="false"/>
                <w:iCs w:val="false"/>
                <w:color w:val="555555"/>
                <w:sz w:val="16"/>
                <w:szCs w:val="16"/>
              </w:rPr>
              <w:t xml:space="preserve">USD 1M</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none" w:color="FFFFFF" w:sz="0"/>
              <w:left w:val="none" w:color="FFFFFF" w:sz="0"/>
              <w:bottom w:val="none" w:color="FFFFFF" w:sz="0"/>
              <w:right w:val="none" w:color="FFFFFF" w:sz="0"/>
            </w:tcBorders>
            <w:shd w:fill="FDF6E3" w:val="clear"/>
            <w:tcMar>
              <w:top w:type="dxa" w:w="120"/>
              <w:left w:type="dxa" w:w="180"/>
              <w:bottom w:type="dxa" w:w="120"/>
              <w:right w:type="dxa" w:w="180"/>
            </w:tcMar>
          </w:tcPr>
          <w:p>
            <w:pPr>
              <w:spacing w:after="40" w:before="0"/>
              <w:jc w:val="center"/>
            </w:pPr>
            <w:r>
              <w:rPr>
                <w:rFonts w:ascii="Arial" w:cs="Arial" w:eastAsia="Arial" w:hAnsi="Arial"/>
                <w:b/>
                <w:bCs/>
                <w:i w:val="false"/>
                <w:iCs w:val="false"/>
                <w:color w:val="555555"/>
                <w:sz w:val="18"/>
                <w:szCs w:val="18"/>
              </w:rPr>
              <w:t xml:space="preserve">Applicant</w:t>
            </w:r>
          </w:p>
          <w:p>
            <w:pPr>
              <w:spacing w:after="0" w:before="0"/>
              <w:jc w:val="center"/>
            </w:pPr>
            <w:r>
              <w:rPr>
                <w:rFonts w:ascii="Arial" w:cs="Arial" w:eastAsia="Arial" w:hAnsi="Arial"/>
                <w:b/>
                <w:bCs/>
                <w:i w:val="false"/>
                <w:iCs w:val="false"/>
                <w:color w:val="1A4731"/>
                <w:sz w:val="20"/>
                <w:szCs w:val="20"/>
              </w:rPr>
              <w:t xml:space="preserve">Effort Studio / Darya Malak</w:t>
            </w:r>
          </w:p>
        </w:tc>
        <w:tc>
          <w:tcPr>
            <w:tcW w:type="dxa" w:w="3008"/>
            <w:tcBorders>
              <w:top w:val="none" w:color="FFFFFF" w:sz="0"/>
              <w:left w:val="none" w:color="FFFFFF" w:sz="0"/>
              <w:bottom w:val="none" w:color="FFFFFF" w:sz="0"/>
              <w:right w:val="none" w:color="FFFFFF" w:sz="0"/>
            </w:tcBorders>
            <w:shd w:fill="FDF6E3" w:val="clear"/>
            <w:tcMar>
              <w:top w:type="dxa" w:w="120"/>
              <w:left w:type="dxa" w:w="180"/>
              <w:bottom w:type="dxa" w:w="120"/>
              <w:right w:type="dxa" w:w="180"/>
            </w:tcMar>
          </w:tcPr>
          <w:p>
            <w:pPr>
              <w:spacing w:after="40" w:before="0"/>
              <w:jc w:val="center"/>
            </w:pPr>
            <w:r>
              <w:rPr>
                <w:rFonts w:ascii="Arial" w:cs="Arial" w:eastAsia="Arial" w:hAnsi="Arial"/>
                <w:b/>
                <w:bCs/>
                <w:i w:val="false"/>
                <w:iCs w:val="false"/>
                <w:color w:val="555555"/>
                <w:sz w:val="18"/>
                <w:szCs w:val="18"/>
              </w:rPr>
              <w:t xml:space="preserve">Core Ask</w:t>
            </w:r>
          </w:p>
          <w:p>
            <w:pPr>
              <w:spacing w:after="0" w:before="0"/>
              <w:jc w:val="center"/>
            </w:pPr>
            <w:r>
              <w:rPr>
                <w:rFonts w:ascii="Arial" w:cs="Arial" w:eastAsia="Arial" w:hAnsi="Arial"/>
                <w:b/>
                <w:bCs/>
                <w:i w:val="false"/>
                <w:iCs w:val="false"/>
                <w:color w:val="1A4731"/>
                <w:sz w:val="20"/>
                <w:szCs w:val="20"/>
              </w:rPr>
              <w:t xml:space="preserve">RM 550,000 (pilot)</w:t>
            </w:r>
          </w:p>
        </w:tc>
        <w:tc>
          <w:tcPr>
            <w:tcW w:type="dxa" w:w="3008"/>
            <w:tcBorders>
              <w:top w:val="none" w:color="FFFFFF" w:sz="0"/>
              <w:left w:val="none" w:color="FFFFFF" w:sz="0"/>
              <w:bottom w:val="none" w:color="FFFFFF" w:sz="0"/>
              <w:right w:val="none" w:color="FFFFFF" w:sz="0"/>
            </w:tcBorders>
            <w:shd w:fill="FDF6E3" w:val="clear"/>
            <w:tcMar>
              <w:top w:type="dxa" w:w="120"/>
              <w:left w:type="dxa" w:w="180"/>
              <w:bottom w:type="dxa" w:w="120"/>
              <w:right w:type="dxa" w:w="180"/>
            </w:tcMar>
          </w:tcPr>
          <w:p>
            <w:pPr>
              <w:spacing w:after="40" w:before="0"/>
              <w:jc w:val="center"/>
            </w:pPr>
            <w:r>
              <w:rPr>
                <w:rFonts w:ascii="Arial" w:cs="Arial" w:eastAsia="Arial" w:hAnsi="Arial"/>
                <w:b/>
                <w:bCs/>
                <w:i w:val="false"/>
                <w:iCs w:val="false"/>
                <w:color w:val="555555"/>
                <w:sz w:val="18"/>
                <w:szCs w:val="18"/>
              </w:rPr>
              <w:t xml:space="preserve">Date</w:t>
            </w:r>
          </w:p>
          <w:p>
            <w:pPr>
              <w:spacing w:after="0" w:before="0"/>
              <w:jc w:val="center"/>
            </w:pPr>
            <w:r>
              <w:rPr>
                <w:rFonts w:ascii="Arial" w:cs="Arial" w:eastAsia="Arial" w:hAnsi="Arial"/>
                <w:b/>
                <w:bCs/>
                <w:i w:val="false"/>
                <w:iCs w:val="false"/>
                <w:color w:val="1A4731"/>
                <w:sz w:val="20"/>
                <w:szCs w:val="20"/>
              </w:rPr>
              <w:t xml:space="preserve">April 2026</w:t>
            </w:r>
          </w:p>
        </w:tc>
      </w:tr>
    </w:tbl>
    <w:p>
      <w:pPr>
        <w:spacing w:after="0" w:before="0"/>
      </w:pPr>
      <w:r>
        <w:br w:type="page"/>
      </w:r>
    </w:p>
    <w:p>
      <w:pPr>
        <w:pStyle w:val="Heading1"/>
        <w:shd w:fill="0C447C" w:val="clear"/>
        <w:spacing w:after="160" w:before="0"/>
        <w:ind w:left="360" w:right="360"/>
      </w:pPr>
      <w:r>
        <w:rPr>
          <w:rFonts w:ascii="Arial" w:cs="Arial" w:eastAsia="Arial" w:hAnsi="Arial"/>
          <w:b/>
          <w:bCs/>
          <w:color w:val="FFFFFF"/>
          <w:sz w:val="34"/>
          <w:szCs w:val="34"/>
        </w:rPr>
        <w:t xml:space="preserve">HOW TO USE THIS DOCUMENT</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This document is the </w:t>
      </w:r>
      <w:r>
        <w:rPr>
          <w:rFonts w:ascii="Arial" w:cs="Arial" w:eastAsia="Arial" w:hAnsi="Arial"/>
          <w:b/>
          <w:bCs/>
          <w:i w:val="false"/>
          <w:iCs w:val="false"/>
          <w:color w:val="1A1A1A"/>
          <w:sz w:val="22"/>
          <w:szCs w:val="22"/>
        </w:rPr>
        <w:t xml:space="preserve">master template</w:t>
      </w:r>
      <w:r>
        <w:rPr>
          <w:rFonts w:ascii="Arial" w:cs="Arial" w:eastAsia="Arial" w:hAnsi="Arial"/>
          <w:b w:val="false"/>
          <w:bCs w:val="false"/>
          <w:i w:val="false"/>
          <w:iCs w:val="false"/>
          <w:color w:val="1A1A1A"/>
          <w:sz w:val="22"/>
          <w:szCs w:val="22"/>
        </w:rPr>
        <w:t xml:space="preserve"> for AGP grant applications to secular/digital economy, social enterprise, and international Islamic development funders. Each section is written to stand alone. Use the </w:t>
      </w:r>
      <w:r>
        <w:rPr>
          <w:rFonts w:ascii="Arial" w:cs="Arial" w:eastAsia="Arial" w:hAnsi="Arial"/>
          <w:b/>
          <w:bCs/>
          <w:i w:val="false"/>
          <w:iCs w:val="false"/>
          <w:color w:val="1A1A1A"/>
          <w:sz w:val="22"/>
          <w:szCs w:val="22"/>
        </w:rPr>
        <w:t xml:space="preserve">Funder Adaptation Matrix</w:t>
      </w:r>
      <w:r>
        <w:rPr>
          <w:rFonts w:ascii="Arial" w:cs="Arial" w:eastAsia="Arial" w:hAnsi="Arial"/>
          <w:b w:val="false"/>
          <w:bCs w:val="false"/>
          <w:i w:val="false"/>
          <w:iCs w:val="false"/>
          <w:color w:val="1A1A1A"/>
          <w:sz w:val="22"/>
          <w:szCs w:val="22"/>
        </w:rPr>
        <w:t xml:space="preserve"> below to identify which sections to emphasise, adjust, or replace for each specific funder.</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826"/>
      </w:tblGrid>
      <w:tr>
        <w:tc>
          <w:tcPr>
            <w:tcW w:type="dxa" w:w="18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Section</w:t>
            </w:r>
          </w:p>
        </w:tc>
        <w:tc>
          <w:tcPr>
            <w:tcW w:type="dxa" w:w="11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MDEC</w:t>
            </w:r>
          </w:p>
        </w:tc>
        <w:tc>
          <w:tcPr>
            <w:tcW w:type="dxa" w:w="11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Hasanah</w:t>
            </w:r>
          </w:p>
        </w:tc>
        <w:tc>
          <w:tcPr>
            <w:tcW w:type="dxa" w:w="11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Cradle</w:t>
            </w:r>
          </w:p>
        </w:tc>
        <w:tc>
          <w:tcPr>
            <w:tcW w:type="dxa" w:w="11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IERIF</w:t>
            </w:r>
          </w:p>
        </w:tc>
        <w:tc>
          <w:tcPr>
            <w:tcW w:type="dxa" w:w="11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MDAG</w:t>
            </w:r>
          </w:p>
        </w:tc>
        <w:tc>
          <w:tcPr>
            <w:tcW w:type="dxa" w:w="1826"/>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IsDB</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Executive Summary</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826"/>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ADAPT</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Problem Statement</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826"/>
            <w:tcBorders>
              <w:top w:val="single" w:color="DDDDDD" w:sz="1"/>
              <w:left w:val="single" w:color="DDDDDD" w:sz="1"/>
              <w:bottom w:val="single" w:color="DDDDDD" w:sz="1"/>
              <w:right w:val="single" w:color="DDDDDD" w:sz="1"/>
            </w:tcBorders>
            <w:shd w:fill="FFF3CD" w:val="clear"/>
            <w:tcMar>
              <w:top w:type="dxa" w:w="60"/>
              <w:left w:type="dxa" w:w="80"/>
              <w:bottom w:type="dxa" w:w="60"/>
              <w:right w:type="dxa" w:w="80"/>
            </w:tcMar>
          </w:tcPr>
          <w:p>
            <w:pPr>
              <w:jc w:val="center"/>
            </w:pPr>
            <w:r>
              <w:rPr>
                <w:rFonts w:ascii="Arial" w:cs="Arial" w:eastAsia="Arial" w:hAnsi="Arial"/>
                <w:b w:val="false"/>
                <w:bCs w:val="false"/>
                <w:i w:val="false"/>
                <w:iCs w:val="false"/>
                <w:color w:val="856404"/>
                <w:sz w:val="16"/>
                <w:szCs w:val="16"/>
              </w:rPr>
              <w:t xml:space="preserve">EXPAND</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Solution &amp; Platform</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CONDENSE</w:t>
            </w:r>
          </w:p>
        </w:tc>
        <w:tc>
          <w:tcPr>
            <w:tcW w:type="dxa" w:w="1100"/>
            <w:tcBorders>
              <w:top w:val="single" w:color="DDDDDD" w:sz="1"/>
              <w:left w:val="single" w:color="DDDDDD" w:sz="1"/>
              <w:bottom w:val="single" w:color="DDDDDD" w:sz="1"/>
              <w:right w:val="single" w:color="DDDDDD" w:sz="1"/>
            </w:tcBorders>
            <w:shd w:fill="FFF3CD" w:val="clear"/>
            <w:tcMar>
              <w:top w:type="dxa" w:w="60"/>
              <w:left w:type="dxa" w:w="80"/>
              <w:bottom w:type="dxa" w:w="60"/>
              <w:right w:type="dxa" w:w="80"/>
            </w:tcMar>
          </w:tcPr>
          <w:p>
            <w:pPr>
              <w:jc w:val="center"/>
            </w:pPr>
            <w:r>
              <w:rPr>
                <w:rFonts w:ascii="Arial" w:cs="Arial" w:eastAsia="Arial" w:hAnsi="Arial"/>
                <w:b w:val="false"/>
                <w:bCs w:val="false"/>
                <w:i w:val="false"/>
                <w:iCs w:val="false"/>
                <w:color w:val="856404"/>
                <w:sz w:val="16"/>
                <w:szCs w:val="16"/>
              </w:rPr>
              <w:t xml:space="preserve">EXPAND</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826"/>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Technology Overview</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CONDENSE</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826"/>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Maqasid al-Shariah</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LIGHT</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LIGHT</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MINIMAL</w:t>
            </w:r>
          </w:p>
        </w:tc>
        <w:tc>
          <w:tcPr>
            <w:tcW w:type="dxa" w:w="1100"/>
            <w:tcBorders>
              <w:top w:val="single" w:color="DDDDDD" w:sz="1"/>
              <w:left w:val="single" w:color="DDDDDD" w:sz="1"/>
              <w:bottom w:val="single" w:color="DDDDDD" w:sz="1"/>
              <w:right w:val="single" w:color="DDDDDD" w:sz="1"/>
            </w:tcBorders>
            <w:shd w:fill="FDF6E3" w:val="clear"/>
            <w:tcMar>
              <w:top w:type="dxa" w:w="60"/>
              <w:left w:type="dxa" w:w="80"/>
              <w:bottom w:type="dxa" w:w="60"/>
              <w:right w:type="dxa" w:w="80"/>
            </w:tcMar>
          </w:tcPr>
          <w:p>
            <w:pPr>
              <w:jc w:val="center"/>
            </w:pPr>
            <w:r>
              <w:rPr>
                <w:rFonts w:ascii="Arial" w:cs="Arial" w:eastAsia="Arial" w:hAnsi="Arial"/>
                <w:b w:val="false"/>
                <w:bCs w:val="false"/>
                <w:i w:val="false"/>
                <w:iCs w:val="false"/>
                <w:color w:val="C8922A"/>
                <w:sz w:val="16"/>
                <w:szCs w:val="16"/>
              </w:rPr>
              <w:t xml:space="preserve">FULL</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LIGHT</w:t>
            </w:r>
          </w:p>
        </w:tc>
        <w:tc>
          <w:tcPr>
            <w:tcW w:type="dxa" w:w="1826"/>
            <w:tcBorders>
              <w:top w:val="single" w:color="DDDDDD" w:sz="1"/>
              <w:left w:val="single" w:color="DDDDDD" w:sz="1"/>
              <w:bottom w:val="single" w:color="DDDDDD" w:sz="1"/>
              <w:right w:val="single" w:color="DDDDDD" w:sz="1"/>
            </w:tcBorders>
            <w:shd w:fill="FDF6E3" w:val="clear"/>
            <w:tcMar>
              <w:top w:type="dxa" w:w="60"/>
              <w:left w:type="dxa" w:w="80"/>
              <w:bottom w:type="dxa" w:w="60"/>
              <w:right w:type="dxa" w:w="80"/>
            </w:tcMar>
          </w:tcPr>
          <w:p>
            <w:pPr>
              <w:jc w:val="center"/>
            </w:pPr>
            <w:r>
              <w:rPr>
                <w:rFonts w:ascii="Arial" w:cs="Arial" w:eastAsia="Arial" w:hAnsi="Arial"/>
                <w:b w:val="false"/>
                <w:bCs w:val="false"/>
                <w:i w:val="false"/>
                <w:iCs w:val="false"/>
                <w:color w:val="C8922A"/>
                <w:sz w:val="16"/>
                <w:szCs w:val="16"/>
              </w:rPr>
              <w:t xml:space="preserve">FULL</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Impact &amp; SDGs</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826"/>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Sustainability Model</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826"/>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Budget (RM 550K)</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826"/>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USD equiv</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Pilot Plan</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c>
          <w:tcPr>
            <w:tcW w:type="dxa" w:w="1826"/>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KEEP</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Team &amp; Governance</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826"/>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1A1A1A"/>
                <w:sz w:val="18"/>
                <w:szCs w:val="18"/>
              </w:rPr>
              <w:t xml:space="preserve">Intl. Scalability</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MINIMAL</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MINIMAL</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MINIMAL</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jc w:val="center"/>
            </w:pPr>
            <w:r>
              <w:rPr>
                <w:rFonts w:ascii="Arial" w:cs="Arial" w:eastAsia="Arial" w:hAnsi="Arial"/>
                <w:b w:val="false"/>
                <w:bCs w:val="false"/>
                <w:i w:val="false"/>
                <w:iCs w:val="false"/>
                <w:color w:val="555555"/>
                <w:sz w:val="16"/>
                <w:szCs w:val="16"/>
              </w:rPr>
              <w:t xml:space="preserve">INCLUDE</w:t>
            </w:r>
          </w:p>
        </w:tc>
        <w:tc>
          <w:tcPr>
            <w:tcW w:type="dxa" w:w="1826"/>
            <w:tcBorders>
              <w:top w:val="single" w:color="DDDDDD" w:sz="1"/>
              <w:left w:val="single" w:color="DDDDDD" w:sz="1"/>
              <w:bottom w:val="single" w:color="DDDDDD" w:sz="1"/>
              <w:right w:val="single" w:color="DDDDDD" w:sz="1"/>
            </w:tcBorders>
            <w:shd w:fill="E8F5ED" w:val="clear"/>
            <w:tcMar>
              <w:top w:type="dxa" w:w="60"/>
              <w:left w:type="dxa" w:w="80"/>
              <w:bottom w:type="dxa" w:w="60"/>
              <w:right w:type="dxa" w:w="80"/>
            </w:tcMar>
          </w:tcPr>
          <w:p>
            <w:pPr>
              <w:jc w:val="center"/>
            </w:pPr>
            <w:r>
              <w:rPr>
                <w:rFonts w:ascii="Arial" w:cs="Arial" w:eastAsia="Arial" w:hAnsi="Arial"/>
                <w:b w:val="false"/>
                <w:bCs w:val="false"/>
                <w:i w:val="false"/>
                <w:iCs w:val="false"/>
                <w:color w:val="2D7A4F"/>
                <w:sz w:val="16"/>
                <w:szCs w:val="16"/>
              </w:rPr>
              <w:t xml:space="preserve">PRIMARY</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DDDDDD" w:sz="1"/>
              <w:left w:val="single" w:color="DDDDDD" w:sz="1"/>
              <w:bottom w:val="single" w:color="DDDDDD" w:sz="1"/>
              <w:right w:val="single" w:color="DDDDDD" w:sz="1"/>
            </w:tcBorders>
            <w:shd w:fill="E8F5ED" w:val="clear"/>
            <w:tcMar>
              <w:top w:type="dxa" w:w="60"/>
              <w:left w:type="dxa" w:w="120"/>
              <w:bottom w:type="dxa" w:w="60"/>
              <w:right w:type="dxa" w:w="120"/>
            </w:tcMar>
          </w:tcPr>
          <w:p>
            <w:r>
              <w:rPr>
                <w:rFonts w:ascii="Arial" w:cs="Arial" w:eastAsia="Arial" w:hAnsi="Arial"/>
                <w:b/>
                <w:bCs/>
                <w:i w:val="false"/>
                <w:iCs w:val="false"/>
                <w:color w:val="2D7A4F"/>
                <w:sz w:val="19"/>
                <w:szCs w:val="19"/>
              </w:rPr>
              <w:t xml:space="preserve">PRIMARY</w:t>
            </w:r>
          </w:p>
        </w:tc>
        <w:tc>
          <w:tcPr>
            <w:tcW w:type="dxa" w:w="7526"/>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b w:val="false"/>
                <w:bCs w:val="false"/>
                <w:i w:val="false"/>
                <w:iCs w:val="false"/>
                <w:color w:val="1A1A1A"/>
                <w:sz w:val="19"/>
                <w:szCs w:val="19"/>
              </w:rPr>
              <w:t xml:space="preserve">Feature this section prominently. Use in first 3 pages.</w:t>
            </w:r>
          </w:p>
        </w:tc>
      </w:tr>
      <w:tr>
        <w:tc>
          <w:tcPr>
            <w:tcW w:type="dxa" w:w="1500"/>
            <w:tcBorders>
              <w:top w:val="single" w:color="DDDDDD" w:sz="1"/>
              <w:left w:val="single" w:color="DDDDDD" w:sz="1"/>
              <w:bottom w:val="single" w:color="DDDDDD" w:sz="1"/>
              <w:right w:val="single" w:color="DDDDDD" w:sz="1"/>
            </w:tcBorders>
            <w:shd w:fill="FDF6E3" w:val="clear"/>
            <w:tcMar>
              <w:top w:type="dxa" w:w="60"/>
              <w:left w:type="dxa" w:w="120"/>
              <w:bottom w:type="dxa" w:w="60"/>
              <w:right w:type="dxa" w:w="120"/>
            </w:tcMar>
          </w:tcPr>
          <w:p>
            <w:r>
              <w:rPr>
                <w:rFonts w:ascii="Arial" w:cs="Arial" w:eastAsia="Arial" w:hAnsi="Arial"/>
                <w:b/>
                <w:bCs/>
                <w:i w:val="false"/>
                <w:iCs w:val="false"/>
                <w:color w:val="C8922A"/>
                <w:sz w:val="19"/>
                <w:szCs w:val="19"/>
              </w:rPr>
              <w:t xml:space="preserve">FULL</w:t>
            </w:r>
          </w:p>
        </w:tc>
        <w:tc>
          <w:tcPr>
            <w:tcW w:type="dxa" w:w="7526"/>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b w:val="false"/>
                <w:bCs w:val="false"/>
                <w:i w:val="false"/>
                <w:iCs w:val="false"/>
                <w:color w:val="1A1A1A"/>
                <w:sz w:val="19"/>
                <w:szCs w:val="19"/>
              </w:rPr>
              <w:t xml:space="preserve">Include in full — this section aligns directly with funder priority.</w:t>
            </w:r>
          </w:p>
        </w:tc>
      </w:tr>
      <w:tr>
        <w:tc>
          <w:tcPr>
            <w:tcW w:type="dxa" w:w="15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b/>
                <w:bCs/>
                <w:i w:val="false"/>
                <w:iCs w:val="false"/>
                <w:color w:val="856404"/>
                <w:sz w:val="19"/>
                <w:szCs w:val="19"/>
              </w:rPr>
              <w:t xml:space="preserve">EXPAND</w:t>
            </w:r>
          </w:p>
        </w:tc>
        <w:tc>
          <w:tcPr>
            <w:tcW w:type="dxa" w:w="7526"/>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b w:val="false"/>
                <w:bCs w:val="false"/>
                <w:i w:val="false"/>
                <w:iCs w:val="false"/>
                <w:color w:val="1A1A1A"/>
                <w:sz w:val="19"/>
                <w:szCs w:val="19"/>
              </w:rPr>
              <w:t xml:space="preserve">Expand beyond the template — add funder-specific data, language, and evidence.</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1. Executive Summary</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Effort Studio requests </w:t>
      </w:r>
      <w:r>
        <w:rPr>
          <w:rFonts w:ascii="Arial" w:cs="Arial" w:eastAsia="Arial" w:hAnsi="Arial"/>
          <w:b/>
          <w:bCs/>
          <w:i w:val="false"/>
          <w:iCs w:val="false"/>
          <w:color w:val="1A1A1A"/>
          <w:sz w:val="22"/>
          <w:szCs w:val="22"/>
        </w:rPr>
        <w:t xml:space="preserve">RM 550,000</w:t>
      </w:r>
      <w:r>
        <w:rPr>
          <w:rFonts w:ascii="Arial" w:cs="Arial" w:eastAsia="Arial" w:hAnsi="Arial"/>
          <w:b w:val="false"/>
          <w:bCs w:val="false"/>
          <w:i w:val="false"/>
          <w:iCs w:val="false"/>
          <w:color w:val="1A1A1A"/>
          <w:sz w:val="22"/>
          <w:szCs w:val="22"/>
        </w:rPr>
        <w:t xml:space="preserve"> to fund the 12-month pilot deployment of the </w:t>
      </w:r>
      <w:r>
        <w:rPr>
          <w:rFonts w:ascii="Arial" w:cs="Arial" w:eastAsia="Arial" w:hAnsi="Arial"/>
          <w:b/>
          <w:bCs/>
          <w:i w:val="false"/>
          <w:iCs w:val="false"/>
          <w:color w:val="1A1A1A"/>
          <w:sz w:val="22"/>
          <w:szCs w:val="22"/>
        </w:rPr>
        <w:t xml:space="preserve">Amanah Governance Platform (AGP)</w:t>
      </w:r>
      <w:r>
        <w:rPr>
          <w:rFonts w:ascii="Arial" w:cs="Arial" w:eastAsia="Arial" w:hAnsi="Arial"/>
          <w:b w:val="false"/>
          <w:bCs w:val="false"/>
          <w:i w:val="false"/>
          <w:iCs w:val="false"/>
          <w:color w:val="1A1A1A"/>
          <w:sz w:val="22"/>
          <w:szCs w:val="22"/>
        </w:rPr>
        <w:t xml:space="preserve"> — Malaysia’s first structured digital governance and transparency infrastructure for Islamic charities, mosques, Waqf institutions, and Zakat bodies.</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AGP is not a prototype or a concept paper. </w:t>
      </w:r>
      <w:r>
        <w:rPr>
          <w:rFonts w:ascii="Arial" w:cs="Arial" w:eastAsia="Arial" w:hAnsi="Arial"/>
          <w:b/>
          <w:bCs/>
          <w:i w:val="false"/>
          <w:iCs w:val="false"/>
          <w:color w:val="1A1A1A"/>
          <w:sz w:val="22"/>
          <w:szCs w:val="22"/>
        </w:rPr>
        <w:t xml:space="preserve">Phase 1 is fully built, tested, and live</w:t>
      </w:r>
      <w:r>
        <w:rPr>
          <w:rFonts w:ascii="Arial" w:cs="Arial" w:eastAsia="Arial" w:hAnsi="Arial"/>
          <w:b w:val="false"/>
          <w:bCs w:val="false"/>
          <w:i w:val="false"/>
          <w:iCs w:val="false"/>
          <w:color w:val="1A1A1A"/>
          <w:sz w:val="22"/>
          <w:szCs w:val="22"/>
        </w:rPr>
        <w:t xml:space="preserve">. The platform has passed 64 unit tests and 4 end-to-end test suites. It is deployed on production infrastructure and ready for pilot organisations to onboard today. This grant funds the deployment, onboarding, evaluation, and national scale-up of a working system.</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none" w:color="FFFFFF" w:sz="0"/>
              <w:left w:val="none" w:color="FFFFFF" w:sz="0"/>
              <w:bottom w:val="none" w:color="FFFFFF" w:sz="0"/>
              <w:right w:val="none" w:color="FFFFFF" w:sz="0"/>
            </w:tcBorders>
            <w:shd w:fill="E8F5ED"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2D7A4F"/>
                <w:sz w:val="28"/>
                <w:szCs w:val="28"/>
              </w:rPr>
              <w:t xml:space="preserve">RM 3.65B+</w:t>
            </w:r>
          </w:p>
          <w:p>
            <w:pPr>
              <w:spacing w:after="0" w:before="0"/>
              <w:jc w:val="center"/>
            </w:pPr>
            <w:r>
              <w:rPr>
                <w:rFonts w:ascii="Arial" w:cs="Arial" w:eastAsia="Arial" w:hAnsi="Arial"/>
                <w:b w:val="false"/>
                <w:bCs w:val="false"/>
                <w:i w:val="false"/>
                <w:iCs w:val="false"/>
                <w:color w:val="555555"/>
                <w:sz w:val="17"/>
                <w:szCs w:val="17"/>
              </w:rPr>
              <w:t xml:space="preserve">National Zakat collection annually (growing 10–12% p.a.)</w:t>
            </w:r>
          </w:p>
        </w:tc>
        <w:tc>
          <w:tcPr>
            <w:tcW w:type="dxa" w:w="2256"/>
            <w:tcBorders>
              <w:top w:val="none" w:color="FFFFFF" w:sz="0"/>
              <w:left w:val="none" w:color="FFFFFF" w:sz="0"/>
              <w:bottom w:val="none" w:color="FFFFFF" w:sz="0"/>
              <w:right w:val="none" w:color="FFFFFF" w:sz="0"/>
            </w:tcBorders>
            <w:shd w:fill="E8F5ED"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2D7A4F"/>
                <w:sz w:val="28"/>
                <w:szCs w:val="28"/>
              </w:rPr>
              <w:t xml:space="preserve">96,722</w:t>
            </w:r>
          </w:p>
          <w:p>
            <w:pPr>
              <w:spacing w:after="0" w:before="0"/>
              <w:jc w:val="center"/>
            </w:pPr>
            <w:r>
              <w:rPr>
                <w:rFonts w:ascii="Arial" w:cs="Arial" w:eastAsia="Arial" w:hAnsi="Arial"/>
                <w:b w:val="false"/>
                <w:bCs w:val="false"/>
                <w:i w:val="false"/>
                <w:iCs w:val="false"/>
                <w:color w:val="555555"/>
                <w:sz w:val="17"/>
                <w:szCs w:val="17"/>
              </w:rPr>
              <w:t xml:space="preserve">NGOs registered with ROS — no centralised transparency portal</w:t>
            </w:r>
          </w:p>
        </w:tc>
        <w:tc>
          <w:tcPr>
            <w:tcW w:type="dxa" w:w="2256"/>
            <w:tcBorders>
              <w:top w:val="none" w:color="FFFFFF" w:sz="0"/>
              <w:left w:val="none" w:color="FFFFFF" w:sz="0"/>
              <w:bottom w:val="none" w:color="FFFFFF" w:sz="0"/>
              <w:right w:val="none" w:color="FFFFFF" w:sz="0"/>
            </w:tcBorders>
            <w:shd w:fill="E8F5ED"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2D7A4F"/>
                <w:sz w:val="28"/>
                <w:szCs w:val="28"/>
              </w:rPr>
              <w:t xml:space="preserve">25,196</w:t>
            </w:r>
          </w:p>
          <w:p>
            <w:pPr>
              <w:spacing w:after="0" w:before="0"/>
              <w:jc w:val="center"/>
            </w:pPr>
            <w:r>
              <w:rPr>
                <w:rFonts w:ascii="Arial" w:cs="Arial" w:eastAsia="Arial" w:hAnsi="Arial"/>
                <w:b w:val="false"/>
                <w:bCs w:val="false"/>
                <w:i w:val="false"/>
                <w:iCs w:val="false"/>
                <w:color w:val="555555"/>
                <w:sz w:val="17"/>
                <w:szCs w:val="17"/>
              </w:rPr>
              <w:t xml:space="preserve">Mosques &amp; surau — &lt;2% have digital governance tools</w:t>
            </w:r>
          </w:p>
        </w:tc>
        <w:tc>
          <w:tcPr>
            <w:tcW w:type="dxa" w:w="2256"/>
            <w:tcBorders>
              <w:top w:val="none" w:color="FFFFFF" w:sz="0"/>
              <w:left w:val="none" w:color="FFFFFF" w:sz="0"/>
              <w:bottom w:val="none" w:color="FFFFFF" w:sz="0"/>
              <w:right w:val="none" w:color="FFFFFF" w:sz="0"/>
            </w:tcBorders>
            <w:shd w:fill="E8F5ED"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2D7A4F"/>
                <w:sz w:val="28"/>
                <w:szCs w:val="28"/>
              </w:rPr>
              <w:t xml:space="preserve">RM 1.3T</w:t>
            </w:r>
          </w:p>
          <w:p>
            <w:pPr>
              <w:spacing w:after="0" w:before="0"/>
              <w:jc w:val="center"/>
            </w:pPr>
            <w:r>
              <w:rPr>
                <w:rFonts w:ascii="Arial" w:cs="Arial" w:eastAsia="Arial" w:hAnsi="Arial"/>
                <w:b w:val="false"/>
                <w:bCs w:val="false"/>
                <w:i w:val="false"/>
                <w:iCs w:val="false"/>
                <w:color w:val="555555"/>
                <w:sz w:val="17"/>
                <w:szCs w:val="17"/>
              </w:rPr>
              <w:t xml:space="preserve">Waqf assets estimated — largely underleveraged due to governance gaps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Why Now:  </w:t>
            </w:r>
            <w:r>
              <w:rPr>
                <w:rFonts w:ascii="Arial" w:cs="Arial" w:eastAsia="Arial" w:hAnsi="Arial"/>
                <w:color w:val="1A1A1A"/>
                <w:sz w:val="22"/>
                <w:szCs w:val="22"/>
              </w:rPr>
              <w:t xml:space="preserve">MACC is actively prosecuting NGO fraud (RM70M Aman Palestin case; RM26M Serantau case; 5+ active probes in 2026). Malaysia's Digital Investment Office explicitly identifies waqf/zakat transparency as an "industry pain point" awaiting tech solutions. PM Anwar personally championed blockchain-based waqf governance at the 2025 World Zakat and Waqf Forum.</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2. Funder-Specific Statements</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The following sub-sections contain </w:t>
      </w:r>
      <w:r>
        <w:rPr>
          <w:rFonts w:ascii="Arial" w:cs="Arial" w:eastAsia="Arial" w:hAnsi="Arial"/>
          <w:b/>
          <w:bCs/>
          <w:i w:val="false"/>
          <w:iCs w:val="false"/>
          <w:color w:val="1A1A1A"/>
          <w:sz w:val="22"/>
          <w:szCs w:val="22"/>
        </w:rPr>
        <w:t xml:space="preserve">tailored positioning statements</w:t>
      </w:r>
      <w:r>
        <w:rPr>
          <w:rFonts w:ascii="Arial" w:cs="Arial" w:eastAsia="Arial" w:hAnsi="Arial"/>
          <w:b w:val="false"/>
          <w:bCs w:val="false"/>
          <w:i w:val="false"/>
          <w:iCs w:val="false"/>
          <w:color w:val="1A1A1A"/>
          <w:sz w:val="22"/>
          <w:szCs w:val="22"/>
        </w:rPr>
        <w:t xml:space="preserve"> for each primary grant body. Prepend the relevant statement to the Executive Summary when submitting to that funder. All other sections of this document remain unchanged.</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c>
          <w:tcPr>
            <w:tcW w:type="dxa" w:w="5626"/>
            <w:tcBorders>
              <w:top w:val="none" w:color="FFFFFF" w:sz="0"/>
              <w:left w:val="none" w:color="FFFFFF" w:sz="0"/>
              <w:bottom w:val="none" w:color="FFFFFF" w:sz="0"/>
              <w:right w:val="none" w:color="FFFFFF" w:sz="0"/>
            </w:tcBorders>
            <w:shd w:fill="E6F1FB" w:val="clear"/>
            <w:tcMar>
              <w:top w:type="dxa" w:w="120"/>
              <w:left w:type="dxa" w:w="240"/>
              <w:bottom w:type="dxa" w:w="120"/>
              <w:right w:type="dxa" w:w="240"/>
            </w:tcMar>
          </w:tcPr>
          <w:p>
            <w:pPr>
              <w:spacing w:after="40" w:before="0"/>
            </w:pPr>
            <w:r>
              <w:rPr>
                <w:rFonts w:ascii="Arial" w:cs="Arial" w:eastAsia="Arial" w:hAnsi="Arial"/>
                <w:b/>
                <w:bCs/>
                <w:i w:val="false"/>
                <w:iCs w:val="false"/>
                <w:color w:val="0C447C"/>
                <w:sz w:val="21"/>
                <w:szCs w:val="21"/>
              </w:rPr>
              <w:t xml:space="preserve">Target Funder: MDEC — Malaysia Digital Catalyst Grant (MDCG)</w:t>
            </w:r>
          </w:p>
          <w:p>
            <w:pPr>
              <w:spacing w:after="0" w:before="0"/>
            </w:pPr>
            <w:r>
              <w:rPr>
                <w:rFonts w:ascii="Arial" w:cs="Arial" w:eastAsia="Arial" w:hAnsi="Arial"/>
                <w:b w:val="false"/>
                <w:bCs w:val="false"/>
                <w:i/>
                <w:iCs/>
                <w:color w:val="555555"/>
                <w:sz w:val="18"/>
                <w:szCs w:val="18"/>
              </w:rPr>
              <w:t xml:space="preserve">mdec.my/grants/mdcg</w:t>
            </w:r>
          </w:p>
        </w:tc>
        <w:tc>
          <w:tcPr>
            <w:tcW w:type="dxa" w:w="3400"/>
            <w:tcBorders>
              <w:top w:val="none" w:color="FFFFFF" w:sz="0"/>
              <w:left w:val="none" w:color="FFFFFF" w:sz="0"/>
              <w:bottom w:val="none" w:color="FFFFFF" w:sz="0"/>
              <w:right w:val="none" w:color="FFFFFF" w:sz="0"/>
            </w:tcBorders>
            <w:shd w:fill="FDF6E3" w:val="clear"/>
            <w:tcMar>
              <w:top w:type="dxa" w:w="120"/>
              <w:left w:type="dxa" w:w="240"/>
              <w:bottom w:type="dxa" w:w="120"/>
              <w:right w:type="dxa" w:w="240"/>
            </w:tcMar>
          </w:tcPr>
          <w:p>
            <w:pPr>
              <w:spacing w:after="40" w:before="0"/>
              <w:jc w:val="center"/>
            </w:pPr>
            <w:r>
              <w:rPr>
                <w:rFonts w:ascii="Arial" w:cs="Arial" w:eastAsia="Arial" w:hAnsi="Arial"/>
                <w:b/>
                <w:bCs/>
                <w:i w:val="false"/>
                <w:iCs w:val="false"/>
                <w:color w:val="555555"/>
                <w:sz w:val="19"/>
                <w:szCs w:val="19"/>
              </w:rPr>
              <w:t xml:space="preserve">Grant Range</w:t>
            </w:r>
          </w:p>
          <w:p>
            <w:pPr>
              <w:spacing w:after="0" w:before="0"/>
              <w:jc w:val="center"/>
            </w:pPr>
            <w:r>
              <w:rPr>
                <w:rFonts w:ascii="Arial" w:cs="Arial" w:eastAsia="Arial" w:hAnsi="Arial"/>
                <w:b/>
                <w:bCs/>
                <w:i w:val="false"/>
                <w:iCs w:val="false"/>
                <w:color w:val="1A4731"/>
                <w:sz w:val="24"/>
                <w:szCs w:val="24"/>
              </w:rPr>
              <w:t xml:space="preserve">Up to RM 1,000,000</w:t>
            </w:r>
          </w:p>
        </w:tc>
      </w:tr>
    </w:tbl>
    <w:p>
      <w:pPr>
        <w:spacing w:after="60" w:before="0"/>
      </w:pPr>
    </w:p>
    <w:p>
      <w:pPr>
        <w:pStyle w:val="Heading3"/>
        <w:spacing w:after="80" w:before="200"/>
      </w:pPr>
      <w:r>
        <w:rPr>
          <w:rFonts w:ascii="Arial" w:cs="Arial" w:eastAsia="Arial" w:hAnsi="Arial"/>
          <w:b/>
          <w:bCs/>
          <w:color w:val="2D7A4F"/>
          <w:sz w:val="24"/>
          <w:szCs w:val="24"/>
        </w:rPr>
        <w:t xml:space="preserve">MDEC Positioning Statement</w:t>
      </w:r>
    </w:p>
    <w:p>
      <w:pPr>
        <w:spacing w:after="100" w:before="80"/>
        <w:jc w:val="both"/>
      </w:pPr>
      <w:r>
        <w:rPr>
          <w:rFonts w:ascii="Arial" w:cs="Arial" w:eastAsia="Arial" w:hAnsi="Arial"/>
          <w:b w:val="false"/>
          <w:bCs w:val="false"/>
          <w:i w:val="false"/>
          <w:iCs w:val="false"/>
          <w:color w:val="1A1A1A"/>
          <w:sz w:val="22"/>
          <w:szCs w:val="22"/>
        </w:rPr>
        <w:t xml:space="preserve">AGP directly implements </w:t>
      </w:r>
      <w:r>
        <w:rPr>
          <w:rFonts w:ascii="Arial" w:cs="Arial" w:eastAsia="Arial" w:hAnsi="Arial"/>
          <w:b/>
          <w:bCs/>
          <w:i w:val="false"/>
          <w:iCs w:val="false"/>
          <w:color w:val="1A1A1A"/>
          <w:sz w:val="22"/>
          <w:szCs w:val="22"/>
        </w:rPr>
        <w:t xml:space="preserve">MyDIGITAL Strategic Thrust 5</w:t>
      </w:r>
      <w:r>
        <w:rPr>
          <w:rFonts w:ascii="Arial" w:cs="Arial" w:eastAsia="Arial" w:hAnsi="Arial"/>
          <w:b w:val="false"/>
          <w:bCs w:val="false"/>
          <w:i w:val="false"/>
          <w:iCs w:val="false"/>
          <w:color w:val="1A1A1A"/>
          <w:sz w:val="22"/>
          <w:szCs w:val="22"/>
        </w:rPr>
        <w:t xml:space="preserve"> (Inclusive Digital Society) and </w:t>
      </w:r>
      <w:r>
        <w:rPr>
          <w:rFonts w:ascii="Arial" w:cs="Arial" w:eastAsia="Arial" w:hAnsi="Arial"/>
          <w:b/>
          <w:bCs/>
          <w:i w:val="false"/>
          <w:iCs w:val="false"/>
          <w:color w:val="1A1A1A"/>
          <w:sz w:val="22"/>
          <w:szCs w:val="22"/>
        </w:rPr>
        <w:t xml:space="preserve">Thrust 6</w:t>
      </w:r>
      <w:r>
        <w:rPr>
          <w:rFonts w:ascii="Arial" w:cs="Arial" w:eastAsia="Arial" w:hAnsi="Arial"/>
          <w:b w:val="false"/>
          <w:bCs w:val="false"/>
          <w:i w:val="false"/>
          <w:iCs w:val="false"/>
          <w:color w:val="1A1A1A"/>
          <w:sz w:val="22"/>
          <w:szCs w:val="22"/>
        </w:rPr>
        <w:t xml:space="preserve"> (Trusted, Secure, and Ethical Digital Environment). The platform digitises governance across 96,722 NGOs and 25,196 mosques — a sector that contributes billions to national social welfare but operates with pre-digital governance infrastructure. AGP is purpose-built as a </w:t>
      </w:r>
      <w:r>
        <w:rPr>
          <w:rFonts w:ascii="Arial" w:cs="Arial" w:eastAsia="Arial" w:hAnsi="Arial"/>
          <w:b/>
          <w:bCs/>
          <w:i w:val="false"/>
          <w:iCs w:val="false"/>
          <w:color w:val="1A1A1A"/>
          <w:sz w:val="22"/>
          <w:szCs w:val="22"/>
        </w:rPr>
        <w:t xml:space="preserve">Malaysia Digital (MD)-status platform</w:t>
      </w:r>
      <w:r>
        <w:rPr>
          <w:rFonts w:ascii="Arial" w:cs="Arial" w:eastAsia="Arial" w:hAnsi="Arial"/>
          <w:b w:val="false"/>
          <w:bCs w:val="false"/>
          <w:i w:val="false"/>
          <w:iCs w:val="false"/>
          <w:color w:val="1A1A1A"/>
          <w:sz w:val="22"/>
          <w:szCs w:val="22"/>
        </w:rPr>
        <w:t xml:space="preserve"> with a provider-neutral payment architecture (ToyyibPay primary; Billplz adapter-ready), PDPA-aligned data governance, and Row-Level Security enforced at the database layer.</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60"/>
              <w:left w:type="dxa" w:w="240"/>
              <w:bottom w:type="dxa" w:w="160"/>
              <w:right w:type="dxa" w:w="240"/>
            </w:tcMar>
          </w:tcPr>
          <w:p>
            <w:pPr>
              <w:spacing w:after="0" w:before="0"/>
            </w:pPr>
            <w:r>
              <w:rPr>
                <w:rFonts w:ascii="Arial" w:cs="Arial" w:eastAsia="Arial" w:hAnsi="Arial"/>
                <w:b/>
                <w:bCs/>
                <w:color w:val="0C447C"/>
                <w:sz w:val="22"/>
                <w:szCs w:val="22"/>
              </w:rPr>
              <w:t xml:space="preserve">MDEC Alignment:  </w:t>
            </w:r>
            <w:r>
              <w:rPr>
                <w:rFonts w:ascii="Arial" w:cs="Arial" w:eastAsia="Arial" w:hAnsi="Arial"/>
                <w:color w:val="1A1A1A"/>
                <w:sz w:val="22"/>
                <w:szCs w:val="22"/>
              </w:rPr>
              <w:t xml:space="preserve">Islamic Digital Economy (promoted sector) + Digital Finance (promoted sector). Prerequisite: Malaysia Digital Status application to be submitted concurrently. AGP qualifies for MDCG co-creation category with MAIN/JAKIM as end-user industry partner.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c>
          <w:tcPr>
            <w:tcW w:type="dxa" w:w="5626"/>
            <w:tcBorders>
              <w:top w:val="none" w:color="FFFFFF" w:sz="0"/>
              <w:left w:val="none" w:color="FFFFFF" w:sz="0"/>
              <w:bottom w:val="none" w:color="FFFFFF" w:sz="0"/>
              <w:right w:val="none" w:color="FFFFFF" w:sz="0"/>
            </w:tcBorders>
            <w:shd w:fill="E6F1FB" w:val="clear"/>
            <w:tcMar>
              <w:top w:type="dxa" w:w="120"/>
              <w:left w:type="dxa" w:w="240"/>
              <w:bottom w:type="dxa" w:w="120"/>
              <w:right w:type="dxa" w:w="240"/>
            </w:tcMar>
          </w:tcPr>
          <w:p>
            <w:pPr>
              <w:spacing w:after="40" w:before="0"/>
            </w:pPr>
            <w:r>
              <w:rPr>
                <w:rFonts w:ascii="Arial" w:cs="Arial" w:eastAsia="Arial" w:hAnsi="Arial"/>
                <w:b/>
                <w:bCs/>
                <w:i w:val="false"/>
                <w:iCs w:val="false"/>
                <w:color w:val="0C447C"/>
                <w:sz w:val="21"/>
                <w:szCs w:val="21"/>
              </w:rPr>
              <w:t xml:space="preserve">Target Funder: Yayasan Hasanah — Special Grant / Social Enterprise Fund</w:t>
            </w:r>
          </w:p>
          <w:p>
            <w:pPr>
              <w:spacing w:after="0" w:before="0"/>
            </w:pPr>
            <w:r>
              <w:rPr>
                <w:rFonts w:ascii="Arial" w:cs="Arial" w:eastAsia="Arial" w:hAnsi="Arial"/>
                <w:b w:val="false"/>
                <w:bCs w:val="false"/>
                <w:i/>
                <w:iCs/>
                <w:color w:val="555555"/>
                <w:sz w:val="18"/>
                <w:szCs w:val="18"/>
              </w:rPr>
              <w:t xml:space="preserve">yayasanhasanah.org</w:t>
            </w:r>
          </w:p>
        </w:tc>
        <w:tc>
          <w:tcPr>
            <w:tcW w:type="dxa" w:w="3400"/>
            <w:tcBorders>
              <w:top w:val="none" w:color="FFFFFF" w:sz="0"/>
              <w:left w:val="none" w:color="FFFFFF" w:sz="0"/>
              <w:bottom w:val="none" w:color="FFFFFF" w:sz="0"/>
              <w:right w:val="none" w:color="FFFFFF" w:sz="0"/>
            </w:tcBorders>
            <w:shd w:fill="FDF6E3" w:val="clear"/>
            <w:tcMar>
              <w:top w:type="dxa" w:w="120"/>
              <w:left w:type="dxa" w:w="240"/>
              <w:bottom w:type="dxa" w:w="120"/>
              <w:right w:type="dxa" w:w="240"/>
            </w:tcMar>
          </w:tcPr>
          <w:p>
            <w:pPr>
              <w:spacing w:after="40" w:before="0"/>
              <w:jc w:val="center"/>
            </w:pPr>
            <w:r>
              <w:rPr>
                <w:rFonts w:ascii="Arial" w:cs="Arial" w:eastAsia="Arial" w:hAnsi="Arial"/>
                <w:b/>
                <w:bCs/>
                <w:i w:val="false"/>
                <w:iCs w:val="false"/>
                <w:color w:val="555555"/>
                <w:sz w:val="19"/>
                <w:szCs w:val="19"/>
              </w:rPr>
              <w:t xml:space="preserve">Grant Range</w:t>
            </w:r>
          </w:p>
          <w:p>
            <w:pPr>
              <w:spacing w:after="0" w:before="0"/>
              <w:jc w:val="center"/>
            </w:pPr>
            <w:r>
              <w:rPr>
                <w:rFonts w:ascii="Arial" w:cs="Arial" w:eastAsia="Arial" w:hAnsi="Arial"/>
                <w:b/>
                <w:bCs/>
                <w:i w:val="false"/>
                <w:iCs w:val="false"/>
                <w:color w:val="1A4731"/>
                <w:sz w:val="24"/>
                <w:szCs w:val="24"/>
              </w:rPr>
              <w:t xml:space="preserve">RM 50K – RM 2.5M</w:t>
            </w:r>
          </w:p>
        </w:tc>
      </w:tr>
    </w:tbl>
    <w:p>
      <w:pPr>
        <w:spacing w:after="60" w:before="0"/>
      </w:pPr>
    </w:p>
    <w:p>
      <w:pPr>
        <w:pStyle w:val="Heading3"/>
        <w:spacing w:after="80" w:before="200"/>
      </w:pPr>
      <w:r>
        <w:rPr>
          <w:rFonts w:ascii="Arial" w:cs="Arial" w:eastAsia="Arial" w:hAnsi="Arial"/>
          <w:b/>
          <w:bCs/>
          <w:color w:val="2D7A4F"/>
          <w:sz w:val="24"/>
          <w:szCs w:val="24"/>
        </w:rPr>
        <w:t xml:space="preserve">Hasanah Positioning Statement</w:t>
      </w:r>
    </w:p>
    <w:p>
      <w:pPr>
        <w:spacing w:after="100" w:before="80"/>
        <w:jc w:val="both"/>
      </w:pPr>
      <w:r>
        <w:rPr>
          <w:rFonts w:ascii="Arial" w:cs="Arial" w:eastAsia="Arial" w:hAnsi="Arial"/>
          <w:b w:val="false"/>
          <w:bCs w:val="false"/>
          <w:i w:val="false"/>
          <w:iCs w:val="false"/>
          <w:color w:val="1A1A1A"/>
          <w:sz w:val="22"/>
          <w:szCs w:val="22"/>
        </w:rPr>
        <w:t xml:space="preserve">AGP aligns precisely with Yayasan Hasanah’s </w:t>
      </w:r>
      <w:r>
        <w:rPr>
          <w:rFonts w:ascii="Arial" w:cs="Arial" w:eastAsia="Arial" w:hAnsi="Arial"/>
          <w:b/>
          <w:bCs/>
          <w:i w:val="false"/>
          <w:iCs w:val="false"/>
          <w:color w:val="1A1A1A"/>
          <w:sz w:val="22"/>
          <w:szCs w:val="22"/>
        </w:rPr>
        <w:t xml:space="preserve">Knowledge and Community Development</w:t>
      </w:r>
      <w:r>
        <w:rPr>
          <w:rFonts w:ascii="Arial" w:cs="Arial" w:eastAsia="Arial" w:hAnsi="Arial"/>
          <w:b w:val="false"/>
          <w:bCs w:val="false"/>
          <w:i w:val="false"/>
          <w:iCs w:val="false"/>
          <w:color w:val="1A1A1A"/>
          <w:sz w:val="22"/>
          <w:szCs w:val="22"/>
        </w:rPr>
        <w:t xml:space="preserve"> impact areas and its core values of </w:t>
      </w:r>
      <w:r>
        <w:rPr>
          <w:rFonts w:ascii="Arial" w:cs="Arial" w:eastAsia="Arial" w:hAnsi="Arial"/>
          <w:b/>
          <w:bCs/>
          <w:i w:val="false"/>
          <w:iCs w:val="false"/>
          <w:color w:val="1A1A1A"/>
          <w:sz w:val="22"/>
          <w:szCs w:val="22"/>
        </w:rPr>
        <w:t xml:space="preserve">Akauntabiliti, Amanah,</w:t>
      </w:r>
      <w:r>
        <w:rPr>
          <w:rFonts w:ascii="Arial" w:cs="Arial" w:eastAsia="Arial" w:hAnsi="Arial"/>
          <w:b w:val="false"/>
          <w:bCs w:val="false"/>
          <w:i w:val="false"/>
          <w:iCs w:val="false"/>
          <w:color w:val="1A1A1A"/>
          <w:sz w:val="22"/>
          <w:szCs w:val="22"/>
        </w:rPr>
        <w:t xml:space="preserve"> and </w:t>
      </w:r>
      <w:r>
        <w:rPr>
          <w:rFonts w:ascii="Arial" w:cs="Arial" w:eastAsia="Arial" w:hAnsi="Arial"/>
          <w:b/>
          <w:bCs/>
          <w:i w:val="false"/>
          <w:iCs w:val="false"/>
          <w:color w:val="1A1A1A"/>
          <w:sz w:val="22"/>
          <w:szCs w:val="22"/>
        </w:rPr>
        <w:t xml:space="preserve">Inovasi</w:t>
      </w:r>
      <w:r>
        <w:rPr>
          <w:rFonts w:ascii="Arial" w:cs="Arial" w:eastAsia="Arial" w:hAnsi="Arial"/>
          <w:b w:val="false"/>
          <w:bCs w:val="false"/>
          <w:i w:val="false"/>
          <w:iCs w:val="false"/>
          <w:color w:val="1A1A1A"/>
          <w:sz w:val="22"/>
          <w:szCs w:val="22"/>
        </w:rPr>
        <w:t xml:space="preserve">. The platform addresses Hasanah’s stated commitment to strengthening Islamic civil society institutions by providing the governance infrastructure they need to earn and demonstrate public trust. The Micro Grant (RM 50,000, currently open) would fund the first pilot cohort onboarding and reviewer training. The Special Grant (up to RM 2.5 million) would fund the full 12-month pilot and national rollout. The Hasanah Social Enterprise Fund (HSEF) applies if AGP is structured as a social enterprise.</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0" w:before="0"/>
            </w:pPr>
            <w:r>
              <w:rPr>
                <w:rFonts w:ascii="Arial" w:cs="Arial" w:eastAsia="Arial" w:hAnsi="Arial"/>
                <w:b/>
                <w:bCs/>
                <w:color w:val="2D7A4F"/>
                <w:sz w:val="22"/>
                <w:szCs w:val="22"/>
              </w:rPr>
              <w:t xml:space="preserve">Hasanah Application Note:  </w:t>
            </w:r>
            <w:r>
              <w:rPr>
                <w:rFonts w:ascii="Arial" w:cs="Arial" w:eastAsia="Arial" w:hAnsi="Arial"/>
                <w:color w:val="1A1A1A"/>
                <w:sz w:val="22"/>
                <w:szCs w:val="22"/>
              </w:rPr>
              <w:t xml:space="preserve">Minimum eligibility: 2 years operational history, audited financials. AGP's CTCF Framework directly mirrors Hasanah's accountability and governance values. Recommend applying for Micro Grant first (rolling quarterly reviews) to build relationship, then Special Grant with pilot evidence.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c>
          <w:tcPr>
            <w:tcW w:type="dxa" w:w="5626"/>
            <w:tcBorders>
              <w:top w:val="none" w:color="FFFFFF" w:sz="0"/>
              <w:left w:val="none" w:color="FFFFFF" w:sz="0"/>
              <w:bottom w:val="none" w:color="FFFFFF" w:sz="0"/>
              <w:right w:val="none" w:color="FFFFFF" w:sz="0"/>
            </w:tcBorders>
            <w:shd w:fill="E6F1FB" w:val="clear"/>
            <w:tcMar>
              <w:top w:type="dxa" w:w="120"/>
              <w:left w:type="dxa" w:w="240"/>
              <w:bottom w:type="dxa" w:w="120"/>
              <w:right w:type="dxa" w:w="240"/>
            </w:tcMar>
          </w:tcPr>
          <w:p>
            <w:pPr>
              <w:spacing w:after="40" w:before="0"/>
            </w:pPr>
            <w:r>
              <w:rPr>
                <w:rFonts w:ascii="Arial" w:cs="Arial" w:eastAsia="Arial" w:hAnsi="Arial"/>
                <w:b/>
                <w:bCs/>
                <w:i w:val="false"/>
                <w:iCs w:val="false"/>
                <w:color w:val="0C447C"/>
                <w:sz w:val="21"/>
                <w:szCs w:val="21"/>
              </w:rPr>
              <w:t xml:space="preserve">Target Funder: Cradle Fund — CIP Spark / CIP Sprint</w:t>
            </w:r>
          </w:p>
          <w:p>
            <w:pPr>
              <w:spacing w:after="0" w:before="0"/>
            </w:pPr>
            <w:r>
              <w:rPr>
                <w:rFonts w:ascii="Arial" w:cs="Arial" w:eastAsia="Arial" w:hAnsi="Arial"/>
                <w:b w:val="false"/>
                <w:bCs w:val="false"/>
                <w:i/>
                <w:iCs/>
                <w:color w:val="555555"/>
                <w:sz w:val="18"/>
                <w:szCs w:val="18"/>
              </w:rPr>
              <w:t xml:space="preserve">cradle.com.my/grants</w:t>
            </w:r>
          </w:p>
        </w:tc>
        <w:tc>
          <w:tcPr>
            <w:tcW w:type="dxa" w:w="3400"/>
            <w:tcBorders>
              <w:top w:val="none" w:color="FFFFFF" w:sz="0"/>
              <w:left w:val="none" w:color="FFFFFF" w:sz="0"/>
              <w:bottom w:val="none" w:color="FFFFFF" w:sz="0"/>
              <w:right w:val="none" w:color="FFFFFF" w:sz="0"/>
            </w:tcBorders>
            <w:shd w:fill="FDF6E3" w:val="clear"/>
            <w:tcMar>
              <w:top w:type="dxa" w:w="120"/>
              <w:left w:type="dxa" w:w="240"/>
              <w:bottom w:type="dxa" w:w="120"/>
              <w:right w:type="dxa" w:w="240"/>
            </w:tcMar>
          </w:tcPr>
          <w:p>
            <w:pPr>
              <w:spacing w:after="40" w:before="0"/>
              <w:jc w:val="center"/>
            </w:pPr>
            <w:r>
              <w:rPr>
                <w:rFonts w:ascii="Arial" w:cs="Arial" w:eastAsia="Arial" w:hAnsi="Arial"/>
                <w:b/>
                <w:bCs/>
                <w:i w:val="false"/>
                <w:iCs w:val="false"/>
                <w:color w:val="555555"/>
                <w:sz w:val="19"/>
                <w:szCs w:val="19"/>
              </w:rPr>
              <w:t xml:space="preserve">Grant Range</w:t>
            </w:r>
          </w:p>
          <w:p>
            <w:pPr>
              <w:spacing w:after="0" w:before="0"/>
              <w:jc w:val="center"/>
            </w:pPr>
            <w:r>
              <w:rPr>
                <w:rFonts w:ascii="Arial" w:cs="Arial" w:eastAsia="Arial" w:hAnsi="Arial"/>
                <w:b/>
                <w:bCs/>
                <w:i w:val="false"/>
                <w:iCs w:val="false"/>
                <w:color w:val="1A4731"/>
                <w:sz w:val="24"/>
                <w:szCs w:val="24"/>
              </w:rPr>
              <w:t xml:space="preserve">RM 150,000 – RM 600,000</w:t>
            </w:r>
          </w:p>
        </w:tc>
      </w:tr>
    </w:tbl>
    <w:p>
      <w:pPr>
        <w:spacing w:after="60" w:before="0"/>
      </w:pPr>
    </w:p>
    <w:p>
      <w:pPr>
        <w:pStyle w:val="Heading3"/>
        <w:spacing w:after="80" w:before="200"/>
      </w:pPr>
      <w:r>
        <w:rPr>
          <w:rFonts w:ascii="Arial" w:cs="Arial" w:eastAsia="Arial" w:hAnsi="Arial"/>
          <w:b/>
          <w:bCs/>
          <w:color w:val="2D7A4F"/>
          <w:sz w:val="24"/>
          <w:szCs w:val="24"/>
        </w:rPr>
        <w:t xml:space="preserve">Cradle Positioning Statement</w:t>
      </w:r>
    </w:p>
    <w:p>
      <w:pPr>
        <w:spacing w:after="100" w:before="80"/>
        <w:jc w:val="both"/>
      </w:pPr>
      <w:r>
        <w:rPr>
          <w:rFonts w:ascii="Arial" w:cs="Arial" w:eastAsia="Arial" w:hAnsi="Arial"/>
          <w:b w:val="false"/>
          <w:bCs w:val="false"/>
          <w:i w:val="false"/>
          <w:iCs w:val="false"/>
          <w:color w:val="1A1A1A"/>
          <w:sz w:val="22"/>
          <w:szCs w:val="22"/>
        </w:rPr>
        <w:t xml:space="preserve">AGP qualifies for </w:t>
      </w:r>
      <w:r>
        <w:rPr>
          <w:rFonts w:ascii="Arial" w:cs="Arial" w:eastAsia="Arial" w:hAnsi="Arial"/>
          <w:b/>
          <w:bCs/>
          <w:i w:val="false"/>
          <w:iCs w:val="false"/>
          <w:color w:val="1A1A1A"/>
          <w:sz w:val="22"/>
          <w:szCs w:val="22"/>
        </w:rPr>
        <w:t xml:space="preserve">CIP Sprint</w:t>
      </w:r>
      <w:r>
        <w:rPr>
          <w:rFonts w:ascii="Arial" w:cs="Arial" w:eastAsia="Arial" w:hAnsi="Arial"/>
          <w:b w:val="false"/>
          <w:bCs w:val="false"/>
          <w:i w:val="false"/>
          <w:iCs w:val="false"/>
          <w:color w:val="1A1A1A"/>
          <w:sz w:val="22"/>
          <w:szCs w:val="22"/>
        </w:rPr>
        <w:t xml:space="preserve"> (RM 600,000; 24 months) as a functional MVP with commercial validation potential. Eligibility confirmed: Sdn Bhd ≤7 years old, accumulated revenue ≤RM 5 million, 51% Malaysian-owned, minimum paid-up capital RM 10,000. AGP is a </w:t>
      </w:r>
      <w:r>
        <w:rPr>
          <w:rFonts w:ascii="Arial" w:cs="Arial" w:eastAsia="Arial" w:hAnsi="Arial"/>
          <w:b/>
          <w:bCs/>
          <w:i w:val="false"/>
          <w:iCs w:val="false"/>
          <w:color w:val="1A1A1A"/>
          <w:sz w:val="22"/>
          <w:szCs w:val="22"/>
        </w:rPr>
        <w:t xml:space="preserve">fintech + social impact + Islamic economy</w:t>
      </w:r>
      <w:r>
        <w:rPr>
          <w:rFonts w:ascii="Arial" w:cs="Arial" w:eastAsia="Arial" w:hAnsi="Arial"/>
          <w:b w:val="false"/>
          <w:bCs w:val="false"/>
          <w:i w:val="false"/>
          <w:iCs w:val="false"/>
          <w:color w:val="1A1A1A"/>
          <w:sz w:val="22"/>
          <w:szCs w:val="22"/>
        </w:rPr>
        <w:t xml:space="preserve"> platform — three sectors in Cradle’s priority investment thesis. Commercial validation is demonstrated through the pipeline of 20–30 pilot organisations, MAIN/JAKIM institutional partnership, and a clear SaaS revenue model (RM 99–299/month per mosque, RM 200–500/month per NGO).</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Cradle Application Note:  </w:t>
            </w:r>
            <w:r>
              <w:rPr>
                <w:rFonts w:ascii="Arial" w:cs="Arial" w:eastAsia="Arial" w:hAnsi="Arial"/>
                <w:color w:val="1A1A1A"/>
                <w:sz w:val="22"/>
                <w:szCs w:val="22"/>
              </w:rPr>
              <w:t xml:space="preserve">Apply for CIP Sprint (not Spark) as the platform has a functional MVP. Batch applications are evaluated in cohorts — monitor cradle.com.my for next batch. Emphasise the commercial revenue model and MAIN/JAKIM partnership as market validation.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c>
          <w:tcPr>
            <w:tcW w:type="dxa" w:w="5626"/>
            <w:tcBorders>
              <w:top w:val="none" w:color="FFFFFF" w:sz="0"/>
              <w:left w:val="none" w:color="FFFFFF" w:sz="0"/>
              <w:bottom w:val="none" w:color="FFFFFF" w:sz="0"/>
              <w:right w:val="none" w:color="FFFFFF" w:sz="0"/>
            </w:tcBorders>
            <w:shd w:fill="E6F1FB" w:val="clear"/>
            <w:tcMar>
              <w:top w:type="dxa" w:w="120"/>
              <w:left w:type="dxa" w:w="240"/>
              <w:bottom w:type="dxa" w:w="120"/>
              <w:right w:type="dxa" w:w="240"/>
            </w:tcMar>
          </w:tcPr>
          <w:p>
            <w:pPr>
              <w:spacing w:after="40" w:before="0"/>
            </w:pPr>
            <w:r>
              <w:rPr>
                <w:rFonts w:ascii="Arial" w:cs="Arial" w:eastAsia="Arial" w:hAnsi="Arial"/>
                <w:b/>
                <w:bCs/>
                <w:i w:val="false"/>
                <w:iCs w:val="false"/>
                <w:color w:val="0C447C"/>
                <w:sz w:val="21"/>
                <w:szCs w:val="21"/>
              </w:rPr>
              <w:t xml:space="preserve">Target Funder: IERIF / INCEIF — Islamic Economics Research &amp; Innovation Fund</w:t>
            </w:r>
          </w:p>
          <w:p>
            <w:pPr>
              <w:spacing w:after="0" w:before="0"/>
            </w:pPr>
            <w:r>
              <w:rPr>
                <w:rFonts w:ascii="Arial" w:cs="Arial" w:eastAsia="Arial" w:hAnsi="Arial"/>
                <w:b w:val="false"/>
                <w:bCs w:val="false"/>
                <w:i/>
                <w:iCs/>
                <w:color w:val="555555"/>
                <w:sz w:val="18"/>
                <w:szCs w:val="18"/>
              </w:rPr>
              <w:t xml:space="preserve">inceif.edu.my</w:t>
            </w:r>
          </w:p>
        </w:tc>
        <w:tc>
          <w:tcPr>
            <w:tcW w:type="dxa" w:w="3400"/>
            <w:tcBorders>
              <w:top w:val="none" w:color="FFFFFF" w:sz="0"/>
              <w:left w:val="none" w:color="FFFFFF" w:sz="0"/>
              <w:bottom w:val="none" w:color="FFFFFF" w:sz="0"/>
              <w:right w:val="none" w:color="FFFFFF" w:sz="0"/>
            </w:tcBorders>
            <w:shd w:fill="FDF6E3" w:val="clear"/>
            <w:tcMar>
              <w:top w:type="dxa" w:w="120"/>
              <w:left w:type="dxa" w:w="240"/>
              <w:bottom w:type="dxa" w:w="120"/>
              <w:right w:type="dxa" w:w="240"/>
            </w:tcMar>
          </w:tcPr>
          <w:p>
            <w:pPr>
              <w:spacing w:after="40" w:before="0"/>
              <w:jc w:val="center"/>
            </w:pPr>
            <w:r>
              <w:rPr>
                <w:rFonts w:ascii="Arial" w:cs="Arial" w:eastAsia="Arial" w:hAnsi="Arial"/>
                <w:b/>
                <w:bCs/>
                <w:i w:val="false"/>
                <w:iCs w:val="false"/>
                <w:color w:val="555555"/>
                <w:sz w:val="19"/>
                <w:szCs w:val="19"/>
              </w:rPr>
              <w:t xml:space="preserve">Grant Range</w:t>
            </w:r>
          </w:p>
          <w:p>
            <w:pPr>
              <w:spacing w:after="0" w:before="0"/>
              <w:jc w:val="center"/>
            </w:pPr>
            <w:r>
              <w:rPr>
                <w:rFonts w:ascii="Arial" w:cs="Arial" w:eastAsia="Arial" w:hAnsi="Arial"/>
                <w:b/>
                <w:bCs/>
                <w:i w:val="false"/>
                <w:iCs w:val="false"/>
                <w:color w:val="1A4731"/>
                <w:sz w:val="24"/>
                <w:szCs w:val="24"/>
              </w:rPr>
              <w:t xml:space="preserve">RM 20M pool (14 projects avg RM 164K each in 2023)</w:t>
            </w:r>
          </w:p>
        </w:tc>
      </w:tr>
    </w:tbl>
    <w:p>
      <w:pPr>
        <w:spacing w:after="60" w:before="0"/>
      </w:pPr>
    </w:p>
    <w:p>
      <w:pPr>
        <w:pStyle w:val="Heading3"/>
        <w:spacing w:after="80" w:before="200"/>
      </w:pPr>
      <w:r>
        <w:rPr>
          <w:rFonts w:ascii="Arial" w:cs="Arial" w:eastAsia="Arial" w:hAnsi="Arial"/>
          <w:b/>
          <w:bCs/>
          <w:color w:val="2D7A4F"/>
          <w:sz w:val="24"/>
          <w:szCs w:val="24"/>
        </w:rPr>
        <w:t xml:space="preserve">IERIF Positioning Statement</w:t>
      </w:r>
    </w:p>
    <w:p>
      <w:pPr>
        <w:spacing w:after="100" w:before="80"/>
        <w:jc w:val="both"/>
      </w:pPr>
      <w:r>
        <w:rPr>
          <w:rFonts w:ascii="Arial" w:cs="Arial" w:eastAsia="Arial" w:hAnsi="Arial"/>
          <w:b w:val="false"/>
          <w:bCs w:val="false"/>
          <w:i w:val="false"/>
          <w:iCs w:val="false"/>
          <w:color w:val="1A1A1A"/>
          <w:sz w:val="22"/>
          <w:szCs w:val="22"/>
        </w:rPr>
        <w:t xml:space="preserve">AGP directly addresses IERIF’s research themes of </w:t>
      </w:r>
      <w:r>
        <w:rPr>
          <w:rFonts w:ascii="Arial" w:cs="Arial" w:eastAsia="Arial" w:hAnsi="Arial"/>
          <w:b/>
          <w:bCs/>
          <w:i w:val="false"/>
          <w:iCs w:val="false"/>
          <w:color w:val="1A1A1A"/>
          <w:sz w:val="22"/>
          <w:szCs w:val="22"/>
        </w:rPr>
        <w:t xml:space="preserve">AI in Islamic finance, blockchain for Waqf governance,</w:t>
      </w:r>
      <w:r>
        <w:rPr>
          <w:rFonts w:ascii="Arial" w:cs="Arial" w:eastAsia="Arial" w:hAnsi="Arial"/>
          <w:b w:val="false"/>
          <w:bCs w:val="false"/>
          <w:i w:val="false"/>
          <w:iCs w:val="false"/>
          <w:color w:val="1A1A1A"/>
          <w:sz w:val="22"/>
          <w:szCs w:val="22"/>
        </w:rPr>
        <w:t xml:space="preserve"> and </w:t>
      </w:r>
      <w:r>
        <w:rPr>
          <w:rFonts w:ascii="Arial" w:cs="Arial" w:eastAsia="Arial" w:hAnsi="Arial"/>
          <w:b/>
          <w:bCs/>
          <w:i w:val="false"/>
          <w:iCs w:val="false"/>
          <w:color w:val="1A1A1A"/>
          <w:sz w:val="22"/>
          <w:szCs w:val="22"/>
        </w:rPr>
        <w:t xml:space="preserve">digital transformation of Zakat administration</w:t>
      </w:r>
      <w:r>
        <w:rPr>
          <w:rFonts w:ascii="Arial" w:cs="Arial" w:eastAsia="Arial" w:hAnsi="Arial"/>
          <w:b w:val="false"/>
          <w:bCs w:val="false"/>
          <w:i w:val="false"/>
          <w:iCs w:val="false"/>
          <w:color w:val="1A1A1A"/>
          <w:sz w:val="22"/>
          <w:szCs w:val="22"/>
        </w:rPr>
        <w:t xml:space="preserve">. The platform’s CTCF scoring engine and Amanah Index™ constitute original research contributions to the field of Islamic governance technology. IERIF evaluation weights: Research Impact (35%), Effectiveness and Feasibility (25%), Managerial Capability (20%), Budget and Risk (20%). AGP scores strongly on all four: operational platform with live deployment (feasibility), MAIN/JAKIM institutional partnership (impact), experienced product architect (capability), and conservative phased budget (risk).</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EBF9" w:val="clear"/>
            <w:tcMar>
              <w:top w:type="dxa" w:w="160"/>
              <w:left w:type="dxa" w:w="240"/>
              <w:bottom w:type="dxa" w:w="160"/>
              <w:right w:type="dxa" w:w="240"/>
            </w:tcMar>
          </w:tcPr>
          <w:p>
            <w:pPr>
              <w:spacing w:after="0" w:before="0"/>
            </w:pPr>
            <w:r>
              <w:rPr>
                <w:rFonts w:ascii="Arial" w:cs="Arial" w:eastAsia="Arial" w:hAnsi="Arial"/>
                <w:b/>
                <w:bCs/>
                <w:color w:val="4B2991"/>
                <w:sz w:val="22"/>
                <w:szCs w:val="22"/>
              </w:rPr>
              <w:t xml:space="preserve">IERIF Application Note:  </w:t>
            </w:r>
            <w:r>
              <w:rPr>
                <w:rFonts w:ascii="Arial" w:cs="Arial" w:eastAsia="Arial" w:hAnsi="Arial"/>
                <w:color w:val="1A1A1A"/>
                <w:sz w:val="22"/>
                <w:szCs w:val="22"/>
              </w:rPr>
              <w:t xml:space="preserve">Frame AGP as applied research with commercial outcomes. Propose INCEIF as academic research partner for M&amp;E component. Offer co-authorship on impact assessment publication. The CTCF methodology and Amanah Index™ formula can be submitted as original contributions to Islamic governance research.</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c>
          <w:tcPr>
            <w:tcW w:type="dxa" w:w="5626"/>
            <w:tcBorders>
              <w:top w:val="none" w:color="FFFFFF" w:sz="0"/>
              <w:left w:val="none" w:color="FFFFFF" w:sz="0"/>
              <w:bottom w:val="none" w:color="FFFFFF" w:sz="0"/>
              <w:right w:val="none" w:color="FFFFFF" w:sz="0"/>
            </w:tcBorders>
            <w:shd w:fill="E6F1FB" w:val="clear"/>
            <w:tcMar>
              <w:top w:type="dxa" w:w="120"/>
              <w:left w:type="dxa" w:w="240"/>
              <w:bottom w:type="dxa" w:w="120"/>
              <w:right w:type="dxa" w:w="240"/>
            </w:tcMar>
          </w:tcPr>
          <w:p>
            <w:pPr>
              <w:spacing w:after="40" w:before="0"/>
            </w:pPr>
            <w:r>
              <w:rPr>
                <w:rFonts w:ascii="Arial" w:cs="Arial" w:eastAsia="Arial" w:hAnsi="Arial"/>
                <w:b/>
                <w:bCs/>
                <w:i w:val="false"/>
                <w:iCs w:val="false"/>
                <w:color w:val="0C447C"/>
                <w:sz w:val="21"/>
                <w:szCs w:val="21"/>
              </w:rPr>
              <w:t xml:space="preserve">Target Funder: MDEC — Malaysia Digital Acceleration Grant (MDAG)</w:t>
            </w:r>
          </w:p>
          <w:p>
            <w:pPr>
              <w:spacing w:after="0" w:before="0"/>
            </w:pPr>
            <w:r>
              <w:rPr>
                <w:rFonts w:ascii="Arial" w:cs="Arial" w:eastAsia="Arial" w:hAnsi="Arial"/>
                <w:b w:val="false"/>
                <w:bCs w:val="false"/>
                <w:i/>
                <w:iCs/>
                <w:color w:val="555555"/>
                <w:sz w:val="18"/>
                <w:szCs w:val="18"/>
              </w:rPr>
              <w:t xml:space="preserve">mdec.my/grants/mdag</w:t>
            </w:r>
          </w:p>
        </w:tc>
        <w:tc>
          <w:tcPr>
            <w:tcW w:type="dxa" w:w="3400"/>
            <w:tcBorders>
              <w:top w:val="none" w:color="FFFFFF" w:sz="0"/>
              <w:left w:val="none" w:color="FFFFFF" w:sz="0"/>
              <w:bottom w:val="none" w:color="FFFFFF" w:sz="0"/>
              <w:right w:val="none" w:color="FFFFFF" w:sz="0"/>
            </w:tcBorders>
            <w:shd w:fill="FDF6E3" w:val="clear"/>
            <w:tcMar>
              <w:top w:type="dxa" w:w="120"/>
              <w:left w:type="dxa" w:w="240"/>
              <w:bottom w:type="dxa" w:w="120"/>
              <w:right w:type="dxa" w:w="240"/>
            </w:tcMar>
          </w:tcPr>
          <w:p>
            <w:pPr>
              <w:spacing w:after="40" w:before="0"/>
              <w:jc w:val="center"/>
            </w:pPr>
            <w:r>
              <w:rPr>
                <w:rFonts w:ascii="Arial" w:cs="Arial" w:eastAsia="Arial" w:hAnsi="Arial"/>
                <w:b/>
                <w:bCs/>
                <w:i w:val="false"/>
                <w:iCs w:val="false"/>
                <w:color w:val="555555"/>
                <w:sz w:val="19"/>
                <w:szCs w:val="19"/>
              </w:rPr>
              <w:t xml:space="preserve">Grant Range</w:t>
            </w:r>
          </w:p>
          <w:p>
            <w:pPr>
              <w:spacing w:after="0" w:before="0"/>
              <w:jc w:val="center"/>
            </w:pPr>
            <w:r>
              <w:rPr>
                <w:rFonts w:ascii="Arial" w:cs="Arial" w:eastAsia="Arial" w:hAnsi="Arial"/>
                <w:b/>
                <w:bCs/>
                <w:i w:val="false"/>
                <w:iCs w:val="false"/>
                <w:color w:val="1A4731"/>
                <w:sz w:val="24"/>
                <w:szCs w:val="24"/>
              </w:rPr>
              <w:t xml:space="preserve">Up to RM 5,000,000 (70% of costs)</w:t>
            </w:r>
          </w:p>
        </w:tc>
      </w:tr>
    </w:tbl>
    <w:p>
      <w:pPr>
        <w:spacing w:after="60" w:before="0"/>
      </w:pPr>
    </w:p>
    <w:p>
      <w:pPr>
        <w:pStyle w:val="Heading3"/>
        <w:spacing w:after="80" w:before="200"/>
      </w:pPr>
      <w:r>
        <w:rPr>
          <w:rFonts w:ascii="Arial" w:cs="Arial" w:eastAsia="Arial" w:hAnsi="Arial"/>
          <w:b/>
          <w:bCs/>
          <w:color w:val="2D7A4F"/>
          <w:sz w:val="24"/>
          <w:szCs w:val="24"/>
        </w:rPr>
        <w:t xml:space="preserve">MDAG Positioning Statement</w:t>
      </w:r>
    </w:p>
    <w:p>
      <w:pPr>
        <w:spacing w:after="100" w:before="80"/>
        <w:jc w:val="both"/>
      </w:pPr>
      <w:r>
        <w:rPr>
          <w:rFonts w:ascii="Arial" w:cs="Arial" w:eastAsia="Arial" w:hAnsi="Arial"/>
          <w:b w:val="false"/>
          <w:bCs w:val="false"/>
          <w:i w:val="false"/>
          <w:iCs w:val="false"/>
          <w:color w:val="1A1A1A"/>
          <w:sz w:val="22"/>
          <w:szCs w:val="22"/>
        </w:rPr>
        <w:t xml:space="preserve">MDAG targets scaling of MD-status companies into </w:t>
      </w:r>
      <w:r>
        <w:rPr>
          <w:rFonts w:ascii="Arial" w:cs="Arial" w:eastAsia="Arial" w:hAnsi="Arial"/>
          <w:b/>
          <w:bCs/>
          <w:i w:val="false"/>
          <w:iCs w:val="false"/>
          <w:color w:val="1A1A1A"/>
          <w:sz w:val="22"/>
          <w:szCs w:val="22"/>
        </w:rPr>
        <w:t xml:space="preserve">ASEAN regional champions</w:t>
      </w:r>
      <w:r>
        <w:rPr>
          <w:rFonts w:ascii="Arial" w:cs="Arial" w:eastAsia="Arial" w:hAnsi="Arial"/>
          <w:b w:val="false"/>
          <w:bCs w:val="false"/>
          <w:i w:val="false"/>
          <w:iCs w:val="false"/>
          <w:color w:val="1A1A1A"/>
          <w:sz w:val="22"/>
          <w:szCs w:val="22"/>
        </w:rPr>
        <w:t xml:space="preserve">. AGP’s architecture is explicitly designed for replication across Muslim-majority markets: the CTCF framework is adaptable to other regulatory environments, the Amanah Index™ formula is jurisdiction-neutral, and the platform’s provider-neutral payment adapter supports regional payment gateways. Comparable platforms in Indonesia (BAZNAS digital zakat; Kitabisa — US$5M IFC-backed) and the Gulf (IsDB Tadamon) have demonstrated regional scale. </w:t>
      </w:r>
      <w:r>
        <w:rPr>
          <w:rFonts w:ascii="Arial" w:cs="Arial" w:eastAsia="Arial" w:hAnsi="Arial"/>
          <w:b/>
          <w:bCs/>
          <w:i w:val="false"/>
          <w:iCs w:val="false"/>
          <w:color w:val="1A1A1A"/>
          <w:sz w:val="22"/>
          <w:szCs w:val="22"/>
        </w:rPr>
        <w:t xml:space="preserve">MDAG is the appropriate grant for Phase 3 (post-pilot national scale-up)</w:t>
      </w:r>
      <w:r>
        <w:rPr>
          <w:rFonts w:ascii="Arial" w:cs="Arial" w:eastAsia="Arial" w:hAnsi="Arial"/>
          <w:b w:val="false"/>
          <w:bCs w:val="false"/>
          <w:i w:val="false"/>
          <w:iCs w:val="false"/>
          <w:color w:val="1A1A1A"/>
          <w:sz w:val="22"/>
          <w:szCs w:val="22"/>
        </w:rPr>
        <w:t xml:space="preserve"> after pilot evidence is established.</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1FB" w:val="clear"/>
            <w:tcMar>
              <w:top w:type="dxa" w:w="160"/>
              <w:left w:type="dxa" w:w="240"/>
              <w:bottom w:type="dxa" w:w="160"/>
              <w:right w:type="dxa" w:w="240"/>
            </w:tcMar>
          </w:tcPr>
          <w:p>
            <w:pPr>
              <w:spacing w:after="0" w:before="0"/>
            </w:pPr>
            <w:r>
              <w:rPr>
                <w:rFonts w:ascii="Arial" w:cs="Arial" w:eastAsia="Arial" w:hAnsi="Arial"/>
                <w:b/>
                <w:bCs/>
                <w:color w:val="0C447C"/>
                <w:sz w:val="22"/>
                <w:szCs w:val="22"/>
              </w:rPr>
              <w:t xml:space="preserve">MDAG Application Note:  </w:t>
            </w:r>
            <w:r>
              <w:rPr>
                <w:rFonts w:ascii="Arial" w:cs="Arial" w:eastAsia="Arial" w:hAnsi="Arial"/>
                <w:color w:val="1A1A1A"/>
                <w:sz w:val="22"/>
                <w:szCs w:val="22"/>
              </w:rPr>
              <w:t xml:space="preserve">MDAG requires MD Status as prerequisite. Apply after pilot evidence (Month 12+). Prepare regional expansion roadmap covering Indonesia, Brunei, and Bangladesh as next markets. Document replicability framework as required by MDAG scalability criteria.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c>
          <w:tcPr>
            <w:tcW w:type="dxa" w:w="5626"/>
            <w:tcBorders>
              <w:top w:val="none" w:color="FFFFFF" w:sz="0"/>
              <w:left w:val="none" w:color="FFFFFF" w:sz="0"/>
              <w:bottom w:val="none" w:color="FFFFFF" w:sz="0"/>
              <w:right w:val="none" w:color="FFFFFF" w:sz="0"/>
            </w:tcBorders>
            <w:shd w:fill="E6F1FB" w:val="clear"/>
            <w:tcMar>
              <w:top w:type="dxa" w:w="120"/>
              <w:left w:type="dxa" w:w="240"/>
              <w:bottom w:type="dxa" w:w="120"/>
              <w:right w:type="dxa" w:w="240"/>
            </w:tcMar>
          </w:tcPr>
          <w:p>
            <w:pPr>
              <w:spacing w:after="40" w:before="0"/>
            </w:pPr>
            <w:r>
              <w:rPr>
                <w:rFonts w:ascii="Arial" w:cs="Arial" w:eastAsia="Arial" w:hAnsi="Arial"/>
                <w:b/>
                <w:bCs/>
                <w:i w:val="false"/>
                <w:iCs w:val="false"/>
                <w:color w:val="0C447C"/>
                <w:sz w:val="21"/>
                <w:szCs w:val="21"/>
              </w:rPr>
              <w:t xml:space="preserve">Target Funder: Islamic Development Bank — Transform Fund / Tadamon</w:t>
            </w:r>
          </w:p>
          <w:p>
            <w:pPr>
              <w:spacing w:after="0" w:before="0"/>
            </w:pPr>
            <w:r>
              <w:rPr>
                <w:rFonts w:ascii="Arial" w:cs="Arial" w:eastAsia="Arial" w:hAnsi="Arial"/>
                <w:b w:val="false"/>
                <w:bCs w:val="false"/>
                <w:i/>
                <w:iCs/>
                <w:color w:val="555555"/>
                <w:sz w:val="18"/>
                <w:szCs w:val="18"/>
              </w:rPr>
              <w:t xml:space="preserve">isdb.org | isdb-innovate.org</w:t>
            </w:r>
          </w:p>
        </w:tc>
        <w:tc>
          <w:tcPr>
            <w:tcW w:type="dxa" w:w="3400"/>
            <w:tcBorders>
              <w:top w:val="none" w:color="FFFFFF" w:sz="0"/>
              <w:left w:val="none" w:color="FFFFFF" w:sz="0"/>
              <w:bottom w:val="none" w:color="FFFFFF" w:sz="0"/>
              <w:right w:val="none" w:color="FFFFFF" w:sz="0"/>
            </w:tcBorders>
            <w:shd w:fill="FDF6E3" w:val="clear"/>
            <w:tcMar>
              <w:top w:type="dxa" w:w="120"/>
              <w:left w:type="dxa" w:w="240"/>
              <w:bottom w:type="dxa" w:w="120"/>
              <w:right w:type="dxa" w:w="240"/>
            </w:tcMar>
          </w:tcPr>
          <w:p>
            <w:pPr>
              <w:spacing w:after="40" w:before="0"/>
              <w:jc w:val="center"/>
            </w:pPr>
            <w:r>
              <w:rPr>
                <w:rFonts w:ascii="Arial" w:cs="Arial" w:eastAsia="Arial" w:hAnsi="Arial"/>
                <w:b/>
                <w:bCs/>
                <w:i w:val="false"/>
                <w:iCs w:val="false"/>
                <w:color w:val="555555"/>
                <w:sz w:val="19"/>
                <w:szCs w:val="19"/>
              </w:rPr>
              <w:t xml:space="preserve">Grant Range</w:t>
            </w:r>
          </w:p>
          <w:p>
            <w:pPr>
              <w:spacing w:after="0" w:before="0"/>
              <w:jc w:val="center"/>
            </w:pPr>
            <w:r>
              <w:rPr>
                <w:rFonts w:ascii="Arial" w:cs="Arial" w:eastAsia="Arial" w:hAnsi="Arial"/>
                <w:b/>
                <w:bCs/>
                <w:i w:val="false"/>
                <w:iCs w:val="false"/>
                <w:color w:val="1A4731"/>
                <w:sz w:val="24"/>
                <w:szCs w:val="24"/>
              </w:rPr>
              <w:t xml:space="preserve">USD 50,000 – USD 1,000,000</w:t>
            </w:r>
          </w:p>
        </w:tc>
      </w:tr>
    </w:tbl>
    <w:p>
      <w:pPr>
        <w:spacing w:after="60" w:before="0"/>
      </w:pPr>
    </w:p>
    <w:p>
      <w:pPr>
        <w:pStyle w:val="Heading3"/>
        <w:spacing w:after="80" w:before="200"/>
      </w:pPr>
      <w:r>
        <w:rPr>
          <w:rFonts w:ascii="Arial" w:cs="Arial" w:eastAsia="Arial" w:hAnsi="Arial"/>
          <w:b/>
          <w:bCs/>
          <w:color w:val="2D7A4F"/>
          <w:sz w:val="24"/>
          <w:szCs w:val="24"/>
        </w:rPr>
        <w:t xml:space="preserve">IsDB Positioning Statement</w:t>
      </w:r>
    </w:p>
    <w:p>
      <w:pPr>
        <w:spacing w:after="100" w:before="80"/>
        <w:jc w:val="both"/>
      </w:pPr>
      <w:r>
        <w:rPr>
          <w:rFonts w:ascii="Arial" w:cs="Arial" w:eastAsia="Arial" w:hAnsi="Arial"/>
          <w:b w:val="false"/>
          <w:bCs w:val="false"/>
          <w:i w:val="false"/>
          <w:iCs w:val="false"/>
          <w:color w:val="1A1A1A"/>
          <w:sz w:val="22"/>
          <w:szCs w:val="22"/>
        </w:rPr>
        <w:t xml:space="preserve">AGP addresses a governance and transparency gap that exists across all 57 OIC member countries, not only Malaysia. The platform’s architecture is replicable: the CTCF framework can be adapted for any Muslim-majority country’s regulatory classification system; the Amanah Index™ formula is jurisdiction-neutral; and the non-custodial donation architecture does not depend on any specific payment provider. The </w:t>
      </w:r>
      <w:r>
        <w:rPr>
          <w:rFonts w:ascii="Arial" w:cs="Arial" w:eastAsia="Arial" w:hAnsi="Arial"/>
          <w:b/>
          <w:bCs/>
          <w:i w:val="false"/>
          <w:iCs w:val="false"/>
          <w:color w:val="1A1A1A"/>
          <w:sz w:val="22"/>
          <w:szCs w:val="22"/>
        </w:rPr>
        <w:t xml:space="preserve">Malaysian pilot</w:t>
      </w:r>
      <w:r>
        <w:rPr>
          <w:rFonts w:ascii="Arial" w:cs="Arial" w:eastAsia="Arial" w:hAnsi="Arial"/>
          <w:b w:val="false"/>
          <w:bCs w:val="false"/>
          <w:i w:val="false"/>
          <w:iCs w:val="false"/>
          <w:color w:val="1A1A1A"/>
          <w:sz w:val="22"/>
          <w:szCs w:val="22"/>
        </w:rPr>
        <w:t xml:space="preserve"> is the proof of replicability that establishes AGP’s credentials as a transferable model for IsDB’s broader OIC member country mandate.</w:t>
      </w:r>
    </w:p>
    <w:p>
      <w:pPr>
        <w:spacing w:after="40" w:before="0"/>
      </w:pPr>
    </w:p>
    <w:p>
      <w:pPr>
        <w:spacing w:after="100" w:before="80"/>
        <w:jc w:val="both"/>
      </w:pPr>
      <w:r>
        <w:rPr>
          <w:rFonts w:ascii="Arial" w:cs="Arial" w:eastAsia="Arial" w:hAnsi="Arial"/>
          <w:b w:val="false"/>
          <w:bCs w:val="false"/>
          <w:i w:val="false"/>
          <w:iCs w:val="false"/>
          <w:color w:val="1A1A1A"/>
          <w:sz w:val="22"/>
          <w:szCs w:val="22"/>
        </w:rPr>
        <w:t xml:space="preserve">AGP aligns with the IsDB Transform Fund’s themes of </w:t>
      </w:r>
      <w:r>
        <w:rPr>
          <w:rFonts w:ascii="Arial" w:cs="Arial" w:eastAsia="Arial" w:hAnsi="Arial"/>
          <w:b/>
          <w:bCs/>
          <w:i w:val="false"/>
          <w:iCs w:val="false"/>
          <w:color w:val="1A1A1A"/>
          <w:sz w:val="22"/>
          <w:szCs w:val="22"/>
        </w:rPr>
        <w:t xml:space="preserve">Waqf tech, Zakat innovation,</w:t>
      </w:r>
      <w:r>
        <w:rPr>
          <w:rFonts w:ascii="Arial" w:cs="Arial" w:eastAsia="Arial" w:hAnsi="Arial"/>
          <w:b w:val="false"/>
          <w:bCs w:val="false"/>
          <w:i w:val="false"/>
          <w:iCs w:val="false"/>
          <w:color w:val="1A1A1A"/>
          <w:sz w:val="22"/>
          <w:szCs w:val="22"/>
        </w:rPr>
        <w:t xml:space="preserve"> and </w:t>
      </w:r>
      <w:r>
        <w:rPr>
          <w:rFonts w:ascii="Arial" w:cs="Arial" w:eastAsia="Arial" w:hAnsi="Arial"/>
          <w:b/>
          <w:bCs/>
          <w:i w:val="false"/>
          <w:iCs w:val="false"/>
          <w:color w:val="1A1A1A"/>
          <w:sz w:val="22"/>
          <w:szCs w:val="22"/>
        </w:rPr>
        <w:t xml:space="preserve">Islamic fintech</w:t>
      </w:r>
      <w:r>
        <w:rPr>
          <w:rFonts w:ascii="Arial" w:cs="Arial" w:eastAsia="Arial" w:hAnsi="Arial"/>
          <w:b w:val="false"/>
          <w:bCs w:val="false"/>
          <w:i w:val="false"/>
          <w:iCs w:val="false"/>
          <w:color w:val="1A1A1A"/>
          <w:sz w:val="22"/>
          <w:szCs w:val="22"/>
        </w:rPr>
        <w:t xml:space="preserve">. The Tadamon programme (US$40,000 per CSO) is the appropriate entry point for a first IsDB relationship; the Transform Fund (up to US$1 million) is the target for post-pilot scaling. IsDB’s ENGAGE platform is the submission portal for both.</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IsDB Application Note:  </w:t>
            </w:r>
            <w:r>
              <w:rPr>
                <w:rFonts w:ascii="Arial" w:cs="Arial" w:eastAsia="Arial" w:hAnsi="Arial"/>
                <w:color w:val="1A1A1A"/>
                <w:sz w:val="22"/>
                <w:szCs w:val="22"/>
              </w:rPr>
              <w:t xml:space="preserve">Register on isdb.org/engage immediately. Monitor for next Transform Fund Call for Innovation. Position AGP as replicable OIC infrastructure — emphasise that Malaysian pilot generates the evidence base for 57-country rollout. Include Arabic executive summary for IsDB submission.</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3. Problem Statement</w:t>
      </w:r>
    </w:p>
    <w:p>
      <w:pPr>
        <w:spacing w:after="80" w:before="0"/>
      </w:pPr>
    </w:p>
    <w:p>
      <w:pPr>
        <w:pStyle w:val="Heading2"/>
        <w:pBdr>
          <w:bottom w:val="single" w:color="C8922A" w:sz="6" w:space="4"/>
        </w:pBdr>
        <w:spacing w:after="100" w:before="280"/>
      </w:pPr>
      <w:r>
        <w:rPr>
          <w:rFonts w:ascii="Arial" w:cs="Arial" w:eastAsia="Arial" w:hAnsi="Arial"/>
          <w:b/>
          <w:bCs/>
          <w:color w:val="1A4731"/>
          <w:sz w:val="27"/>
          <w:szCs w:val="27"/>
        </w:rPr>
        <w:t xml:space="preserve">3.1  Market Failure in Islamic Social Finance Governance</w:t>
      </w:r>
    </w:p>
    <w:p>
      <w:pPr>
        <w:spacing w:after="100" w:before="80"/>
        <w:jc w:val="both"/>
      </w:pPr>
      <w:r>
        <w:rPr>
          <w:rFonts w:ascii="Arial" w:cs="Arial" w:eastAsia="Arial" w:hAnsi="Arial"/>
          <w:b w:val="false"/>
          <w:bCs w:val="false"/>
          <w:i w:val="false"/>
          <w:iCs w:val="false"/>
          <w:color w:val="1A1A1A"/>
          <w:sz w:val="22"/>
          <w:szCs w:val="22"/>
        </w:rPr>
        <w:t xml:space="preserve">Malaysia’s Islamic philanthropy sector mobilises over </w:t>
      </w:r>
      <w:r>
        <w:rPr>
          <w:rFonts w:ascii="Arial" w:cs="Arial" w:eastAsia="Arial" w:hAnsi="Arial"/>
          <w:b/>
          <w:bCs/>
          <w:i w:val="false"/>
          <w:iCs w:val="false"/>
          <w:color w:val="1A1A1A"/>
          <w:sz w:val="22"/>
          <w:szCs w:val="22"/>
        </w:rPr>
        <w:t xml:space="preserve">RM 3.65 billion annually through Zakat</w:t>
      </w:r>
      <w:r>
        <w:rPr>
          <w:rFonts w:ascii="Arial" w:cs="Arial" w:eastAsia="Arial" w:hAnsi="Arial"/>
          <w:b w:val="false"/>
          <w:bCs w:val="false"/>
          <w:i w:val="false"/>
          <w:iCs w:val="false"/>
          <w:color w:val="1A1A1A"/>
          <w:sz w:val="22"/>
          <w:szCs w:val="22"/>
        </w:rPr>
        <w:t xml:space="preserve"> alone, with Selangor’s LZS hitting a record RM 1.22 billion in 2024 and Federal Territories’ PPZ-MAIWP collecting RM 1.133 billion. Online Zakat payment channels grew 60% in 2024. Digital giving infrastructure in Malaysia is mature — 18.4 billion e-payment transactions in 2025, 61.5% QR code adoption rate (second globally after China). The demand and infrastructure exist. What does not exist is </w:t>
      </w:r>
      <w:r>
        <w:rPr>
          <w:rFonts w:ascii="Arial" w:cs="Arial" w:eastAsia="Arial" w:hAnsi="Arial"/>
          <w:b/>
          <w:bCs/>
          <w:i w:val="false"/>
          <w:iCs w:val="false"/>
          <w:color w:val="1A1A1A"/>
          <w:sz w:val="22"/>
          <w:szCs w:val="22"/>
        </w:rPr>
        <w:t xml:space="preserve">structured governance transparency</w:t>
      </w:r>
      <w:r>
        <w:rPr>
          <w:rFonts w:ascii="Arial" w:cs="Arial" w:eastAsia="Arial" w:hAnsi="Arial"/>
          <w:b w:val="false"/>
          <w:bCs w:val="false"/>
          <w:i w:val="false"/>
          <w:iCs w:val="false"/>
          <w:color w:val="1A1A1A"/>
          <w:sz w:val="22"/>
          <w:szCs w:val="22"/>
        </w:rPr>
        <w:t xml:space="preserve"> that allows donors, regulators, and institutions to verify that funds are managed and deployed with accountability.</w:t>
      </w:r>
    </w:p>
    <w:p>
      <w:pPr>
        <w:spacing w:after="80" w:before="0"/>
      </w:pPr>
    </w:p>
    <w:p>
      <w:pPr>
        <w:pStyle w:val="Heading2"/>
        <w:pBdr>
          <w:bottom w:val="single" w:color="C8922A" w:sz="6" w:space="4"/>
        </w:pBdr>
        <w:spacing w:after="100" w:before="280"/>
      </w:pPr>
      <w:r>
        <w:rPr>
          <w:rFonts w:ascii="Arial" w:cs="Arial" w:eastAsia="Arial" w:hAnsi="Arial"/>
          <w:b/>
          <w:bCs/>
          <w:color w:val="1A4731"/>
          <w:sz w:val="27"/>
          <w:szCs w:val="27"/>
        </w:rPr>
        <w:t xml:space="preserve">3.2  Four Systemic Failures</w:t>
      </w:r>
    </w:p>
    <w:p>
      <w:pPr>
        <w:spacing w:after="60" w:before="0"/>
      </w:pPr>
    </w:p>
    <w:p>
      <w:pPr>
        <w:pStyle w:val="Heading3"/>
        <w:spacing w:after="80" w:before="200"/>
      </w:pPr>
      <w:r>
        <w:rPr>
          <w:rFonts w:ascii="Arial" w:cs="Arial" w:eastAsia="Arial" w:hAnsi="Arial"/>
          <w:b/>
          <w:bCs/>
          <w:color w:val="2D7A4F"/>
          <w:sz w:val="24"/>
          <w:szCs w:val="24"/>
        </w:rPr>
        <w:t xml:space="preserve">No central registry or transparency portal</w:t>
      </w:r>
    </w:p>
    <w:p>
      <w:pPr>
        <w:spacing w:after="100" w:before="80"/>
        <w:jc w:val="both"/>
      </w:pPr>
      <w:r>
        <w:rPr>
          <w:rFonts w:ascii="Arial" w:cs="Arial" w:eastAsia="Arial" w:hAnsi="Arial"/>
          <w:b w:val="false"/>
          <w:bCs w:val="false"/>
          <w:i w:val="false"/>
          <w:iCs w:val="false"/>
          <w:color w:val="1A1A1A"/>
          <w:sz w:val="22"/>
          <w:szCs w:val="22"/>
        </w:rPr>
        <w:t xml:space="preserve">There is no Malaysian equivalent of the UK Charity Commission or US Charity Navigator for Islamic charities. Donors cannot cross-check compliance, fund allocation, or reporting status for any of the 96,722 registered NGOs. A 2017 study of 205 Malaysian NPOs found </w:t>
      </w:r>
      <w:r>
        <w:rPr>
          <w:rFonts w:ascii="Arial" w:cs="Arial" w:eastAsia="Arial" w:hAnsi="Arial"/>
          <w:b/>
          <w:bCs/>
          <w:i w:val="false"/>
          <w:iCs w:val="false"/>
          <w:color w:val="1A1A1A"/>
          <w:sz w:val="22"/>
          <w:szCs w:val="22"/>
        </w:rPr>
        <w:t xml:space="preserve">fewer than 25% reported fundraising costs publicly</w:t>
      </w:r>
      <w:r>
        <w:rPr>
          <w:rFonts w:ascii="Arial" w:cs="Arial" w:eastAsia="Arial" w:hAnsi="Arial"/>
          <w:b w:val="false"/>
          <w:bCs w:val="false"/>
          <w:i w:val="false"/>
          <w:iCs w:val="false"/>
          <w:color w:val="1A1A1A"/>
          <w:sz w:val="22"/>
          <w:szCs w:val="22"/>
        </w:rPr>
        <w:t xml:space="preserve"> — a figure that has not materially improved in the intervening decade.</w:t>
      </w:r>
    </w:p>
    <w:p>
      <w:pPr>
        <w:spacing w:after="60" w:before="0"/>
      </w:pPr>
    </w:p>
    <w:p>
      <w:pPr>
        <w:pStyle w:val="Heading3"/>
        <w:spacing w:after="80" w:before="200"/>
      </w:pPr>
      <w:r>
        <w:rPr>
          <w:rFonts w:ascii="Arial" w:cs="Arial" w:eastAsia="Arial" w:hAnsi="Arial"/>
          <w:b/>
          <w:bCs/>
          <w:color w:val="2D7A4F"/>
          <w:sz w:val="24"/>
          <w:szCs w:val="24"/>
        </w:rPr>
        <w:t xml:space="preserve">Manual, fragmented, and non-standardised reporting</w:t>
      </w:r>
    </w:p>
    <w:p>
      <w:pPr>
        <w:spacing w:after="100" w:before="80"/>
        <w:jc w:val="both"/>
      </w:pPr>
      <w:r>
        <w:rPr>
          <w:rFonts w:ascii="Arial" w:cs="Arial" w:eastAsia="Arial" w:hAnsi="Arial"/>
          <w:b w:val="false"/>
          <w:bCs w:val="false"/>
          <w:i w:val="false"/>
          <w:iCs w:val="false"/>
          <w:color w:val="1A1A1A"/>
          <w:sz w:val="22"/>
          <w:szCs w:val="22"/>
        </w:rPr>
        <w:t xml:space="preserve">Most mosque committees and NGOs maintain manual ledgers, paper records, or siloed spreadsheets. Financial statements are informal or infrequent. There is no standardised format, no digital audit trail, and no mechanism for verifying that evidence submitted matches reality.</w:t>
      </w:r>
    </w:p>
    <w:p>
      <w:pPr>
        <w:spacing w:after="60" w:before="0"/>
      </w:pPr>
    </w:p>
    <w:p>
      <w:pPr>
        <w:pStyle w:val="Heading3"/>
        <w:spacing w:after="80" w:before="200"/>
      </w:pPr>
      <w:r>
        <w:rPr>
          <w:rFonts w:ascii="Arial" w:cs="Arial" w:eastAsia="Arial" w:hAnsi="Arial"/>
          <w:b/>
          <w:bCs/>
          <w:color w:val="2D7A4F"/>
          <w:sz w:val="24"/>
          <w:szCs w:val="24"/>
        </w:rPr>
        <w:t xml:space="preserve">Regulatory oversight unsustainable at scale</w:t>
      </w:r>
    </w:p>
    <w:p>
      <w:pPr>
        <w:spacing w:after="100" w:before="80"/>
        <w:jc w:val="both"/>
      </w:pPr>
      <w:r>
        <w:rPr>
          <w:rFonts w:ascii="Arial" w:cs="Arial" w:eastAsia="Arial" w:hAnsi="Arial"/>
          <w:b w:val="false"/>
          <w:bCs w:val="false"/>
          <w:i w:val="false"/>
          <w:iCs w:val="false"/>
          <w:color w:val="1A1A1A"/>
          <w:sz w:val="22"/>
          <w:szCs w:val="22"/>
        </w:rPr>
        <w:t xml:space="preserve">JAKIM, state Islamic councils, and ROS are collectively responsible for 96,000+ organisations. </w:t>
      </w:r>
      <w:r>
        <w:rPr>
          <w:rFonts w:ascii="Arial" w:cs="Arial" w:eastAsia="Arial" w:hAnsi="Arial"/>
          <w:b/>
          <w:bCs/>
          <w:i w:val="false"/>
          <w:iCs w:val="false"/>
          <w:color w:val="1A1A1A"/>
          <w:sz w:val="22"/>
          <w:szCs w:val="22"/>
        </w:rPr>
        <w:t xml:space="preserve">ROS receives 8,000–12,000 new NGO registration applications per year</w:t>
      </w:r>
      <w:r>
        <w:rPr>
          <w:rFonts w:ascii="Arial" w:cs="Arial" w:eastAsia="Arial" w:hAnsi="Arial"/>
          <w:b w:val="false"/>
          <w:bCs w:val="false"/>
          <w:i w:val="false"/>
          <w:iCs w:val="false"/>
          <w:color w:val="1A1A1A"/>
          <w:sz w:val="22"/>
          <w:szCs w:val="22"/>
        </w:rPr>
        <w:t xml:space="preserve">. Current compliance enforcement is reactive — triggered by complaint or scandal, not continuous monitoring. This is not a capacity failure; it is an architectural failure that digital infrastructure can solve.</w:t>
      </w:r>
    </w:p>
    <w:p>
      <w:pPr>
        <w:spacing w:after="60" w:before="0"/>
      </w:pPr>
    </w:p>
    <w:p>
      <w:pPr>
        <w:pStyle w:val="Heading3"/>
        <w:spacing w:after="80" w:before="200"/>
      </w:pPr>
      <w:r>
        <w:rPr>
          <w:rFonts w:ascii="Arial" w:cs="Arial" w:eastAsia="Arial" w:hAnsi="Arial"/>
          <w:b/>
          <w:bCs/>
          <w:color w:val="2D7A4F"/>
          <w:sz w:val="24"/>
          <w:szCs w:val="24"/>
        </w:rPr>
        <w:t xml:space="preserve">Escalating fraud crisis destroying donor confidence</w:t>
      </w:r>
    </w:p>
    <w:p>
      <w:pPr>
        <w:spacing w:after="100" w:before="80"/>
        <w:jc w:val="both"/>
      </w:pPr>
      <w:r>
        <w:rPr>
          <w:rFonts w:ascii="Arial" w:cs="Arial" w:eastAsia="Arial" w:hAnsi="Arial"/>
          <w:b w:val="false"/>
          <w:bCs w:val="false"/>
          <w:i w:val="false"/>
          <w:iCs w:val="false"/>
          <w:color w:val="1A1A1A"/>
          <w:sz w:val="22"/>
          <w:szCs w:val="22"/>
        </w:rPr>
        <w:t xml:space="preserve">MACC’s crackdown has intensified dramatically. The Aman Palestin case: </w:t>
      </w:r>
      <w:r>
        <w:rPr>
          <w:rFonts w:ascii="Arial" w:cs="Arial" w:eastAsia="Arial" w:hAnsi="Arial"/>
          <w:b/>
          <w:bCs/>
          <w:i w:val="false"/>
          <w:iCs w:val="false"/>
          <w:color w:val="1A1A1A"/>
          <w:sz w:val="22"/>
          <w:szCs w:val="22"/>
        </w:rPr>
        <w:t xml:space="preserve">164 charges totalling RM 39.53 million</w:t>
      </w:r>
      <w:r>
        <w:rPr>
          <w:rFonts w:ascii="Arial" w:cs="Arial" w:eastAsia="Arial" w:hAnsi="Arial"/>
          <w:b w:val="false"/>
          <w:bCs w:val="false"/>
          <w:i w:val="false"/>
          <w:iCs w:val="false"/>
          <w:color w:val="1A1A1A"/>
          <w:sz w:val="22"/>
          <w:szCs w:val="22"/>
        </w:rPr>
        <w:t xml:space="preserve">, with estimated total misappropriation RM 70 million. The Serantau case: </w:t>
      </w:r>
      <w:r>
        <w:rPr>
          <w:rFonts w:ascii="Arial" w:cs="Arial" w:eastAsia="Arial" w:hAnsi="Arial"/>
          <w:b/>
          <w:bCs/>
          <w:i w:val="false"/>
          <w:iCs w:val="false"/>
          <w:color w:val="1A1A1A"/>
          <w:sz w:val="22"/>
          <w:szCs w:val="22"/>
        </w:rPr>
        <w:t xml:space="preserve">RM 26 million diverted</w:t>
      </w:r>
      <w:r>
        <w:rPr>
          <w:rFonts w:ascii="Arial" w:cs="Arial" w:eastAsia="Arial" w:hAnsi="Arial"/>
          <w:b w:val="false"/>
          <w:bCs w:val="false"/>
          <w:i w:val="false"/>
          <w:iCs w:val="false"/>
          <w:color w:val="1A1A1A"/>
          <w:sz w:val="22"/>
          <w:szCs w:val="22"/>
        </w:rPr>
        <w:t xml:space="preserve"> over a decade to purchase property, cryptocurrency, and jewellery. In early 2026, MACC confirmed active investigations into more than 5 NGOs raising public donations. MACC arrested </w:t>
      </w:r>
      <w:r>
        <w:rPr>
          <w:rFonts w:ascii="Arial" w:cs="Arial" w:eastAsia="Arial" w:hAnsi="Arial"/>
          <w:b/>
          <w:bCs/>
          <w:i w:val="false"/>
          <w:iCs w:val="false"/>
          <w:color w:val="1A1A1A"/>
          <w:sz w:val="22"/>
          <w:szCs w:val="22"/>
        </w:rPr>
        <w:t xml:space="preserve">1,334 individuals</w:t>
      </w:r>
      <w:r>
        <w:rPr>
          <w:rFonts w:ascii="Arial" w:cs="Arial" w:eastAsia="Arial" w:hAnsi="Arial"/>
          <w:b w:val="false"/>
          <w:bCs w:val="false"/>
          <w:i w:val="false"/>
          <w:iCs w:val="false"/>
          <w:color w:val="1A1A1A"/>
          <w:sz w:val="22"/>
          <w:szCs w:val="22"/>
        </w:rPr>
        <w:t xml:space="preserve"> in 2024 overall, confiscating RM 1.6 billion in assets. Each high-profile case suppresses giving across the entire sector, including well-governed organisations.</w:t>
      </w:r>
    </w:p>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4. The Solution: Amanah Governance Platform</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AGP is a </w:t>
      </w:r>
      <w:r>
        <w:rPr>
          <w:rFonts w:ascii="Arial" w:cs="Arial" w:eastAsia="Arial" w:hAnsi="Arial"/>
          <w:b/>
          <w:bCs/>
          <w:i w:val="false"/>
          <w:iCs w:val="false"/>
          <w:color w:val="1A1A1A"/>
          <w:sz w:val="22"/>
          <w:szCs w:val="22"/>
        </w:rPr>
        <w:t xml:space="preserve">digital governance and transparency infrastructure</w:t>
      </w:r>
      <w:r>
        <w:rPr>
          <w:rFonts w:ascii="Arial" w:cs="Arial" w:eastAsia="Arial" w:hAnsi="Arial"/>
          <w:b w:val="false"/>
          <w:bCs w:val="false"/>
          <w:i w:val="false"/>
          <w:iCs w:val="false"/>
          <w:color w:val="1A1A1A"/>
          <w:sz w:val="22"/>
          <w:szCs w:val="22"/>
        </w:rPr>
        <w:t xml:space="preserve"> — not a fundraising platform. It enables organisations to demonstrate accountability, and enables donors, regulators, and scholars to independently verify it. Three Quranic principles are encoded directly into the architecture: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Principle</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Platform Implementation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Amanah — Trust</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Non-custodial architecture: funds never touch AGP. Append-only audit logs. Immutable certification records. Service-role database credentials never exposed to browser.</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Shafafiyyah — Transparency</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Public evidence galleries. Explainable Amanah scores with category breakdowns. Open certification history visible to any donor. Signed URLs — no public storage bucket exposure.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Mas’uliyyah — Accountability</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Reviewer workflows with timestamped decisions. Shariah scholar advisory notes with publishable flags. Submission locking once verified. Nothing is overwritten.</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4.1  Platform Modules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Module</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Function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Organisation Onboarding &amp; Classification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Structured registration capturing Malaysia-specific governance fields: org type, oversight authority, fund types (Zakat/Waqf/Sadaqah), Shariah governance indicators, state, registration number.</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CTCF Certification Engine (5 Layers)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Charity Transparency Certification Framework: Layer 1 legal identity gate (Pass/Fail), Layers 2–5 use graduated Full/Partial/No/N/A scale. Org size band (Micro/Small/Medium/Large) scales audit thresholds. Produces Platinum / Gold / Silver / Not Certified grades.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Amanah Index™ Living Trust Score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0–100 composite trust score, event-driven, updated in real time. Weighted: Governance 30%, Financial Transparency 25%, Project Transparency 20%, Impact Efficiency 15%, Feedback 10%. Score history publicly visible as a trust timeline.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Evidence Management</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Private-by-default document repository. All raw evidence is private. Only reviewer-approved documents become public. Signed URL access — no direct storage exposure. Document expiry enforcement.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Reviewer &amp; Scholar Workflow</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Dedicated interface for appointed reviewers and Shariah scholars. All actions timestamped and immutable. Scholar notes flagged as publishable. No fatwa issuance claimed.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Non-Custodial Donation Portal</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Donors give directly to the organisation’s verified bank account. AGP never holds funds. Purpose-bound tags earmark Zakat, Waqf, and Sadaqah. Auto-generated receipts. Idempotent webhook confirmation.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Public Transparency Dashboard</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Publicly accessible profiles: Amanah Score timeline, CTCF certification badge, verified project pages, approved evidence gallery, donation history.</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4.2  Competitive Landscape &amp; Differentiation</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Gap AGP Fills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Masverse / LZS e-Wakalah</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Blockchain zakat distribution only; no governance scoring, no multi-org transparency, no public certification framework.</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GlobalSadaqah / Ethis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Crowdfunding and donation collection; no structured governance evaluation or independent certification.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UsimMasjidPro</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Mosque management (500 enrolled); no cross-organisational trust scoring or public transparency dashboard.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Charity Navigator (USA)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Secular rating platform; no Shariah governance layer, no Malaysia classification, no real-time event-driven score.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AGP (our platform)</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First platform combining: CTCF structured evaluation + Amanah Index™ living score + Shariah governance layer + non-custodial donation + public transparency dashboard. Purpose-built for Malaysian Islamic regulatory realities.</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5. Technology Overview</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Technology &amp; Rationale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Web Application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Next.js 15 — production-grade, server-rendered, PWA-compatible. Two separate apps: AmanahHub (public/donor) + AmanahHub Console (admin/reviewer).</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Database &amp; Authentication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Supabase (Postgres) — open source, Row-Level Security at DB layer, PDPA-aligned. Hosted cloud with Malaysia data residency option.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File Storage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Supabase Storage, signed URL access. Private by default. No public bucket exposure. Document expiry enforcement.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Scoring Engine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TypeScript @agp/scoring package — pure logic, zero external dependencies, fully auditable. Implements CTCF v2 (5-layer graduated scoring) and Amanah Index v1. Open to government technical audit.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Payment Gateway</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ToyyibPay (Malaysia-regulated FPX, direct-to-charity routing). Provider-neutral adapter interface — Billplz-ready, regional gateway extensible.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Audit Infrastructure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Append-only Postgres tables. No record deletion. Tamper-evident event history. Supabase Edge Functions for real-time score recalculation.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Deployment</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Vercel (two-app deployment). Malaysia-region cloud configurable. Auto-scaling. Zero-downtime deploys.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Test Coverage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64 unit tests (scoring engines, RLS policies, auth flows). 4 Playwright E2E suites: donor discovery, org admin console, reviewer workflow, privacy/data leak prevention.</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5.1  Data Privacy &amp; Security Architecture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PDPA Malaysia compliant — minimal data collection, KYC performed by licensed banks not AGP</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Row-Level Security at database level — users only see data their role permits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Service-role credentials never exposed to browser code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All evidence private by default — public exposure requires explicit reviewer approval</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Append-only audit logs — no deletion, full tamper-evident history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Codebase open to government technical audit on request</w:t>
      </w:r>
    </w:p>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6. Pilot Plan (12 Months)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Pilot Parameter</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Detail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Duration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12 months (July 2026 – June 2027)</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Pilot cohort</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20–30 organisations: mosques, NGOs, Waqf bodies (mix of sizes)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Geographic scope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2–3 states (primary: Selangor; secondary: nominated by MAIN)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Governance partner</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MAIN + JAKIM as Steering Committee anchor</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Platform status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Phase 1 fully built and deployed; pilot tests and stress-tests the live system</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Cost to pilot organisations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Zero — all infrastructure costs absorbed by Effort Studio during pilot period</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6.1  Phase Schedule</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226"/>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color w:val="FFFFFF"/>
                <w:sz w:val="19"/>
                <w:szCs w:val="19"/>
              </w:rPr>
              <w:t xml:space="preserve">Activities</w:t>
            </w:r>
          </w:p>
        </w:tc>
        <w:tc>
          <w:tcPr>
            <w:tcW w:type="dxa" w:w="26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color w:val="FFFFFF"/>
                <w:sz w:val="19"/>
                <w:szCs w:val="19"/>
              </w:rPr>
              <w:t xml:space="preserve">Duration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 — Setup</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Steering Committee, pilot recruitment, reviewer training, org onboarding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Months 1–2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 — Evaluation Cycle</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CTCF evaluations, scholar notes, first Amanah scores published, first donation flows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Months 3–6</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 — Live Operation</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Recurring donations, midline assessment, donor survey, continuous reporting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Months 7–10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 — Evaluation &amp; Scale</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Final M&amp;E report, national rollout plan, state expansion presentations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Months 11–12</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6.2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126"/>
        <w:gridCol w:w="2100"/>
      </w:tblGrid>
      <w:tr>
        <w:tc>
          <w:tcPr>
            <w:tcW w:type="dxa" w:w="22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KPI</w:t>
            </w:r>
          </w:p>
        </w:tc>
        <w:tc>
          <w:tcPr>
            <w:tcW w:type="dxa" w:w="26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Baseline</w:t>
            </w:r>
          </w:p>
        </w:tc>
        <w:tc>
          <w:tcPr>
            <w:tcW w:type="dxa" w:w="2126"/>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12-Month Target</w:t>
            </w:r>
          </w:p>
        </w:tc>
        <w:tc>
          <w:tcPr>
            <w:tcW w:type="dxa" w:w="21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Organisations onboarded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20–30</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AGP dashboard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CTCF evaluations completed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80% of cohort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Certification queue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Amanah scores published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of certified orgs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Public dashboard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Avg Amanah Index score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~60 (estimated)</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Avg ≥75 (verified)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AGP engine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Report submission rate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~40% (sector baseline)</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of pilot orgs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Reporting module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Recurring donations facilitated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RM 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RM 200,000+</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Donation ledger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Donor trust (survey)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≥90% report high trust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Post-pilot survey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Audit time saved (reviewer)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 reduction</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Reviewer survey</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7. Budget</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Funding request: </w:t>
      </w:r>
      <w:r>
        <w:rPr>
          <w:rFonts w:ascii="Arial" w:cs="Arial" w:eastAsia="Arial" w:hAnsi="Arial"/>
          <w:b/>
          <w:bCs/>
          <w:i w:val="false"/>
          <w:iCs w:val="false"/>
          <w:color w:val="1A1A1A"/>
          <w:sz w:val="22"/>
          <w:szCs w:val="22"/>
        </w:rPr>
        <w:t xml:space="preserve">RM 550,000</w:t>
      </w:r>
      <w:r>
        <w:rPr>
          <w:rFonts w:ascii="Arial" w:cs="Arial" w:eastAsia="Arial" w:hAnsi="Arial"/>
          <w:b w:val="false"/>
          <w:bCs w:val="false"/>
          <w:i w:val="false"/>
          <w:iCs w:val="false"/>
          <w:color w:val="1A1A1A"/>
          <w:sz w:val="22"/>
          <w:szCs w:val="22"/>
        </w:rPr>
        <w:t xml:space="preserve"> for a 12-month pilot. </w:t>
      </w:r>
      <w:r>
        <w:rPr>
          <w:rFonts w:ascii="Arial" w:cs="Arial" w:eastAsia="Arial" w:hAnsi="Arial"/>
          <w:b/>
          <w:bCs/>
          <w:i w:val="false"/>
          <w:iCs w:val="false"/>
          <w:color w:val="1A1A1A"/>
          <w:sz w:val="22"/>
          <w:szCs w:val="22"/>
        </w:rPr>
        <w:t xml:space="preserve">International grant applications (IsDB):</w:t>
      </w:r>
      <w:r>
        <w:rPr>
          <w:rFonts w:ascii="Arial" w:cs="Arial" w:eastAsia="Arial" w:hAnsi="Arial"/>
          <w:b w:val="false"/>
          <w:bCs w:val="false"/>
          <w:i w:val="false"/>
          <w:iCs w:val="false"/>
          <w:color w:val="1A1A1A"/>
          <w:sz w:val="22"/>
          <w:szCs w:val="22"/>
        </w:rPr>
        <w:t xml:space="preserve"> USD equivalent at current exchange rate (RM 550,000 ≈ USD 123,000). All expenditure is directly tied to measurable pilot outcomes.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c>
          <w:tcPr>
            <w:tcW w:type="dxa" w:w="32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Budget Item</w:t>
            </w:r>
          </w:p>
        </w:tc>
        <w:tc>
          <w:tcPr>
            <w:tcW w:type="dxa" w:w="3826"/>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Description</w:t>
            </w:r>
          </w:p>
        </w:tc>
        <w:tc>
          <w:tcPr>
            <w:tcW w:type="dxa" w:w="20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Amount (RM)</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Platform Development</w:t>
            </w:r>
          </w:p>
        </w:tc>
        <w:tc>
          <w:tcPr>
            <w:tcW w:type="dxa" w:w="382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Feature hardening, security audit, compliance engineering, pilot-specific modules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250,000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Cloud Hosting &amp; Infrastructure</w:t>
            </w:r>
          </w:p>
        </w:tc>
        <w:tc>
          <w:tcPr>
            <w:tcW w:type="dxa" w:w="3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Malaysia-based managed cloud, storage, SSL, monitoring — 12 months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100,000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Onboarding &amp; Training</w:t>
            </w:r>
          </w:p>
        </w:tc>
        <w:tc>
          <w:tcPr>
            <w:tcW w:type="dxa" w:w="382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3 workshops (urban + rural + Waqf-specific), user manuals, helpdesk, reviewer training</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50,000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Pilot Operations</w:t>
            </w:r>
          </w:p>
        </w:tc>
        <w:tc>
          <w:tcPr>
            <w:tcW w:type="dxa" w:w="3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2 part-time coordinators, field visits, org support, MAIN/JAKIM liaison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70,000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Monitoring &amp; Evaluation</w:t>
            </w:r>
          </w:p>
        </w:tc>
        <w:tc>
          <w:tcPr>
            <w:tcW w:type="dxa" w:w="382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Independent M&amp;E consultant, surveys, data analysis, midline and final reports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30,000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Administration &amp; Contingency</w:t>
            </w:r>
          </w:p>
        </w:tc>
        <w:tc>
          <w:tcPr>
            <w:tcW w:type="dxa" w:w="3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Project management, communications, Steering Committee, 5% contingency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50,000</w:t>
            </w:r>
          </w:p>
        </w:tc>
      </w:tr>
      <w:tr>
        <w:tc>
          <w:tcPr>
            <w:tcW w:type="dxa" w:w="32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TOTAL</w:t>
            </w:r>
          </w:p>
        </w:tc>
        <w:tc>
          <w:tcPr>
            <w:tcW w:type="dxa" w:w="3826"/>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val="false"/>
                <w:bCs w:val="false"/>
                <w:i w:val="false"/>
                <w:iCs w:val="false"/>
                <w:color w:val="FFFFFF"/>
                <w:sz w:val="20"/>
                <w:szCs w:val="20"/>
              </w:rPr>
              <w:t xml:space="preserve"/>
            </w:r>
          </w:p>
        </w:tc>
        <w:tc>
          <w:tcPr>
            <w:tcW w:type="dxa" w:w="20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pPr>
              <w:jc w:val="right"/>
            </w:pPr>
            <w:r>
              <w:rPr>
                <w:rFonts w:ascii="Arial" w:cs="Arial" w:eastAsia="Arial" w:hAnsi="Arial"/>
                <w:b/>
                <w:bCs/>
                <w:i w:val="false"/>
                <w:iCs w:val="false"/>
                <w:color w:val="C8922A"/>
                <w:sz w:val="20"/>
                <w:szCs w:val="20"/>
              </w:rPr>
              <w:t xml:space="preserve">RM 550,000</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8. Sustainability &amp; Business Model</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AGP is designed for long-term financial independence from grant funding. The pilot is the proof-of-concept phase; from Month 13 onward, the platform transitions to a self-sustaining revenue model.</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Revenue Stream</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Projected Share at Scale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Mosque SaaS subscription (RM 99–299/month)</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25% — 500 mosques at RM 150 avg = RM 75,000/month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Donation processing fee (4% platform fee)</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25% — non-custodial; paid by org not donor; Shariah-compliant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NGO / Islamic school SaaS (RM 200–500/month)</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20% — white-label for humanitarian NGOs and Islamic schools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Zakat institutional contracts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15% — state zakat boards commissioning AGP as transparency oversight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Corporate payroll Sadaqah integration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10% — employee auto-Sadaqah; CSR-aligned annual licence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Data &amp; analytics services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 — anonymised governance benchmarking sold to zakat bodies / government</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226"/>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color w:val="FFFFFF"/>
                <w:sz w:val="19"/>
                <w:szCs w:val="19"/>
              </w:rPr>
              <w:t xml:space="preserve">Funding Source</w:t>
            </w:r>
          </w:p>
        </w:tc>
        <w:tc>
          <w:tcPr>
            <w:tcW w:type="dxa" w:w="26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color w:val="FFFFFF"/>
                <w:sz w:val="19"/>
                <w:szCs w:val="19"/>
              </w:rPr>
              <w:t xml:space="preserve">Timeline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Pilot</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Grants (this application)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2026–2027</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Early Revenue</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SaaS subscriptions + processing fees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2027–2028</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Self-Sustain</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Recurring platform revenue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2028+</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Scale</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Islamic impact investment + regional expansion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2029+</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9. Social Impact &amp; Policy Alignment</w:t>
      </w:r>
    </w:p>
    <w:p>
      <w:pPr>
        <w:spacing w:after="80" w:before="0"/>
      </w:pPr>
    </w:p>
    <w:p>
      <w:pPr>
        <w:pStyle w:val="Heading2"/>
        <w:pBdr>
          <w:bottom w:val="single" w:color="C8922A" w:sz="6" w:space="4"/>
        </w:pBdr>
        <w:spacing w:after="100" w:before="280"/>
      </w:pPr>
      <w:r>
        <w:rPr>
          <w:rFonts w:ascii="Arial" w:cs="Arial" w:eastAsia="Arial" w:hAnsi="Arial"/>
          <w:b/>
          <w:bCs/>
          <w:color w:val="1A4731"/>
          <w:sz w:val="27"/>
          <w:szCs w:val="27"/>
        </w:rPr>
        <w:t xml:space="preserve">9.1  SDG Alignment</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SDG</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AGP Contribution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SDG 1 — No Poverty</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Improved Zakat and Sadaqah distribution efficiency; reduced leakage; better targeting of asnaf beneficiaries; quantified beneficiary outcomes per organisation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SDG 16 — Accountable Institutions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Structured audit trails and public transparency dashboards directly address institutional accountability at scale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SDG 10 — Reduced Inequalities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Ensuring funds reach intended beneficiaries rather than being diverted; democratising donor access to governance information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SDG 17 — Partnerships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Multi-stakeholder platform integrating government (MAIN/JAKIM), civil society, Islamic banks, corporates, and academia</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9.2  National Policy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Policy Framework</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AGP Alignment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Malaysia MADANI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Amanah (trust) as core pillar. AGP is the institutional infrastructure for demonstrating Amanah at scale in the Islamic charity sector.</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13th Malaysia Plan (2026–2030)</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Islamic finance hub leadership, AI Nation Framework, Government-as-Platform. AGP is a platform-of-record for Islamic charity governance.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MyDIGITAL Blueprint</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Strategic Thrust 5 (Inclusive Digital Society), Thrust 6 (Trusted Environment). AGP digitises governance for 100,000+ Islamic social institutions.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BNM Financial Sector Blueprint</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Strategic Thrust 5: value-based finance through Islamic finance leadership. AGP enables Islamic institutions to demonstrate VBI compliance.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Budget 2026 (Waqf ecosystem)</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PM Anwar announced RM 35 million allocation to strengthen Malaysia’s Waqf ecosystem. AGP provides the governance infrastructure for that ecosystem.</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Digital Investment Office (Islamic Digital Economy)</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Explicitly identifies waqf/zakat transparency as an "industry pain point" awaiting technology solutions. AGP is that solution.</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10. Team, Governance &amp; Hiring Plan</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Current Team</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Role &amp; Credentials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Darya Malak — Founder / Product Owner</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Platform architect, governance design lead. Built Phase 1 end-to-end. Designed CTCF framework, Amanah Index formula, and Malaysian Islamic charity classification model. Full-stack build with RLS security, audit design, and comprehensive test coverage.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[Engineering Lead] — to be hired</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Senior Next.js / Supabase developer. Responsible for Phase 2 platform hardening, additional modules, security audit resolution, and API integrations.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[Shariah Advisor] — to be engaged</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Qualified Shariah scholar for Layer 5 CTCF evaluations and Steering Committee advisory. Prerequisite for Zakat Fisabilillah funding application and IsDB credibility.</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[Islamic Finance Legal Counsel] — to be engaged</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Formalise Zakat eligibility framework, platform fee Shariah compliance opinion, PDPA legal review. Required for institutional grant applications.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[Academic Partner] — IIUM/UTM</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M&amp;E research, impact assessment, academic publication. Provides independent evaluation credibility for all grant bodies.</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10.1  Grant-Funded Hiring Plan</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c>
          <w:tcPr>
            <w:tcW w:type="dxa" w:w="22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4226"/>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color w:val="FFFFFF"/>
                <w:sz w:val="19"/>
                <w:szCs w:val="19"/>
              </w:rPr>
              <w:t xml:space="preserve">Timeline</w:t>
            </w:r>
          </w:p>
        </w:tc>
        <w:tc>
          <w:tcPr>
            <w:tcW w:type="dxa" w:w="26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color w:val="FFFFFF"/>
                <w:sz w:val="19"/>
                <w:szCs w:val="19"/>
              </w:rPr>
              <w:t xml:space="preserve">Budget Source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Pilot Coordinator #1 (Selangor)</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Pilot Operations (RM 70K)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Pilot Coordinator #2 (secondary state)</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Pilot Operations (RM 70K)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M&amp;E Consultant (independent)</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3 + Month 12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M&amp;E (RM 30K)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Shariah Advisor (retainer)</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1 (ongoing)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Development (RM 250K)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Engineering Lead (contract)</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1 (12-month)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Development (RM 250K)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Islamic Finance Legal Counsel (project)</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1–2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Development (RM 250K)</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11. Why AGP. Why Now. Why Us.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0" w:before="0"/>
            </w:pPr>
            <w:r>
              <w:rPr>
                <w:rFonts w:ascii="Arial" w:cs="Arial" w:eastAsia="Arial" w:hAnsi="Arial"/>
                <w:b/>
                <w:bCs/>
                <w:color w:val="2D7A4F"/>
                <w:sz w:val="22"/>
                <w:szCs w:val="22"/>
              </w:rPr>
              <w:t xml:space="preserve">The platform exists and works.  </w:t>
            </w:r>
            <w:r>
              <w:rPr>
                <w:rFonts w:ascii="Arial" w:cs="Arial" w:eastAsia="Arial" w:hAnsi="Arial"/>
                <w:color w:val="1A1A1A"/>
                <w:sz w:val="22"/>
                <w:szCs w:val="22"/>
              </w:rPr>
              <w:t xml:space="preserve">Most grant applications fund the building of something. This application funds the deployment of something already built, tested, and live. The risk profile is fundamentally lower than a greenfield proposal.</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The policy window is open.  </w:t>
            </w:r>
            <w:r>
              <w:rPr>
                <w:rFonts w:ascii="Arial" w:cs="Arial" w:eastAsia="Arial" w:hAnsi="Arial"/>
                <w:color w:val="1A1A1A"/>
                <w:sz w:val="22"/>
                <w:szCs w:val="22"/>
              </w:rPr>
              <w:t xml:space="preserve">Malaysia’s government has named the problem, allocated RM 35 million for Waqf ecosystem development, enacted blockchain waqf sukuk in Budget 2026, and the Digital Investment Office is explicitly calling for tech solutions to zakat/waqf transparency. This is the moment.</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The crisis creates urgency.  </w:t>
            </w:r>
            <w:r>
              <w:rPr>
                <w:rFonts w:ascii="Arial" w:cs="Arial" w:eastAsia="Arial" w:hAnsi="Arial"/>
                <w:color w:val="1A1A1A"/>
                <w:sz w:val="22"/>
                <w:szCs w:val="22"/>
              </w:rPr>
              <w:t xml:space="preserve">MACC’s escalating NGO fraud probes — RM 70M (Aman Palestin), RM 26M (Serantau), 5+ active investigations in 2026 — mean that ‘we should get around to fixing charity governance’ is no longer viable. The damage is happening now. The infrastructure to prevent it is ready.</w:t>
            </w:r>
          </w:p>
        </w:tc>
      </w:tr>
    </w:tbl>
    <w:p>
      <w:pPr>
        <w:spacing w:after="160" w:before="0"/>
      </w:pPr>
    </w:p>
    <w:p>
      <w:pPr>
        <w:spacing w:after="100" w:before="80"/>
        <w:jc w:val="both"/>
      </w:pPr>
      <w:r>
        <w:rPr>
          <w:rFonts w:ascii="Arial" w:cs="Arial" w:eastAsia="Arial" w:hAnsi="Arial"/>
          <w:b w:val="false"/>
          <w:bCs w:val="false"/>
          <w:i w:val="false"/>
          <w:iCs w:val="false"/>
          <w:color w:val="1A1A1A"/>
          <w:sz w:val="22"/>
          <w:szCs w:val="22"/>
        </w:rPr>
        <w:t xml:space="preserve">AGP is built to serve every Malaysian Muslim who gives charity and wants to know it reached its destination. Every donor who trusts a name on a collection box. Every mosque committee that runs on community goodwill and deserves the tools to demonstrate it. Every asnaf family whose allocation depends on the system working correctly.</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This is amanah work. In shaa Allah, with your support, we will build it properly.</w:t>
      </w:r>
    </w:p>
    <w:p>
      <w:pPr>
        <w:spacing w:after="200" w:before="0"/>
      </w:pPr>
    </w:p>
    <w:p>
      <w:pPr>
        <w:spacing w:after="0" w:before="0"/>
        <w:jc w:val="right"/>
      </w:pPr>
      <w:r>
        <w:rPr>
          <w:rFonts w:ascii="Arial" w:cs="Arial" w:eastAsia="Arial" w:hAnsi="Arial"/>
          <w:b/>
          <w:bCs/>
          <w:i w:val="false"/>
          <w:iCs w:val="false"/>
          <w:color w:val="1A4731"/>
          <w:sz w:val="22"/>
          <w:szCs w:val="22"/>
        </w:rPr>
        <w:t xml:space="preserve">Darya Malak</w:t>
      </w:r>
      <w:r>
        <w:rPr>
          <w:rFonts w:ascii="Arial" w:cs="Arial" w:eastAsia="Arial" w:hAnsi="Arial"/>
          <w:color w:val="555555"/>
          <w:sz w:val="20"/>
          <w:szCs w:val="20"/>
        </w:rPr>
        <w:t xml:space="preserve">
Effort Studio — Amanah Governance Platform</w:t>
      </w:r>
      <w:r>
        <w:rPr>
          <w:rFonts w:ascii="Arial" w:cs="Arial" w:eastAsia="Arial" w:hAnsi="Arial"/>
          <w:color w:val="555555"/>
          <w:sz w:val="20"/>
          <w:szCs w:val="20"/>
        </w:rPr>
        <w:t xml:space="preserve">
April 2026</w:t>
      </w:r>
      <w:r>
        <w:rPr>
          <w:rFonts w:ascii="Arial" w:cs="Arial" w:eastAsia="Arial" w:hAnsi="Arial"/>
          <w:color w:val="555555"/>
          <w:sz w:val="20"/>
          <w:szCs w:val="20"/>
        </w:rPr>
        <w:t xml:space="preserve">
[contact details]</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4"/>
      </w:pBdr>
      <w:spacing w:after="0" w:before="120"/>
      <w:jc w:val="right"/>
    </w:pPr>
    <w:r>
      <w:rPr>
        <w:rFonts w:ascii="Arial" w:cs="Arial" w:eastAsia="Arial" w:hAnsi="Arial"/>
        <w:b w:val="false"/>
        <w:bCs w:val="false"/>
        <w:i/>
        <w:iCs/>
        <w:color w:val="555555"/>
        <w:sz w:val="18"/>
        <w:szCs w:val="18"/>
      </w:rPr>
      <w:t xml:space="preserve">Confidential — Effort Studio / Darya Malak — April 2026</w:t>
    </w:r>
    <w:r>
      <w:rPr>
        <w:rFonts w:ascii="Arial" w:cs="Arial" w:eastAsia="Arial" w:hAnsi="Arial"/>
        <w:color w:val="555555"/>
        <w:sz w:val="18"/>
        <w:szCs w:val="18"/>
      </w:rPr>
      <w:t xml:space="preserv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4"/>
      </w:pBdr>
      <w:spacing w:after="120" w:before="0"/>
    </w:pPr>
    <w:r>
      <w:rPr>
        <w:rFonts w:ascii="Arial" w:cs="Arial" w:eastAsia="Arial" w:hAnsi="Arial"/>
        <w:b/>
        <w:bCs/>
        <w:i w:val="false"/>
        <w:iCs w:val="false"/>
        <w:color w:val="1A4731"/>
        <w:sz w:val="18"/>
        <w:szCs w:val="18"/>
      </w:rPr>
      <w:t xml:space="preserve">AMANAH GOVERNANCE PLATFORM</w:t>
    </w:r>
    <w:r>
      <w:rPr>
        <w:rFonts w:ascii="Arial" w:cs="Arial" w:eastAsia="Arial" w:hAnsi="Arial"/>
        <w:b w:val="false"/>
        <w:bCs w:val="false"/>
        <w:i w:val="false"/>
        <w:iCs w:val="false"/>
        <w:color w:val="555555"/>
        <w:sz w:val="18"/>
        <w:szCs w:val="18"/>
      </w:rPr>
      <w:t xml:space="preserve">   │   Grant Application — Multi-Funder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4731"/>
      <w:sz w:val="27"/>
      <w:szCs w:val="27"/>
    </w:rPr>
  </w:style>
  <w:style w:type="paragraph" w:styleId="Heading3">
    <w:name w:val="Heading 3"/>
    <w:basedOn w:val="Normal"/>
    <w:next w:val="Normal"/>
    <w:qFormat/>
    <w:pPr>
      <w:spacing w:after="80" w:before="200"/>
      <w:outlineLvl w:val="2"/>
    </w:pPr>
    <w:rPr>
      <w:rFonts w:ascii="Arial" w:cs="Arial" w:eastAsia="Arial" w:hAnsi="Arial"/>
      <w:b/>
      <w:bCs/>
      <w:color w:val="2D7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2026-04-12T11:30:31.564Z</dcterms:created>
  <dcterms:modified xsi:type="dcterms:W3CDTF">2026-04-12T11:30:31.564Z</dcterms:modified>
</cp:coreProperties>
</file>

<file path=docProps/custom.xml><?xml version="1.0" encoding="utf-8"?>
<Properties xmlns="http://schemas.openxmlformats.org/officeDocument/2006/custom-properties" xmlns:vt="http://schemas.openxmlformats.org/officeDocument/2006/docPropsVTypes"/>
</file>