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1A4731" w:val="clear"/>
            <w:tcMar>
              <w:top w:type="dxa" w:w="480"/>
              <w:left w:type="dxa" w:w="560"/>
              <w:bottom w:type="dxa" w:w="480"/>
              <w:right w:type="dxa" w:w="560"/>
            </w:tcMar>
          </w:tcPr>
          <w:p>
            <w:pPr>
              <w:spacing w:after="120" w:before="0"/>
              <w:jc w:val="center"/>
            </w:pPr>
            <w:r>
              <w:rPr>
                <w:rFonts w:ascii="Arial" w:cs="Arial" w:eastAsia="Arial" w:hAnsi="Arial"/>
                <w:b/>
                <w:bCs/>
                <w:color w:val="FFFFFF"/>
                <w:sz w:val="44"/>
                <w:szCs w:val="44"/>
              </w:rPr>
              <w:t xml:space="preserve">AMANAH GOVERNANCE PLATFORM</w:t>
            </w:r>
          </w:p>
          <w:p>
            <w:pPr>
              <w:spacing w:after="320" w:before="0"/>
              <w:jc w:val="center"/>
            </w:pPr>
            <w:r>
              <w:rPr>
                <w:rFonts w:ascii="Arial" w:cs="Arial" w:eastAsia="Arial" w:hAnsi="Arial"/>
                <w:i/>
                <w:iCs/>
                <w:color w:val="C8D8CC"/>
                <w:sz w:val="26"/>
                <w:szCs w:val="26"/>
              </w:rPr>
              <w:t xml:space="preserve">Trusted Giving. Transparent Governance.</w:t>
            </w:r>
          </w:p>
          <w:p>
            <w:pPr>
              <w:spacing w:after="120" w:before="0"/>
              <w:jc w:val="center"/>
            </w:pPr>
            <w:r>
              <w:rPr>
                <w:rFonts w:ascii="Arial" w:cs="Arial" w:eastAsia="Arial" w:hAnsi="Arial"/>
                <w:b/>
                <w:bCs/>
                <w:color w:val="C8922A"/>
                <w:sz w:val="30"/>
                <w:szCs w:val="30"/>
              </w:rPr>
              <w:t xml:space="preserve">Institutional Partnership Proposal</w:t>
            </w:r>
          </w:p>
          <w:p>
            <w:pPr>
              <w:spacing w:after="0" w:before="0"/>
              <w:jc w:val="center"/>
            </w:pPr>
            <w:r>
              <w:rPr>
                <w:rFonts w:ascii="Arial" w:cs="Arial" w:eastAsia="Arial" w:hAnsi="Arial"/>
                <w:color w:val="C8D8CC"/>
                <w:sz w:val="22"/>
                <w:szCs w:val="22"/>
              </w:rPr>
              <w:t xml:space="preserve">Prepared for: Majlis Agama Islam Negeri (MAIN) &amp; JAKIM</w:t>
            </w:r>
          </w:p>
        </w:tc>
      </w:tr>
    </w:tbl>
    <w:p>
      <w:pPr>
        <w:spacing w:after="400" w:before="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50"/>
        <w:gridCol w:w="3248"/>
      </w:tblGrid>
      <w:tr>
        <w:tc>
          <w:tcPr>
            <w:tcW w:type="dxa" w:w="3248"/>
            <w:tcBorders>
              <w:top w:val="none" w:color="FFFFFF" w:sz="0"/>
              <w:left w:val="none" w:color="FFFFFF" w:sz="0"/>
              <w:bottom w:val="none" w:color="FFFFFF" w:sz="0"/>
              <w:right w:val="none" w:color="FFFFFF" w:sz="0"/>
            </w:tcBorders>
            <w:shd w:fill="E8F5ED" w:val="clear"/>
            <w:tcMar>
              <w:top w:type="dxa" w:w="160"/>
              <w:left w:type="dxa" w:w="200"/>
              <w:bottom w:type="dxa" w:w="160"/>
              <w:right w:type="dxa" w:w="200"/>
            </w:tcMar>
          </w:tcPr>
          <w:p>
            <w:pPr>
              <w:spacing w:after="40" w:before="0"/>
              <w:jc w:val="center"/>
            </w:pPr>
            <w:r>
              <w:rPr>
                <w:rFonts w:ascii="Arial" w:cs="Arial" w:eastAsia="Arial" w:hAnsi="Arial"/>
                <w:b/>
                <w:bCs/>
                <w:color w:val="555555"/>
                <w:sz w:val="19"/>
                <w:szCs w:val="19"/>
              </w:rPr>
              <w:t xml:space="preserve">Prepared by</w:t>
            </w:r>
          </w:p>
          <w:p>
            <w:pPr>
              <w:spacing w:after="0" w:before="0"/>
              <w:jc w:val="center"/>
            </w:pPr>
            <w:r>
              <w:rPr>
                <w:rFonts w:ascii="Arial" w:cs="Arial" w:eastAsia="Arial" w:hAnsi="Arial"/>
                <w:b/>
                <w:bCs/>
                <w:color w:val="1A4731"/>
                <w:sz w:val="20"/>
                <w:szCs w:val="20"/>
              </w:rPr>
              <w:t xml:space="preserve">Effort Studio / Darya Malak</w:t>
            </w:r>
          </w:p>
        </w:tc>
        <w:tc>
          <w:tcPr>
            <w:tcW w:type="dxa" w:w="3250"/>
            <w:tcBorders>
              <w:top w:val="none" w:color="FFFFFF" w:sz="0"/>
              <w:left w:val="none" w:color="FFFFFF" w:sz="0"/>
              <w:bottom w:val="none" w:color="FFFFFF" w:sz="0"/>
              <w:right w:val="none" w:color="FFFFFF" w:sz="0"/>
            </w:tcBorders>
            <w:shd w:fill="FDF6E3" w:val="clear"/>
            <w:tcMar>
              <w:top w:type="dxa" w:w="160"/>
              <w:left w:type="dxa" w:w="200"/>
              <w:bottom w:type="dxa" w:w="160"/>
              <w:right w:type="dxa" w:w="200"/>
            </w:tcMar>
          </w:tcPr>
          <w:p>
            <w:pPr>
              <w:spacing w:after="40" w:before="0"/>
              <w:jc w:val="center"/>
            </w:pPr>
            <w:r>
              <w:rPr>
                <w:rFonts w:ascii="Arial" w:cs="Arial" w:eastAsia="Arial" w:hAnsi="Arial"/>
                <w:b/>
                <w:bCs/>
                <w:color w:val="555555"/>
                <w:sz w:val="19"/>
                <w:szCs w:val="19"/>
              </w:rPr>
              <w:t xml:space="preserve">Date</w:t>
            </w:r>
          </w:p>
          <w:p>
            <w:pPr>
              <w:spacing w:after="0" w:before="0"/>
              <w:jc w:val="center"/>
            </w:pPr>
            <w:r>
              <w:rPr>
                <w:rFonts w:ascii="Arial" w:cs="Arial" w:eastAsia="Arial" w:hAnsi="Arial"/>
                <w:b/>
                <w:bCs/>
                <w:color w:val="1A4731"/>
                <w:sz w:val="20"/>
                <w:szCs w:val="20"/>
              </w:rPr>
              <w:t xml:space="preserve">April 2026</w:t>
            </w:r>
          </w:p>
        </w:tc>
        <w:tc>
          <w:tcPr>
            <w:tcW w:type="dxa" w:w="3248"/>
            <w:tcBorders>
              <w:top w:val="none" w:color="FFFFFF" w:sz="0"/>
              <w:left w:val="none" w:color="FFFFFF" w:sz="0"/>
              <w:bottom w:val="none" w:color="FFFFFF" w:sz="0"/>
              <w:right w:val="none" w:color="FFFFFF" w:sz="0"/>
            </w:tcBorders>
            <w:shd w:fill="E8F5ED" w:val="clear"/>
            <w:tcMar>
              <w:top w:type="dxa" w:w="160"/>
              <w:left w:type="dxa" w:w="200"/>
              <w:bottom w:type="dxa" w:w="160"/>
              <w:right w:type="dxa" w:w="200"/>
            </w:tcMar>
          </w:tcPr>
          <w:p>
            <w:pPr>
              <w:spacing w:after="40" w:before="0"/>
              <w:jc w:val="center"/>
            </w:pPr>
            <w:r>
              <w:rPr>
                <w:rFonts w:ascii="Arial" w:cs="Arial" w:eastAsia="Arial" w:hAnsi="Arial"/>
                <w:b/>
                <w:bCs/>
                <w:color w:val="555555"/>
                <w:sz w:val="19"/>
                <w:szCs w:val="19"/>
              </w:rPr>
              <w:t xml:space="preserve">Classification</w:t>
            </w:r>
          </w:p>
          <w:p>
            <w:pPr>
              <w:spacing w:after="0" w:before="0"/>
              <w:jc w:val="center"/>
            </w:pPr>
            <w:r>
              <w:rPr>
                <w:rFonts w:ascii="Arial" w:cs="Arial" w:eastAsia="Arial" w:hAnsi="Arial"/>
                <w:b/>
                <w:bCs/>
                <w:color w:val="1A4731"/>
                <w:sz w:val="20"/>
                <w:szCs w:val="20"/>
              </w:rPr>
              <w:t xml:space="preserve">Confidential</w:t>
            </w:r>
          </w:p>
        </w:tc>
      </w:tr>
    </w:tbl>
    <w:p>
      <w:pPr>
        <w:spacing w:after="300" w:before="0"/>
      </w:pPr>
    </w:p>
    <w:p>
      <w:pPr>
        <w:spacing w:after="0" w:before="0"/>
        <w:jc w:val="center"/>
      </w:pPr>
      <w:r>
        <w:rPr>
          <w:rFonts w:ascii="Arial" w:cs="Arial" w:eastAsia="Arial" w:hAnsi="Arial"/>
          <w:b w:val="false"/>
          <w:bCs w:val="false"/>
          <w:i/>
          <w:iCs/>
          <w:color w:val="2D7A4F"/>
          <w:sz w:val="22"/>
          <w:szCs w:val="22"/>
        </w:rPr>
        <w:t xml:space="preserve">Bismillahirrahmanirrahim — In the name of Allah, the Most Gracious, the Most Merciful</w:t>
      </w:r>
    </w:p>
    <w:p>
      <w:pPr>
        <w:spacing w:after="0" w:before="0"/>
      </w:pPr>
      <w:r>
        <w:br w:type="page"/>
      </w:r>
    </w:p>
    <w:p>
      <w:pPr>
        <w:pStyle w:val="Heading1"/>
        <w:shd w:fill="1A4731" w:val="clear"/>
        <w:spacing w:after="160" w:before="0"/>
        <w:ind w:left="360" w:right="360"/>
      </w:pPr>
      <w:r>
        <w:rPr>
          <w:rFonts w:ascii="Arial" w:cs="Arial" w:eastAsia="Arial" w:hAnsi="Arial"/>
          <w:b/>
          <w:bCs/>
          <w:color w:val="FFFFFF"/>
          <w:sz w:val="36"/>
          <w:szCs w:val="36"/>
        </w:rPr>
        <w:t xml:space="preserve">Executive Summary</w:t>
      </w:r>
    </w:p>
    <w:p>
      <w:pPr>
        <w:spacing w:after="80" w:before="0"/>
      </w:pPr>
    </w:p>
    <w:p>
      <w:pPr>
        <w:spacing w:after="100" w:before="80"/>
        <w:jc w:val="both"/>
      </w:pPr>
      <w:r>
        <w:rPr>
          <w:rFonts w:ascii="Arial" w:cs="Arial" w:eastAsia="Arial" w:hAnsi="Arial"/>
          <w:b w:val="false"/>
          <w:bCs w:val="false"/>
          <w:color w:val="1A1A1A"/>
          <w:sz w:val="22"/>
          <w:szCs w:val="22"/>
        </w:rPr>
        <w:t xml:space="preserve">Malaysia's Islamic philanthropy sector is one of the most generous in the world — and one of the least digitally governed. Over </w:t>
      </w:r>
      <w:r>
        <w:rPr>
          <w:rFonts w:ascii="Arial" w:cs="Arial" w:eastAsia="Arial" w:hAnsi="Arial"/>
          <w:b/>
          <w:bCs/>
          <w:color w:val="1A1A1A"/>
          <w:sz w:val="22"/>
          <w:szCs w:val="22"/>
        </w:rPr>
        <w:t xml:space="preserve">RM2–3 billion in Zakat</w:t>
      </w:r>
      <w:r>
        <w:rPr>
          <w:rFonts w:ascii="Arial" w:cs="Arial" w:eastAsia="Arial" w:hAnsi="Arial"/>
          <w:b w:val="false"/>
          <w:bCs w:val="false"/>
          <w:color w:val="1A1A1A"/>
          <w:sz w:val="22"/>
          <w:szCs w:val="22"/>
        </w:rPr>
        <w:t xml:space="preserve"> flows through state boards annually. Approximately </w:t>
      </w:r>
      <w:r>
        <w:rPr>
          <w:rFonts w:ascii="Arial" w:cs="Arial" w:eastAsia="Arial" w:hAnsi="Arial"/>
          <w:b/>
          <w:bCs/>
          <w:color w:val="1A1A1A"/>
          <w:sz w:val="22"/>
          <w:szCs w:val="22"/>
        </w:rPr>
        <w:t xml:space="preserve">6,800 mosques</w:t>
      </w:r>
      <w:r>
        <w:rPr>
          <w:rFonts w:ascii="Arial" w:cs="Arial" w:eastAsia="Arial" w:hAnsi="Arial"/>
          <w:b w:val="false"/>
          <w:bCs w:val="false"/>
          <w:color w:val="1A1A1A"/>
          <w:sz w:val="22"/>
          <w:szCs w:val="22"/>
        </w:rPr>
        <w:t xml:space="preserve"> and </w:t>
      </w:r>
      <w:r>
        <w:rPr>
          <w:rFonts w:ascii="Arial" w:cs="Arial" w:eastAsia="Arial" w:hAnsi="Arial"/>
          <w:b/>
          <w:bCs/>
          <w:color w:val="1A1A1A"/>
          <w:sz w:val="22"/>
          <w:szCs w:val="22"/>
        </w:rPr>
        <w:t xml:space="preserve">82,000+ registered NGOs</w:t>
      </w:r>
      <w:r>
        <w:rPr>
          <w:rFonts w:ascii="Arial" w:cs="Arial" w:eastAsia="Arial" w:hAnsi="Arial"/>
          <w:b w:val="false"/>
          <w:bCs w:val="false"/>
          <w:color w:val="1A1A1A"/>
          <w:sz w:val="22"/>
          <w:szCs w:val="22"/>
        </w:rPr>
        <w:t xml:space="preserve"> serve the Ummah across the country. Yet the infrastructure of trust that donors depend on — structured reporting, verified evidence, standardized governance scoring — does not exist in unified digital form.</w:t>
      </w:r>
    </w:p>
    <w:p>
      <w:pPr>
        <w:spacing w:after="80" w:before="0"/>
      </w:pPr>
    </w:p>
    <w:p>
      <w:pPr>
        <w:spacing w:after="100" w:before="80"/>
        <w:jc w:val="both"/>
      </w:pPr>
      <w:r>
        <w:rPr>
          <w:rFonts w:ascii="Arial" w:cs="Arial" w:eastAsia="Arial" w:hAnsi="Arial"/>
          <w:b w:val="false"/>
          <w:bCs w:val="false"/>
          <w:color w:val="1A1A1A"/>
          <w:sz w:val="22"/>
          <w:szCs w:val="22"/>
        </w:rPr>
        <w:t xml:space="preserve">The </w:t>
      </w:r>
      <w:r>
        <w:rPr>
          <w:rFonts w:ascii="Arial" w:cs="Arial" w:eastAsia="Arial" w:hAnsi="Arial"/>
          <w:b/>
          <w:bCs/>
          <w:color w:val="1A1A1A"/>
          <w:sz w:val="22"/>
          <w:szCs w:val="22"/>
        </w:rPr>
        <w:t xml:space="preserve">Amanah Governance Platform (AGP)</w:t>
      </w:r>
      <w:r>
        <w:rPr>
          <w:rFonts w:ascii="Arial" w:cs="Arial" w:eastAsia="Arial" w:hAnsi="Arial"/>
          <w:b w:val="false"/>
          <w:bCs w:val="false"/>
          <w:color w:val="1A1A1A"/>
          <w:sz w:val="22"/>
          <w:szCs w:val="22"/>
        </w:rPr>
        <w:t xml:space="preserve"> is a web-based, Malaysia-first digital infrastructure designed to close this gap. Built on Islamic governance principles — </w:t>
      </w:r>
      <w:r>
        <w:rPr>
          <w:rFonts w:ascii="Arial" w:cs="Arial" w:eastAsia="Arial" w:hAnsi="Arial"/>
          <w:b/>
          <w:bCs/>
          <w:color w:val="1A1A1A"/>
          <w:sz w:val="22"/>
          <w:szCs w:val="22"/>
        </w:rPr>
        <w:t xml:space="preserve">Amanah</w:t>
      </w:r>
      <w:r>
        <w:rPr>
          <w:rFonts w:ascii="Arial" w:cs="Arial" w:eastAsia="Arial" w:hAnsi="Arial"/>
          <w:b w:val="false"/>
          <w:bCs w:val="false"/>
          <w:color w:val="1A1A1A"/>
          <w:sz w:val="22"/>
          <w:szCs w:val="22"/>
        </w:rPr>
        <w:t xml:space="preserve"> (trust), </w:t>
      </w:r>
      <w:r>
        <w:rPr>
          <w:rFonts w:ascii="Arial" w:cs="Arial" w:eastAsia="Arial" w:hAnsi="Arial"/>
          <w:b/>
          <w:bCs/>
          <w:color w:val="1A1A1A"/>
          <w:sz w:val="22"/>
          <w:szCs w:val="22"/>
        </w:rPr>
        <w:t xml:space="preserve">Shafafiyyah</w:t>
      </w:r>
      <w:r>
        <w:rPr>
          <w:rFonts w:ascii="Arial" w:cs="Arial" w:eastAsia="Arial" w:hAnsi="Arial"/>
          <w:b w:val="false"/>
          <w:bCs w:val="false"/>
          <w:color w:val="1A1A1A"/>
          <w:sz w:val="22"/>
          <w:szCs w:val="22"/>
        </w:rPr>
        <w:t xml:space="preserve"> (transparency), and </w:t>
      </w:r>
      <w:r>
        <w:rPr>
          <w:rFonts w:ascii="Arial" w:cs="Arial" w:eastAsia="Arial" w:hAnsi="Arial"/>
          <w:b/>
          <w:bCs/>
          <w:color w:val="1A1A1A"/>
          <w:sz w:val="22"/>
          <w:szCs w:val="22"/>
        </w:rPr>
        <w:t xml:space="preserve">Mas'uliyyah</w:t>
      </w:r>
      <w:r>
        <w:rPr>
          <w:rFonts w:ascii="Arial" w:cs="Arial" w:eastAsia="Arial" w:hAnsi="Arial"/>
          <w:b w:val="false"/>
          <w:bCs w:val="false"/>
          <w:color w:val="1A1A1A"/>
          <w:sz w:val="22"/>
          <w:szCs w:val="22"/>
        </w:rPr>
        <w:t xml:space="preserve"> (accountability) — AGP provides structured onboarding, evidence verification, governance scoring, and a public transparency layer for Islamic charities and philanthropic organisations.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60"/>
              <w:left w:type="dxa" w:w="240"/>
              <w:bottom w:type="dxa" w:w="160"/>
              <w:right w:type="dxa" w:w="240"/>
            </w:tcMar>
          </w:tcPr>
          <w:p>
            <w:pPr>
              <w:spacing w:after="0" w:before="0"/>
            </w:pPr>
            <w:r>
              <w:rPr>
                <w:rFonts w:ascii="Arial" w:cs="Arial" w:eastAsia="Arial" w:hAnsi="Arial"/>
                <w:b/>
                <w:bCs/>
                <w:color w:val="C8922A"/>
                <w:sz w:val="22"/>
                <w:szCs w:val="22"/>
              </w:rPr>
              <w:t xml:space="preserve">Partnership Invitation:  </w:t>
            </w:r>
            <w:r>
              <w:rPr>
                <w:rFonts w:ascii="Arial" w:cs="Arial" w:eastAsia="Arial" w:hAnsi="Arial"/>
                <w:b w:val="false"/>
                <w:bCs w:val="false"/>
                <w:color w:val="1A1A1A"/>
                <w:sz w:val="22"/>
                <w:szCs w:val="22"/>
              </w:rPr>
              <w:t xml:space="preserve">We invite Majlis Agama Islam Negeri (MAIN) and JAKIM to join us as strategic governance partners in a structured pilot that demonstrates how digital accountability infrastructure can strengthen donor confidence, reduce regulatory burden, and build a lasting culture of institutional trust in Malaysia's Islamic social finance sector.</w:t>
            </w:r>
          </w:p>
        </w:tc>
      </w:tr>
    </w:tbl>
    <w:p>
      <w:pPr>
        <w:spacing w:after="160" w:before="0"/>
      </w:pPr>
    </w:p>
    <w:p>
      <w:pPr>
        <w:pStyle w:val="Heading2"/>
        <w:pBdr>
          <w:bottom w:val="single" w:color="C8922A" w:sz="6" w:space="4"/>
        </w:pBdr>
        <w:spacing w:after="120" w:before="320"/>
      </w:pPr>
      <w:r>
        <w:rPr>
          <w:rFonts w:ascii="Arial" w:cs="Arial" w:eastAsia="Arial" w:hAnsi="Arial"/>
          <w:b/>
          <w:bCs/>
          <w:color w:val="1A4731"/>
          <w:sz w:val="28"/>
          <w:szCs w:val="28"/>
        </w:rPr>
        <w:t xml:space="preserve">1. The Problem: A Trust Infrastructure Gap</w:t>
      </w:r>
    </w:p>
    <w:p>
      <w:pPr>
        <w:spacing w:after="100" w:before="80"/>
        <w:jc w:val="both"/>
      </w:pPr>
      <w:r>
        <w:rPr>
          <w:rFonts w:ascii="Arial" w:cs="Arial" w:eastAsia="Arial" w:hAnsi="Arial"/>
          <w:b w:val="false"/>
          <w:bCs w:val="false"/>
          <w:color w:val="1A1A1A"/>
          <w:sz w:val="22"/>
          <w:szCs w:val="22"/>
        </w:rPr>
        <w:t xml:space="preserve">Malaysia's Islamic charity ecosystem is large, generous, and structurally fragmented. The current landscape presents four compounding challenges that AGP is designed to address.</w:t>
      </w:r>
    </w:p>
    <w:p>
      <w:pPr>
        <w:spacing w:after="80" w:before="0"/>
      </w:pPr>
    </w:p>
    <w:p>
      <w:pPr>
        <w:pStyle w:val="Heading3"/>
        <w:spacing w:after="80" w:before="240"/>
      </w:pPr>
      <w:r>
        <w:rPr>
          <w:rFonts w:ascii="Arial" w:cs="Arial" w:eastAsia="Arial" w:hAnsi="Arial"/>
          <w:b/>
          <w:bCs/>
          <w:color w:val="2D7A4F"/>
          <w:sz w:val="24"/>
          <w:szCs w:val="24"/>
        </w:rPr>
        <w:t xml:space="preserve">1.1  Lack of Unified Transparency</w:t>
      </w:r>
    </w:p>
    <w:p>
      <w:pPr>
        <w:spacing w:after="100" w:before="80"/>
        <w:jc w:val="both"/>
      </w:pPr>
      <w:r>
        <w:rPr>
          <w:rFonts w:ascii="Arial" w:cs="Arial" w:eastAsia="Arial" w:hAnsi="Arial"/>
          <w:b w:val="false"/>
          <w:bCs w:val="false"/>
          <w:color w:val="1A1A1A"/>
          <w:sz w:val="22"/>
          <w:szCs w:val="22"/>
        </w:rPr>
        <w:t xml:space="preserve">There is no central registry or public portal where donors can verify whether a charity is compliant, how funds are allocated, or whether reports are current. Unlike formal Zakat agencies that follow structured processes, tens of thousands of grassroots organisations — mosques, surau, NGOs — do not publish audited accounts or disclose donation utilisation publicly. The information asymmetry this creates weakens trust at the base of the giving culture.</w:t>
      </w:r>
    </w:p>
    <w:p>
      <w:pPr>
        <w:spacing w:after="60" w:before="0"/>
      </w:pPr>
    </w:p>
    <w:p>
      <w:pPr>
        <w:pStyle w:val="Heading3"/>
        <w:spacing w:after="80" w:before="240"/>
      </w:pPr>
      <w:r>
        <w:rPr>
          <w:rFonts w:ascii="Arial" w:cs="Arial" w:eastAsia="Arial" w:hAnsi="Arial"/>
          <w:b/>
          <w:bCs/>
          <w:color w:val="2D7A4F"/>
          <w:sz w:val="24"/>
          <w:szCs w:val="24"/>
        </w:rPr>
        <w:t xml:space="preserve">1.2  Manual and Incomplete Reporting</w:t>
      </w:r>
    </w:p>
    <w:p>
      <w:pPr>
        <w:spacing w:after="100" w:before="80"/>
        <w:jc w:val="both"/>
      </w:pPr>
      <w:r>
        <w:rPr>
          <w:rFonts w:ascii="Arial" w:cs="Arial" w:eastAsia="Arial" w:hAnsi="Arial"/>
          <w:b w:val="false"/>
          <w:bCs w:val="false"/>
          <w:color w:val="1A1A1A"/>
          <w:sz w:val="22"/>
          <w:szCs w:val="22"/>
        </w:rPr>
        <w:t xml:space="preserve">A study of 205 Malaysian NPOs found that while over 50% disclosed income sources, fewer than 25% reported fundraising costs. Most mosque committees and small NGOs maintain manual ledgers. Financial records are paper-based or in siloed spreadsheets with no standardised structure, making audits difficult and impact tracking impossible.</w:t>
      </w:r>
    </w:p>
    <w:p>
      <w:pPr>
        <w:spacing w:after="60" w:before="0"/>
      </w:pPr>
    </w:p>
    <w:p>
      <w:pPr>
        <w:pStyle w:val="Heading3"/>
        <w:spacing w:after="80" w:before="240"/>
      </w:pPr>
      <w:r>
        <w:rPr>
          <w:rFonts w:ascii="Arial" w:cs="Arial" w:eastAsia="Arial" w:hAnsi="Arial"/>
          <w:b/>
          <w:bCs/>
          <w:color w:val="2D7A4F"/>
          <w:sz w:val="24"/>
          <w:szCs w:val="24"/>
        </w:rPr>
        <w:t xml:space="preserve">1.3  Regulatory Oversight Burden</w:t>
      </w:r>
    </w:p>
    <w:p>
      <w:pPr>
        <w:spacing w:after="100" w:before="80"/>
        <w:jc w:val="both"/>
      </w:pPr>
      <w:r>
        <w:rPr>
          <w:rFonts w:ascii="Arial" w:cs="Arial" w:eastAsia="Arial" w:hAnsi="Arial"/>
          <w:b w:val="false"/>
          <w:bCs w:val="false"/>
          <w:color w:val="1A1A1A"/>
          <w:sz w:val="22"/>
          <w:szCs w:val="22"/>
        </w:rPr>
        <w:t xml:space="preserve">Regulators — ROS, JAKIM, and state Islamic councils — are responsible for oversight of tens of thousands of organisations. Current capacity constraints mean audits are reactive rather than preventive, triggered primarily by scandal or complaint. Digital governance infrastructure could shift this from reactive policing to proactive compliance assurance.</w:t>
      </w:r>
    </w:p>
    <w:p>
      <w:pPr>
        <w:spacing w:after="60" w:before="0"/>
      </w:pPr>
    </w:p>
    <w:p>
      <w:pPr>
        <w:pStyle w:val="Heading3"/>
        <w:spacing w:after="80" w:before="240"/>
      </w:pPr>
      <w:r>
        <w:rPr>
          <w:rFonts w:ascii="Arial" w:cs="Arial" w:eastAsia="Arial" w:hAnsi="Arial"/>
          <w:b/>
          <w:bCs/>
          <w:color w:val="2D7A4F"/>
          <w:sz w:val="24"/>
          <w:szCs w:val="24"/>
        </w:rPr>
        <w:t xml:space="preserve">1.4  Growing Donor Expectations</w:t>
      </w:r>
    </w:p>
    <w:p>
      <w:pPr>
        <w:spacing w:after="100" w:before="80"/>
        <w:jc w:val="both"/>
      </w:pPr>
      <w:r>
        <w:rPr>
          <w:rFonts w:ascii="Arial" w:cs="Arial" w:eastAsia="Arial" w:hAnsi="Arial"/>
          <w:b w:val="false"/>
          <w:bCs w:val="false"/>
          <w:color w:val="1A1A1A"/>
          <w:sz w:val="22"/>
          <w:szCs w:val="22"/>
        </w:rPr>
        <w:t xml:space="preserve">Research indicates Malaysian donors — particularly younger, digitally-active Muslims — are increasingly guided by trust and evidence factors when choosing where to give. Internationally, platforms like Charity Navigator have demonstrated that transparency scoring directly influences giving volume. No equivalent standard exists yet for Malaysian Islamic charities. AGP is designed to fill that space.</w:t>
      </w:r>
    </w:p>
    <w:p>
      <w:pPr>
        <w:spacing w:after="120" w:before="0"/>
      </w:pPr>
    </w:p>
    <w:p>
      <w:pPr>
        <w:pStyle w:val="Heading2"/>
        <w:pBdr>
          <w:bottom w:val="single" w:color="C8922A" w:sz="6" w:space="4"/>
        </w:pBdr>
        <w:spacing w:after="120" w:before="320"/>
      </w:pPr>
      <w:r>
        <w:rPr>
          <w:rFonts w:ascii="Arial" w:cs="Arial" w:eastAsia="Arial" w:hAnsi="Arial"/>
          <w:b/>
          <w:bCs/>
          <w:color w:val="1A4731"/>
          <w:sz w:val="28"/>
          <w:szCs w:val="28"/>
        </w:rPr>
        <w:t xml:space="preserve">2. The Solution: Amanah Governance Platform</w:t>
      </w:r>
    </w:p>
    <w:p>
      <w:pPr>
        <w:spacing w:after="100" w:before="80"/>
        <w:jc w:val="both"/>
      </w:pPr>
      <w:r>
        <w:rPr>
          <w:rFonts w:ascii="Arial" w:cs="Arial" w:eastAsia="Arial" w:hAnsi="Arial"/>
          <w:b w:val="false"/>
          <w:bCs w:val="false"/>
          <w:color w:val="1A1A1A"/>
          <w:sz w:val="22"/>
          <w:szCs w:val="22"/>
        </w:rPr>
        <w:t xml:space="preserve">AGP is a structured digital governance platform purpose-built for Islamic charities in Malaysia. It is not a fundraising platform. It is a </w:t>
      </w:r>
      <w:r>
        <w:rPr>
          <w:rFonts w:ascii="Arial" w:cs="Arial" w:eastAsia="Arial" w:hAnsi="Arial"/>
          <w:b/>
          <w:bCs/>
          <w:color w:val="1A1A1A"/>
          <w:sz w:val="22"/>
          <w:szCs w:val="22"/>
        </w:rPr>
        <w:t xml:space="preserve">trust infrastructure</w:t>
      </w:r>
      <w:r>
        <w:rPr>
          <w:rFonts w:ascii="Arial" w:cs="Arial" w:eastAsia="Arial" w:hAnsi="Arial"/>
          <w:b w:val="false"/>
          <w:bCs w:val="false"/>
          <w:color w:val="1A1A1A"/>
          <w:sz w:val="22"/>
          <w:szCs w:val="22"/>
        </w:rPr>
        <w:t xml:space="preserve"> — a system that enables organisations to demonstrate accountability and enables donors, regulators, and scholars to verify it.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60"/>
              <w:left w:type="dxa" w:w="240"/>
              <w:bottom w:type="dxa" w:w="160"/>
              <w:right w:type="dxa" w:w="240"/>
            </w:tcMar>
          </w:tcPr>
          <w:p>
            <w:pPr>
              <w:spacing w:after="0" w:before="0"/>
            </w:pPr>
            <w:r>
              <w:rPr>
                <w:rFonts w:ascii="Arial" w:cs="Arial" w:eastAsia="Arial" w:hAnsi="Arial"/>
                <w:b/>
                <w:bCs/>
                <w:color w:val="2D7A4F"/>
                <w:sz w:val="22"/>
                <w:szCs w:val="22"/>
              </w:rPr>
              <w:t xml:space="preserve">Platform Tagline:  </w:t>
            </w:r>
            <w:r>
              <w:rPr>
                <w:rFonts w:ascii="Arial" w:cs="Arial" w:eastAsia="Arial" w:hAnsi="Arial"/>
                <w:b w:val="false"/>
                <w:bCs w:val="false"/>
                <w:color w:val="1A1A1A"/>
                <w:sz w:val="22"/>
                <w:szCs w:val="22"/>
              </w:rPr>
              <w:t xml:space="preserve">Trusted Giving. Transparent Governance.</w:t>
            </w:r>
          </w:p>
        </w:tc>
      </w:tr>
    </w:tbl>
    <w:p>
      <w:pPr>
        <w:spacing w:after="120" w:before="0"/>
      </w:pPr>
    </w:p>
    <w:p>
      <w:pPr>
        <w:pStyle w:val="Heading3"/>
        <w:spacing w:after="80" w:before="240"/>
      </w:pPr>
      <w:r>
        <w:rPr>
          <w:rFonts w:ascii="Arial" w:cs="Arial" w:eastAsia="Arial" w:hAnsi="Arial"/>
          <w:b/>
          <w:bCs/>
          <w:color w:val="2D7A4F"/>
          <w:sz w:val="24"/>
          <w:szCs w:val="24"/>
        </w:rPr>
        <w:t xml:space="preserve">2.1  Core Modules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A4731" w:val="clear"/>
            <w:tcMar>
              <w:top w:type="dxa" w:w="100"/>
              <w:left w:type="dxa" w:w="160"/>
              <w:bottom w:type="dxa" w:w="100"/>
              <w:right w:type="dxa" w:w="160"/>
            </w:tcMar>
          </w:tcPr>
          <w:p>
            <w:r>
              <w:rPr>
                <w:rFonts w:ascii="Arial" w:cs="Arial" w:eastAsia="Arial" w:hAnsi="Arial"/>
                <w:b/>
                <w:bCs/>
                <w:color w:val="FFFFFF"/>
                <w:sz w:val="21"/>
                <w:szCs w:val="21"/>
              </w:rPr>
              <w:t xml:space="preserve">Module</w:t>
            </w:r>
          </w:p>
        </w:tc>
        <w:tc>
          <w:tcPr>
            <w:tcW w:type="dxa" w:w="5760"/>
            <w:tcBorders>
              <w:top w:val="single" w:color="DDDDDD" w:sz="1"/>
              <w:left w:val="single" w:color="DDDDDD" w:sz="1"/>
              <w:bottom w:val="single" w:color="DDDDDD" w:sz="1"/>
              <w:right w:val="single" w:color="DDDDDD" w:sz="1"/>
            </w:tcBorders>
            <w:shd w:fill="1A4731" w:val="clear"/>
            <w:tcMar>
              <w:top w:type="dxa" w:w="100"/>
              <w:left w:type="dxa" w:w="160"/>
              <w:bottom w:type="dxa" w:w="100"/>
              <w:right w:type="dxa" w:w="160"/>
            </w:tcMar>
          </w:tcPr>
          <w:p>
            <w:r>
              <w:rPr>
                <w:rFonts w:ascii="Arial" w:cs="Arial" w:eastAsia="Arial" w:hAnsi="Arial"/>
                <w:b/>
                <w:bCs/>
                <w:color w:val="FFFFFF"/>
                <w:sz w:val="21"/>
                <w:szCs w:val="21"/>
              </w:rPr>
              <w:t xml:space="preserve">What It Does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Organisation Onboarding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Structured registration with Malaysia-specific classification: org type, oversight authority, registration model, fund types (Zakat/Waqf/Sadaqah), Shariah governance indicators.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Evidence Management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Secure, private-by-default document repository. Organisations upload audit reports, waqf deeds, financial statements, and project evidence. All raw evidence is private; only reviewer-approved documents become visible to the public.</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CTCF Certification Engine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The Charity Transparency Certification Framework (CTCF) is a 5-layer structured evaluation: Legal Identity Gate, Financial Transparency, Project Transparency, Impact &amp; Sustainability, and Shariah Governance. Produces Platinum / Gold / Silver / Not Certified grades.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Amanah Index™ Trust Score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 0–100 composite trust score updated in real time as verified events occur. Weighted across 5 components: Governance (30%), Financial Transparency (25%), Project Transparency (20%), Impact Efficiency (15%), and Feedback (10%).</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Reviewer &amp; Scholar Workflow</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 dedicated interface for appointed reviewers and Shariah scholars to evaluate evidence, certify compliance, and add advisory notes. All review actions are timestamped and immutable.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Non-Custodial Donation Portal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Donors give directly to the organisation’s verified bank account. AGP never holds funds. Optional purpose-bound tagging ensures Zakat, Waqf, and Sadaqah funds are correctly earmarked.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Public Transparency Dashboard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Publicly accessible profiles for every certified organisation, including Amanah Score timeline, CTCF certification badge, verified project pages, and approved evidence gallery.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Audit Trail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All critical actions — evidence approval, score changes, certification decisions, donation events — are recorded in an append-only audit log. Nothing is overwritten.</w:t>
            </w:r>
          </w:p>
        </w:tc>
      </w:tr>
    </w:tbl>
    <w:p>
      <w:pPr>
        <w:spacing w:after="160" w:before="0"/>
      </w:pPr>
    </w:p>
    <w:p>
      <w:pPr>
        <w:pStyle w:val="Heading3"/>
        <w:spacing w:after="80" w:before="240"/>
      </w:pPr>
      <w:r>
        <w:rPr>
          <w:rFonts w:ascii="Arial" w:cs="Arial" w:eastAsia="Arial" w:hAnsi="Arial"/>
          <w:b/>
          <w:bCs/>
          <w:color w:val="2D7A4F"/>
          <w:sz w:val="24"/>
          <w:szCs w:val="24"/>
        </w:rPr>
        <w:t xml:space="preserve">2.2  CTCF: Charity Transparency Certification Framework</w:t>
      </w:r>
    </w:p>
    <w:p>
      <w:pPr>
        <w:spacing w:after="100" w:before="80"/>
        <w:jc w:val="both"/>
      </w:pPr>
      <w:r>
        <w:rPr>
          <w:rFonts w:ascii="Arial" w:cs="Arial" w:eastAsia="Arial" w:hAnsi="Arial"/>
          <w:b w:val="false"/>
          <w:bCs w:val="false"/>
          <w:color w:val="1A1A1A"/>
          <w:sz w:val="22"/>
          <w:szCs w:val="22"/>
        </w:rPr>
        <w:t xml:space="preserve">CTCF is the core structured evaluation at the heart of AGP. Inspired by international best practice (Charity Navigator, UK Charity Commission) and grounded in Malaysian regulatory realities and Shariah governance requirements, it provides a rigorous, explainable framework for certifying organisational trustworthiness.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A4731" w:val="clear"/>
            <w:tcMar>
              <w:top w:type="dxa" w:w="100"/>
              <w:left w:type="dxa" w:w="160"/>
              <w:bottom w:type="dxa" w:w="100"/>
              <w:right w:type="dxa" w:w="160"/>
            </w:tcMar>
          </w:tcPr>
          <w:p>
            <w:r>
              <w:rPr>
                <w:rFonts w:ascii="Arial" w:cs="Arial" w:eastAsia="Arial" w:hAnsi="Arial"/>
                <w:b/>
                <w:bCs/>
                <w:color w:val="FFFFFF"/>
                <w:sz w:val="21"/>
                <w:szCs w:val="21"/>
              </w:rPr>
              <w:t xml:space="preserve">CTCF Layer</w:t>
            </w:r>
          </w:p>
        </w:tc>
        <w:tc>
          <w:tcPr>
            <w:tcW w:type="dxa" w:w="5760"/>
            <w:tcBorders>
              <w:top w:val="single" w:color="DDDDDD" w:sz="1"/>
              <w:left w:val="single" w:color="DDDDDD" w:sz="1"/>
              <w:bottom w:val="single" w:color="DDDDDD" w:sz="1"/>
              <w:right w:val="single" w:color="DDDDDD" w:sz="1"/>
            </w:tcBorders>
            <w:shd w:fill="1A4731" w:val="clear"/>
            <w:tcMar>
              <w:top w:type="dxa" w:w="100"/>
              <w:left w:type="dxa" w:w="160"/>
              <w:bottom w:type="dxa" w:w="100"/>
              <w:right w:type="dxa" w:w="160"/>
            </w:tcMar>
          </w:tcPr>
          <w:p>
            <w:r>
              <w:rPr>
                <w:rFonts w:ascii="Arial" w:cs="Arial" w:eastAsia="Arial" w:hAnsi="Arial"/>
                <w:b/>
                <w:bCs/>
                <w:color w:val="FFFFFF"/>
                <w:sz w:val="21"/>
                <w:szCs w:val="21"/>
              </w:rPr>
              <w:t xml:space="preserve">Content &amp; Weighting</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Layer 1 — Legal Identity (Gate)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Pass/Fail. All 6 criteria must be met: registration evidence, governing document, named board, conflict-of-interest policy, separate bank account, physical address. Failure here means the organisation cannot proceed to certification.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Layer 2 — Financial Transparency (20 pts)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Annual financial statement, audit evidence, programme vs admin cost breakdown, Zakat fund segregation (where applicable).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Layer 3 — Project Transparency (25 pts)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Budget vs actuals tracking, geo-verified reporting, before/after documentation, beneficiary impact metrics, completion report timeliness.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Layer 4 — Impact &amp; Sustainability (20 pts)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Defined KPIs, sustainability/maintenance plan, jariah continuity tracking, impact-per-cost efficiency metric.</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Layer 5 — Shariah Governance (15 pts)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Named Shariah advisor, written Shariah compliance policy, Zakat eligibility governance (if applicable), Waqf asset governance (if applicable).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Certification Grades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Platinum (≥85/100) | Gold (≥70/100) | Silver (≥55/100) | Not Certified (&lt;55 or Layer 1 fail)</w:t>
            </w:r>
          </w:p>
        </w:tc>
      </w:tr>
    </w:tbl>
    <w:p>
      <w:pPr>
        <w:spacing w:after="160" w:before="0"/>
      </w:pPr>
    </w:p>
    <w:p>
      <w:pPr>
        <w:pStyle w:val="Heading3"/>
        <w:spacing w:after="80" w:before="240"/>
      </w:pPr>
      <w:r>
        <w:rPr>
          <w:rFonts w:ascii="Arial" w:cs="Arial" w:eastAsia="Arial" w:hAnsi="Arial"/>
          <w:b/>
          <w:bCs/>
          <w:color w:val="2D7A4F"/>
          <w:sz w:val="24"/>
          <w:szCs w:val="24"/>
        </w:rPr>
        <w:t xml:space="preserve">2.3  Amanah Index™: A Living Trust Score</w:t>
      </w:r>
    </w:p>
    <w:p>
      <w:pPr>
        <w:spacing w:after="100" w:before="80"/>
        <w:jc w:val="both"/>
      </w:pPr>
      <w:r>
        <w:rPr>
          <w:rFonts w:ascii="Arial" w:cs="Arial" w:eastAsia="Arial" w:hAnsi="Arial"/>
          <w:b w:val="false"/>
          <w:bCs w:val="false"/>
          <w:color w:val="1A1A1A"/>
          <w:sz w:val="22"/>
          <w:szCs w:val="22"/>
        </w:rPr>
        <w:t xml:space="preserve">Unlike a static certification, the Amanah Index™ is a living trust score that updates every time a verifiable trust event occurs — a new report is verified, a certification decision is made, a donor gives and receives a receipt. This creates a </w:t>
      </w:r>
      <w:r>
        <w:rPr>
          <w:rFonts w:ascii="Arial" w:cs="Arial" w:eastAsia="Arial" w:hAnsi="Arial"/>
          <w:b/>
          <w:bCs/>
          <w:color w:val="1A1A1A"/>
          <w:sz w:val="22"/>
          <w:szCs w:val="22"/>
        </w:rPr>
        <w:t xml:space="preserve">trust timeline</w:t>
      </w:r>
      <w:r>
        <w:rPr>
          <w:rFonts w:ascii="Arial" w:cs="Arial" w:eastAsia="Arial" w:hAnsi="Arial"/>
          <w:b w:val="false"/>
          <w:bCs w:val="false"/>
          <w:color w:val="1A1A1A"/>
          <w:sz w:val="22"/>
          <w:szCs w:val="22"/>
        </w:rPr>
        <w:t xml:space="preserve">, not just a snapshot, allowing MAIN and JAKIM to monitor governance health over time.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A4731" w:val="clear"/>
            <w:tcMar>
              <w:top w:type="dxa" w:w="100"/>
              <w:left w:type="dxa" w:w="160"/>
              <w:bottom w:type="dxa" w:w="100"/>
              <w:right w:type="dxa" w:w="160"/>
            </w:tcMar>
          </w:tcPr>
          <w:p>
            <w:r>
              <w:rPr>
                <w:rFonts w:ascii="Arial" w:cs="Arial" w:eastAsia="Arial" w:hAnsi="Arial"/>
                <w:b/>
                <w:bCs/>
                <w:color w:val="FFFFFF"/>
                <w:sz w:val="21"/>
                <w:szCs w:val="21"/>
              </w:rPr>
              <w:t xml:space="preserve">Score Component</w:t>
            </w:r>
          </w:p>
        </w:tc>
        <w:tc>
          <w:tcPr>
            <w:tcW w:type="dxa" w:w="5760"/>
            <w:tcBorders>
              <w:top w:val="single" w:color="DDDDDD" w:sz="1"/>
              <w:left w:val="single" w:color="DDDDDD" w:sz="1"/>
              <w:bottom w:val="single" w:color="DDDDDD" w:sz="1"/>
              <w:right w:val="single" w:color="DDDDDD" w:sz="1"/>
            </w:tcBorders>
            <w:shd w:fill="1A4731" w:val="clear"/>
            <w:tcMar>
              <w:top w:type="dxa" w:w="100"/>
              <w:left w:type="dxa" w:w="160"/>
              <w:bottom w:type="dxa" w:w="100"/>
              <w:right w:type="dxa" w:w="160"/>
            </w:tcMar>
          </w:tcPr>
          <w:p>
            <w:r>
              <w:rPr>
                <w:rFonts w:ascii="Arial" w:cs="Arial" w:eastAsia="Arial" w:hAnsi="Arial"/>
                <w:b/>
                <w:bCs/>
                <w:color w:val="FFFFFF"/>
                <w:sz w:val="21"/>
                <w:szCs w:val="21"/>
              </w:rPr>
              <w:t xml:space="preserve">Weight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Governance Score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30%</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Financial Transparency Score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25%</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Project Transparency Score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20%</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Impact Efficiency Score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15%</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Feedback Score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10%</w:t>
            </w:r>
          </w:p>
        </w:tc>
      </w:tr>
    </w:tbl>
    <w:p>
      <w:pPr>
        <w:spacing w:after="160" w:before="0"/>
      </w:pPr>
    </w:p>
    <w:p>
      <w:pPr>
        <w:spacing w:after="0" w:before="0"/>
      </w:pPr>
      <w:r>
        <w:br w:type="page"/>
      </w:r>
    </w:p>
    <w:p>
      <w:pPr>
        <w:pStyle w:val="Heading2"/>
        <w:pBdr>
          <w:bottom w:val="single" w:color="C8922A" w:sz="6" w:space="4"/>
        </w:pBdr>
        <w:spacing w:after="120" w:before="320"/>
      </w:pPr>
      <w:r>
        <w:rPr>
          <w:rFonts w:ascii="Arial" w:cs="Arial" w:eastAsia="Arial" w:hAnsi="Arial"/>
          <w:b/>
          <w:bCs/>
          <w:color w:val="1A4731"/>
          <w:sz w:val="28"/>
          <w:szCs w:val="28"/>
        </w:rPr>
        <w:t xml:space="preserve">3. Why MAIN and JAKIM: A Natural Alignment</w:t>
      </w:r>
    </w:p>
    <w:p>
      <w:pPr>
        <w:spacing w:after="100" w:before="80"/>
        <w:jc w:val="both"/>
      </w:pPr>
      <w:r>
        <w:rPr>
          <w:rFonts w:ascii="Arial" w:cs="Arial" w:eastAsia="Arial" w:hAnsi="Arial"/>
          <w:b w:val="false"/>
          <w:bCs w:val="false"/>
          <w:color w:val="1A1A1A"/>
          <w:sz w:val="22"/>
          <w:szCs w:val="22"/>
        </w:rPr>
        <w:t xml:space="preserve">MAIN and JAKIM are not just invited guests in the AGP ecosystem — they are natural governance owners of the standards AGP implements. The platform is built to serve and extend the mandate of Islamic religious councils, not to operate outside or alongside it.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A4731" w:val="clear"/>
            <w:tcMar>
              <w:top w:type="dxa" w:w="100"/>
              <w:left w:type="dxa" w:w="160"/>
              <w:bottom w:type="dxa" w:w="100"/>
              <w:right w:type="dxa" w:w="160"/>
            </w:tcMar>
          </w:tcPr>
          <w:p>
            <w:r>
              <w:rPr>
                <w:rFonts w:ascii="Arial" w:cs="Arial" w:eastAsia="Arial" w:hAnsi="Arial"/>
                <w:b/>
                <w:bCs/>
                <w:color w:val="FFFFFF"/>
                <w:sz w:val="21"/>
                <w:szCs w:val="21"/>
              </w:rPr>
              <w:t xml:space="preserve">What MAIN / JAKIM Already Do</w:t>
            </w:r>
          </w:p>
        </w:tc>
        <w:tc>
          <w:tcPr>
            <w:tcW w:type="dxa" w:w="5760"/>
            <w:tcBorders>
              <w:top w:val="single" w:color="DDDDDD" w:sz="1"/>
              <w:left w:val="single" w:color="DDDDDD" w:sz="1"/>
              <w:bottom w:val="single" w:color="DDDDDD" w:sz="1"/>
              <w:right w:val="single" w:color="DDDDDD" w:sz="1"/>
            </w:tcBorders>
            <w:shd w:fill="1A4731" w:val="clear"/>
            <w:tcMar>
              <w:top w:type="dxa" w:w="100"/>
              <w:left w:type="dxa" w:w="160"/>
              <w:bottom w:type="dxa" w:w="100"/>
              <w:right w:type="dxa" w:w="160"/>
            </w:tcMar>
          </w:tcPr>
          <w:p>
            <w:r>
              <w:rPr>
                <w:rFonts w:ascii="Arial" w:cs="Arial" w:eastAsia="Arial" w:hAnsi="Arial"/>
                <w:b/>
                <w:bCs/>
                <w:color w:val="FFFFFF"/>
                <w:sz w:val="21"/>
                <w:szCs w:val="21"/>
              </w:rPr>
              <w:t xml:space="preserve">How AGP Extends This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Set national Zakat and Waqf policy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AGP encodes policy-aligned classification fields and fund tagging rules into every organisation's profile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Oversee Shariah compliance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AGP's Layer 5 CTCF evaluation formalises Shariah governance criteria with named advisor verification and documented compliance policy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Issue religious endorsements and permits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AGP's CTCF certification system can serve as the digital credential layer for MAIN-endorsed organisations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Audit and investigate irregularities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AGP's append-only audit trail gives regulators a timestamped record of all governance actions without requiring active fieldwork</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Engage the Ummah on Islamic giving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AGP's public transparency dashboard gives donors verified, accessible information that reinforces confidence in authorised channels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Coordinate mosque governance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AGP supports mosque registration as a first-class org type with tailored classification, oversight authority mapping, and fund type tracking</w:t>
            </w:r>
          </w:p>
        </w:tc>
      </w:tr>
    </w:tbl>
    <w:p>
      <w:pPr>
        <w:spacing w:after="160" w:before="0"/>
      </w:pPr>
    </w:p>
    <w:p>
      <w:pPr>
        <w:pStyle w:val="Heading3"/>
        <w:spacing w:after="80" w:before="240"/>
      </w:pPr>
      <w:r>
        <w:rPr>
          <w:rFonts w:ascii="Arial" w:cs="Arial" w:eastAsia="Arial" w:hAnsi="Arial"/>
          <w:b/>
          <w:bCs/>
          <w:color w:val="2D7A4F"/>
          <w:sz w:val="24"/>
          <w:szCs w:val="24"/>
        </w:rPr>
        <w:t xml:space="preserve">3.1  What We Are Asking For</w:t>
      </w:r>
    </w:p>
    <w:p>
      <w:pPr>
        <w:spacing w:after="100" w:before="80"/>
        <w:jc w:val="both"/>
      </w:pPr>
      <w:r>
        <w:rPr>
          <w:rFonts w:ascii="Arial" w:cs="Arial" w:eastAsia="Arial" w:hAnsi="Arial"/>
          <w:b w:val="false"/>
          <w:bCs w:val="false"/>
          <w:color w:val="1A1A1A"/>
          <w:sz w:val="22"/>
          <w:szCs w:val="22"/>
        </w:rPr>
        <w:t xml:space="preserve">We are not asking for funding at this stage. We are asking for </w:t>
      </w:r>
      <w:r>
        <w:rPr>
          <w:rFonts w:ascii="Arial" w:cs="Arial" w:eastAsia="Arial" w:hAnsi="Arial"/>
          <w:b/>
          <w:bCs/>
          <w:color w:val="1A1A1A"/>
          <w:sz w:val="22"/>
          <w:szCs w:val="22"/>
        </w:rPr>
        <w:t xml:space="preserve">strategic partnership</w:t>
      </w:r>
      <w:r>
        <w:rPr>
          <w:rFonts w:ascii="Arial" w:cs="Arial" w:eastAsia="Arial" w:hAnsi="Arial"/>
          <w:b w:val="false"/>
          <w:bCs w:val="false"/>
          <w:color w:val="1A1A1A"/>
          <w:sz w:val="22"/>
          <w:szCs w:val="22"/>
        </w:rPr>
        <w:t xml:space="preserve"> — the institutional anchor that gives AGP the governance legitimacy it needs to scale meaningfully across Malaysia's Islamic charity sector.</w:t>
      </w:r>
    </w:p>
    <w:p>
      <w:pPr>
        <w:spacing w:after="80" w:before="0"/>
      </w:pPr>
    </w:p>
    <w:p>
      <w:pPr>
        <w:pStyle w:val="ListParagraph"/>
        <w:numPr>
          <w:ilvl w:val="0"/>
          <w:numId w:val="2"/>
        </w:numPr>
        <w:spacing w:after="40" w:before="40"/>
      </w:pPr>
      <w:r>
        <w:rPr>
          <w:rFonts w:ascii="Arial" w:cs="Arial" w:eastAsia="Arial" w:hAnsi="Arial"/>
          <w:b w:val="false"/>
          <w:bCs w:val="false"/>
          <w:color w:val="1A1A1A"/>
          <w:sz w:val="22"/>
          <w:szCs w:val="22"/>
        </w:rPr>
        <w:t xml:space="preserve">Formal endorsement as a recommended transparency platform for Islamic charities registered with MAIN or JAKIM</w:t>
      </w:r>
    </w:p>
    <w:p>
      <w:pPr>
        <w:pStyle w:val="ListParagraph"/>
        <w:numPr>
          <w:ilvl w:val="0"/>
          <w:numId w:val="2"/>
        </w:numPr>
        <w:spacing w:after="40" w:before="40"/>
      </w:pPr>
      <w:r>
        <w:rPr>
          <w:rFonts w:ascii="Arial" w:cs="Arial" w:eastAsia="Arial" w:hAnsi="Arial"/>
          <w:b w:val="false"/>
          <w:bCs w:val="false"/>
          <w:color w:val="1A1A1A"/>
          <w:sz w:val="22"/>
          <w:szCs w:val="22"/>
        </w:rPr>
        <w:t xml:space="preserve">Pilot participation: nominate 5–10 organisations (mosques, waqf bodies, NGOs) from your network for the initial pilot cohort</w:t>
      </w:r>
    </w:p>
    <w:p>
      <w:pPr>
        <w:pStyle w:val="ListParagraph"/>
        <w:numPr>
          <w:ilvl w:val="0"/>
          <w:numId w:val="2"/>
        </w:numPr>
        <w:spacing w:after="40" w:before="40"/>
      </w:pPr>
      <w:r>
        <w:rPr>
          <w:rFonts w:ascii="Arial" w:cs="Arial" w:eastAsia="Arial" w:hAnsi="Arial"/>
          <w:b w:val="false"/>
          <w:bCs w:val="false"/>
          <w:color w:val="1A1A1A"/>
          <w:sz w:val="22"/>
          <w:szCs w:val="22"/>
        </w:rPr>
        <w:t xml:space="preserve">Advisory input: assign a representative to the AGP Steering Committee to ensure platform scoring criteria remain aligned with current policy</w:t>
      </w:r>
    </w:p>
    <w:p>
      <w:pPr>
        <w:pStyle w:val="ListParagraph"/>
        <w:numPr>
          <w:ilvl w:val="0"/>
          <w:numId w:val="2"/>
        </w:numPr>
        <w:spacing w:after="40" w:before="40"/>
      </w:pPr>
      <w:r>
        <w:rPr>
          <w:rFonts w:ascii="Arial" w:cs="Arial" w:eastAsia="Arial" w:hAnsi="Arial"/>
          <w:b w:val="false"/>
          <w:bCs w:val="false"/>
          <w:color w:val="1A1A1A"/>
          <w:sz w:val="22"/>
          <w:szCs w:val="22"/>
        </w:rPr>
        <w:t xml:space="preserve">Data sharing (where permissible): access to existing registration data to pre-populate organisation profiles and reduce onboarding friction</w:t>
      </w:r>
    </w:p>
    <w:p>
      <w:pPr>
        <w:pStyle w:val="ListParagraph"/>
        <w:numPr>
          <w:ilvl w:val="0"/>
          <w:numId w:val="2"/>
        </w:numPr>
        <w:spacing w:after="40" w:before="40"/>
      </w:pPr>
      <w:r>
        <w:rPr>
          <w:rFonts w:ascii="Arial" w:cs="Arial" w:eastAsia="Arial" w:hAnsi="Arial"/>
          <w:b w:val="false"/>
          <w:bCs w:val="false"/>
          <w:color w:val="1A1A1A"/>
          <w:sz w:val="22"/>
          <w:szCs w:val="22"/>
        </w:rPr>
        <w:t xml:space="preserve">Policy signal: a letter of support or MOU that enables AGP to approach pilot organisations with credibility</w:t>
      </w:r>
    </w:p>
    <w:p>
      <w:pPr>
        <w:spacing w:after="160" w:before="0"/>
      </w:pPr>
    </w:p>
    <w:p>
      <w:pPr>
        <w:pStyle w:val="Heading3"/>
        <w:spacing w:after="80" w:before="240"/>
      </w:pPr>
      <w:r>
        <w:rPr>
          <w:rFonts w:ascii="Arial" w:cs="Arial" w:eastAsia="Arial" w:hAnsi="Arial"/>
          <w:b/>
          <w:bCs/>
          <w:color w:val="2D7A4F"/>
          <w:sz w:val="24"/>
          <w:szCs w:val="24"/>
        </w:rPr>
        <w:t xml:space="preserve">3.2  What MAIN / JAKIM Gains</w:t>
      </w:r>
    </w:p>
    <w:p>
      <w:pPr>
        <w:spacing w:after="60" w:before="0"/>
      </w:pPr>
    </w:p>
    <w:p>
      <w:pPr>
        <w:pStyle w:val="ListParagraph"/>
        <w:numPr>
          <w:ilvl w:val="0"/>
          <w:numId w:val="2"/>
        </w:numPr>
        <w:spacing w:after="40" w:before="40"/>
      </w:pPr>
      <w:r>
        <w:rPr>
          <w:rFonts w:ascii="Arial" w:cs="Arial" w:eastAsia="Arial" w:hAnsi="Arial"/>
          <w:b w:val="false"/>
          <w:bCs w:val="false"/>
          <w:color w:val="1A1A1A"/>
          <w:sz w:val="22"/>
          <w:szCs w:val="22"/>
        </w:rPr>
        <w:t xml:space="preserve">A free-to-use, structured compliance and transparency layer across your registered charity and mosque ecosystem</w:t>
      </w:r>
    </w:p>
    <w:p>
      <w:pPr>
        <w:pStyle w:val="ListParagraph"/>
        <w:numPr>
          <w:ilvl w:val="0"/>
          <w:numId w:val="2"/>
        </w:numPr>
        <w:spacing w:after="40" w:before="40"/>
      </w:pPr>
      <w:r>
        <w:rPr>
          <w:rFonts w:ascii="Arial" w:cs="Arial" w:eastAsia="Arial" w:hAnsi="Arial"/>
          <w:b w:val="false"/>
          <w:bCs w:val="false"/>
          <w:color w:val="1A1A1A"/>
          <w:sz w:val="22"/>
          <w:szCs w:val="22"/>
        </w:rPr>
        <w:t xml:space="preserve">Reduced audit burden: AGP's evidence management and scoring system surfaces governance risk proactively</w:t>
      </w:r>
    </w:p>
    <w:p>
      <w:pPr>
        <w:pStyle w:val="ListParagraph"/>
        <w:numPr>
          <w:ilvl w:val="0"/>
          <w:numId w:val="2"/>
        </w:numPr>
        <w:spacing w:after="40" w:before="40"/>
      </w:pPr>
      <w:r>
        <w:rPr>
          <w:rFonts w:ascii="Arial" w:cs="Arial" w:eastAsia="Arial" w:hAnsi="Arial"/>
          <w:b w:val="false"/>
          <w:bCs w:val="false"/>
          <w:color w:val="1A1A1A"/>
          <w:sz w:val="22"/>
          <w:szCs w:val="22"/>
        </w:rPr>
        <w:t xml:space="preserve">A verifiable digital record of Shariah governance practices across all participating organisations</w:t>
      </w:r>
    </w:p>
    <w:p>
      <w:pPr>
        <w:pStyle w:val="ListParagraph"/>
        <w:numPr>
          <w:ilvl w:val="0"/>
          <w:numId w:val="2"/>
        </w:numPr>
        <w:spacing w:after="40" w:before="40"/>
      </w:pPr>
      <w:r>
        <w:rPr>
          <w:rFonts w:ascii="Arial" w:cs="Arial" w:eastAsia="Arial" w:hAnsi="Arial"/>
          <w:b w:val="false"/>
          <w:bCs w:val="false"/>
          <w:color w:val="1A1A1A"/>
          <w:sz w:val="22"/>
          <w:szCs w:val="22"/>
        </w:rPr>
        <w:t xml:space="preserve">Real-time oversight dashboard: monitor Amanah scores, certification status, and trust events across your network without manual fieldwork</w:t>
      </w:r>
    </w:p>
    <w:p>
      <w:pPr>
        <w:pStyle w:val="ListParagraph"/>
        <w:numPr>
          <w:ilvl w:val="0"/>
          <w:numId w:val="2"/>
        </w:numPr>
        <w:spacing w:after="40" w:before="40"/>
      </w:pPr>
      <w:r>
        <w:rPr>
          <w:rFonts w:ascii="Arial" w:cs="Arial" w:eastAsia="Arial" w:hAnsi="Arial"/>
          <w:b w:val="false"/>
          <w:bCs w:val="false"/>
          <w:color w:val="1A1A1A"/>
          <w:sz w:val="22"/>
          <w:szCs w:val="22"/>
        </w:rPr>
        <w:t xml:space="preserve">Public credibility signal: AGP's public transparency layer strengthens donor confidence in MAIN/JAKIM-endorsed organisations</w:t>
      </w:r>
    </w:p>
    <w:p>
      <w:pPr>
        <w:pStyle w:val="ListParagraph"/>
        <w:numPr>
          <w:ilvl w:val="0"/>
          <w:numId w:val="2"/>
        </w:numPr>
        <w:spacing w:after="40" w:before="40"/>
      </w:pPr>
      <w:r>
        <w:rPr>
          <w:rFonts w:ascii="Arial" w:cs="Arial" w:eastAsia="Arial" w:hAnsi="Arial"/>
          <w:b w:val="false"/>
          <w:bCs w:val="false"/>
          <w:color w:val="1A1A1A"/>
          <w:sz w:val="22"/>
          <w:szCs w:val="22"/>
        </w:rPr>
        <w:t xml:space="preserve">A living database of Malaysian Islamic charity governance data to inform future policy decisions</w:t>
      </w:r>
    </w:p>
    <w:p>
      <w:pPr>
        <w:spacing w:after="160" w:before="0"/>
      </w:pPr>
    </w:p>
    <w:p>
      <w:pPr>
        <w:pStyle w:val="Heading2"/>
        <w:pBdr>
          <w:bottom w:val="single" w:color="C8922A" w:sz="6" w:space="4"/>
        </w:pBdr>
        <w:spacing w:after="120" w:before="320"/>
      </w:pPr>
      <w:r>
        <w:rPr>
          <w:rFonts w:ascii="Arial" w:cs="Arial" w:eastAsia="Arial" w:hAnsi="Arial"/>
          <w:b/>
          <w:bCs/>
          <w:color w:val="1A4731"/>
          <w:sz w:val="28"/>
          <w:szCs w:val="28"/>
        </w:rPr>
        <w:t xml:space="preserve">4. Governance, Security, and Islamic Compliance</w:t>
      </w:r>
    </w:p>
    <w:p>
      <w:pPr>
        <w:pStyle w:val="Heading3"/>
        <w:spacing w:after="80" w:before="240"/>
      </w:pPr>
      <w:r>
        <w:rPr>
          <w:rFonts w:ascii="Arial" w:cs="Arial" w:eastAsia="Arial" w:hAnsi="Arial"/>
          <w:b/>
          <w:bCs/>
          <w:color w:val="2D7A4F"/>
          <w:sz w:val="24"/>
          <w:szCs w:val="24"/>
        </w:rPr>
        <w:t xml:space="preserve">4.1  Islamic Governance Principles</w:t>
      </w:r>
    </w:p>
    <w:p>
      <w:pPr>
        <w:spacing w:after="100" w:before="80"/>
        <w:jc w:val="both"/>
      </w:pPr>
      <w:r>
        <w:rPr>
          <w:rFonts w:ascii="Arial" w:cs="Arial" w:eastAsia="Arial" w:hAnsi="Arial"/>
          <w:b w:val="false"/>
          <w:bCs w:val="false"/>
          <w:color w:val="1A1A1A"/>
          <w:sz w:val="22"/>
          <w:szCs w:val="22"/>
        </w:rPr>
        <w:t xml:space="preserve">AGP is not a generic charity platform adapted for Malaysia. It is built from the ground up on three Quranic principles:</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A4731" w:val="clear"/>
            <w:tcMar>
              <w:top w:type="dxa" w:w="100"/>
              <w:left w:type="dxa" w:w="160"/>
              <w:bottom w:type="dxa" w:w="100"/>
              <w:right w:type="dxa" w:w="160"/>
            </w:tcMar>
          </w:tcPr>
          <w:p>
            <w:r>
              <w:rPr>
                <w:rFonts w:ascii="Arial" w:cs="Arial" w:eastAsia="Arial" w:hAnsi="Arial"/>
                <w:b/>
                <w:bCs/>
                <w:color w:val="FFFFFF"/>
                <w:sz w:val="21"/>
                <w:szCs w:val="21"/>
              </w:rPr>
              <w:t xml:space="preserve">Principle</w:t>
            </w:r>
          </w:p>
        </w:tc>
        <w:tc>
          <w:tcPr>
            <w:tcW w:type="dxa" w:w="5760"/>
            <w:tcBorders>
              <w:top w:val="single" w:color="DDDDDD" w:sz="1"/>
              <w:left w:val="single" w:color="DDDDDD" w:sz="1"/>
              <w:bottom w:val="single" w:color="DDDDDD" w:sz="1"/>
              <w:right w:val="single" w:color="DDDDDD" w:sz="1"/>
            </w:tcBorders>
            <w:shd w:fill="1A4731" w:val="clear"/>
            <w:tcMar>
              <w:top w:type="dxa" w:w="100"/>
              <w:left w:type="dxa" w:w="160"/>
              <w:bottom w:type="dxa" w:w="100"/>
              <w:right w:type="dxa" w:w="160"/>
            </w:tcMar>
          </w:tcPr>
          <w:p>
            <w:r>
              <w:rPr>
                <w:rFonts w:ascii="Arial" w:cs="Arial" w:eastAsia="Arial" w:hAnsi="Arial"/>
                <w:b/>
                <w:bCs/>
                <w:color w:val="FFFFFF"/>
                <w:sz w:val="21"/>
                <w:szCs w:val="21"/>
              </w:rPr>
              <w:t xml:space="preserve">How It Is Encoded in AGP</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Amanah — Trust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Non-custodial architecture (funds never touch AGP); append-only audit logs; immutable certification records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Shafafiyyah — Transparency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Public evidence galleries; explainable Amanah scores with category breakdowns; open certification history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Mas’uliyyah — Accountability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Reviewer workflows with timestamped decisions; scholar notes with publishable flags; submission locking once verified</w:t>
            </w:r>
          </w:p>
        </w:tc>
      </w:tr>
    </w:tbl>
    <w:p>
      <w:pPr>
        <w:spacing w:after="120" w:before="0"/>
      </w:pPr>
    </w:p>
    <w:p>
      <w:pPr>
        <w:pStyle w:val="Heading3"/>
        <w:spacing w:after="80" w:before="240"/>
      </w:pPr>
      <w:r>
        <w:rPr>
          <w:rFonts w:ascii="Arial" w:cs="Arial" w:eastAsia="Arial" w:hAnsi="Arial"/>
          <w:b/>
          <w:bCs/>
          <w:color w:val="2D7A4F"/>
          <w:sz w:val="24"/>
          <w:szCs w:val="24"/>
        </w:rPr>
        <w:t xml:space="preserve">4.2  Security Architecture</w:t>
      </w:r>
    </w:p>
    <w:p>
      <w:pPr>
        <w:pStyle w:val="ListParagraph"/>
        <w:numPr>
          <w:ilvl w:val="0"/>
          <w:numId w:val="2"/>
        </w:numPr>
        <w:spacing w:after="40" w:before="40"/>
      </w:pPr>
      <w:r>
        <w:rPr>
          <w:rFonts w:ascii="Arial" w:cs="Arial" w:eastAsia="Arial" w:hAnsi="Arial"/>
          <w:b w:val="false"/>
          <w:bCs w:val="false"/>
          <w:color w:val="1A1A1A"/>
          <w:sz w:val="22"/>
          <w:szCs w:val="22"/>
        </w:rPr>
        <w:t xml:space="preserve">All data access governed by Row-Level Security (RLS) — users only see what their role permits</w:t>
      </w:r>
    </w:p>
    <w:p>
      <w:pPr>
        <w:pStyle w:val="ListParagraph"/>
        <w:numPr>
          <w:ilvl w:val="0"/>
          <w:numId w:val="2"/>
        </w:numPr>
        <w:spacing w:after="40" w:before="40"/>
      </w:pPr>
      <w:r>
        <w:rPr>
          <w:rFonts w:ascii="Arial" w:cs="Arial" w:eastAsia="Arial" w:hAnsi="Arial"/>
          <w:b w:val="false"/>
          <w:bCs w:val="false"/>
          <w:color w:val="1A1A1A"/>
          <w:sz w:val="22"/>
          <w:szCs w:val="22"/>
        </w:rPr>
        <w:t xml:space="preserve">Evidence is private by default — public exposure requires explicit reviewer approval</w:t>
      </w:r>
    </w:p>
    <w:p>
      <w:pPr>
        <w:pStyle w:val="ListParagraph"/>
        <w:numPr>
          <w:ilvl w:val="0"/>
          <w:numId w:val="2"/>
        </w:numPr>
        <w:spacing w:after="40" w:before="40"/>
      </w:pPr>
      <w:r>
        <w:rPr>
          <w:rFonts w:ascii="Arial" w:cs="Arial" w:eastAsia="Arial" w:hAnsi="Arial"/>
          <w:b w:val="false"/>
          <w:bCs w:val="false"/>
          <w:color w:val="1A1A1A"/>
          <w:sz w:val="22"/>
          <w:szCs w:val="22"/>
        </w:rPr>
        <w:t xml:space="preserve">Service-role database credentials never exposed to the browser</w:t>
      </w:r>
    </w:p>
    <w:p>
      <w:pPr>
        <w:pStyle w:val="ListParagraph"/>
        <w:numPr>
          <w:ilvl w:val="0"/>
          <w:numId w:val="2"/>
        </w:numPr>
        <w:spacing w:after="40" w:before="40"/>
      </w:pPr>
      <w:r>
        <w:rPr>
          <w:rFonts w:ascii="Arial" w:cs="Arial" w:eastAsia="Arial" w:hAnsi="Arial"/>
          <w:b w:val="false"/>
          <w:bCs w:val="false"/>
          <w:color w:val="1A1A1A"/>
          <w:sz w:val="22"/>
          <w:szCs w:val="22"/>
        </w:rPr>
        <w:t xml:space="preserve">Signed URLs for document access — no publicly accessible storage buckets</w:t>
      </w:r>
    </w:p>
    <w:p>
      <w:pPr>
        <w:pStyle w:val="ListParagraph"/>
        <w:numPr>
          <w:ilvl w:val="0"/>
          <w:numId w:val="2"/>
        </w:numPr>
        <w:spacing w:after="40" w:before="40"/>
      </w:pPr>
      <w:r>
        <w:rPr>
          <w:rFonts w:ascii="Arial" w:cs="Arial" w:eastAsia="Arial" w:hAnsi="Arial"/>
          <w:b w:val="false"/>
          <w:bCs w:val="false"/>
          <w:color w:val="1A1A1A"/>
          <w:sz w:val="22"/>
          <w:szCs w:val="22"/>
        </w:rPr>
        <w:t xml:space="preserve">Append-only design for audit logs, trust events, certification history, and donation webhooks</w:t>
      </w:r>
    </w:p>
    <w:p>
      <w:pPr>
        <w:pStyle w:val="ListParagraph"/>
        <w:numPr>
          <w:ilvl w:val="0"/>
          <w:numId w:val="2"/>
        </w:numPr>
        <w:spacing w:after="40" w:before="40"/>
      </w:pPr>
      <w:r>
        <w:rPr>
          <w:rFonts w:ascii="Arial" w:cs="Arial" w:eastAsia="Arial" w:hAnsi="Arial"/>
          <w:b w:val="false"/>
          <w:bCs w:val="false"/>
          <w:color w:val="1A1A1A"/>
          <w:sz w:val="22"/>
          <w:szCs w:val="22"/>
        </w:rPr>
        <w:t xml:space="preserve">PDPA-aligned: minimal personal data collected; KYC handled by licensed banks, not AGP</w:t>
      </w:r>
    </w:p>
    <w:p>
      <w:pPr>
        <w:spacing w:after="120" w:before="0"/>
      </w:pPr>
    </w:p>
    <w:p>
      <w:pPr>
        <w:pStyle w:val="Heading3"/>
        <w:spacing w:after="80" w:before="240"/>
      </w:pPr>
      <w:r>
        <w:rPr>
          <w:rFonts w:ascii="Arial" w:cs="Arial" w:eastAsia="Arial" w:hAnsi="Arial"/>
          <w:b/>
          <w:bCs/>
          <w:color w:val="2D7A4F"/>
          <w:sz w:val="24"/>
          <w:szCs w:val="24"/>
        </w:rPr>
        <w:t xml:space="preserve">4.3  Donation Integrity</w:t>
      </w:r>
    </w:p>
    <w:p>
      <w:pPr>
        <w:spacing w:after="100" w:before="80"/>
        <w:jc w:val="both"/>
      </w:pPr>
      <w:r>
        <w:rPr>
          <w:rFonts w:ascii="Arial" w:cs="Arial" w:eastAsia="Arial" w:hAnsi="Arial"/>
          <w:b w:val="false"/>
          <w:bCs w:val="false"/>
          <w:color w:val="1A1A1A"/>
          <w:sz w:val="22"/>
          <w:szCs w:val="22"/>
        </w:rPr>
        <w:t xml:space="preserve">AGP does not hold, process, or intermediate donor funds. The platform operates a </w:t>
      </w:r>
      <w:r>
        <w:rPr>
          <w:rFonts w:ascii="Arial" w:cs="Arial" w:eastAsia="Arial" w:hAnsi="Arial"/>
          <w:b/>
          <w:bCs/>
          <w:color w:val="1A1A1A"/>
          <w:sz w:val="22"/>
          <w:szCs w:val="22"/>
        </w:rPr>
        <w:t xml:space="preserve">non-custodial donation architecture</w:t>
      </w:r>
      <w:r>
        <w:rPr>
          <w:rFonts w:ascii="Arial" w:cs="Arial" w:eastAsia="Arial" w:hAnsi="Arial"/>
          <w:b w:val="false"/>
          <w:bCs w:val="false"/>
          <w:color w:val="1A1A1A"/>
          <w:sz w:val="22"/>
          <w:szCs w:val="22"/>
        </w:rPr>
        <w:t xml:space="preserve">: when a donor selects an organisation, payment flows directly to that organisation's pre-verified bank account. AGP records the event, generates a receipt, and logs it to the audit trail — but never touches the money. This is a structural compliance choice aligned with Islamic prohibition on unnecessary financial intermediation.</w:t>
      </w:r>
    </w:p>
    <w:p>
      <w:pPr>
        <w:spacing w:after="160" w:before="0"/>
      </w:pPr>
    </w:p>
    <w:p>
      <w:pPr>
        <w:spacing w:after="0" w:before="0"/>
      </w:pPr>
      <w:r>
        <w:br w:type="page"/>
      </w:r>
    </w:p>
    <w:p>
      <w:pPr>
        <w:pStyle w:val="Heading2"/>
        <w:pBdr>
          <w:bottom w:val="single" w:color="C8922A" w:sz="6" w:space="4"/>
        </w:pBdr>
        <w:spacing w:after="120" w:before="320"/>
      </w:pPr>
      <w:r>
        <w:rPr>
          <w:rFonts w:ascii="Arial" w:cs="Arial" w:eastAsia="Arial" w:hAnsi="Arial"/>
          <w:b/>
          <w:bCs/>
          <w:color w:val="1A4731"/>
          <w:sz w:val="28"/>
          <w:szCs w:val="28"/>
        </w:rPr>
        <w:t xml:space="preserve">5. Proposed Pilot: A 3-Month Proof of Amanah</w:t>
      </w:r>
    </w:p>
    <w:p>
      <w:pPr>
        <w:pStyle w:val="Heading3"/>
        <w:spacing w:after="80" w:before="240"/>
      </w:pPr>
      <w:r>
        <w:rPr>
          <w:rFonts w:ascii="Arial" w:cs="Arial" w:eastAsia="Arial" w:hAnsi="Arial"/>
          <w:b/>
          <w:bCs/>
          <w:color w:val="2D7A4F"/>
          <w:sz w:val="24"/>
          <w:szCs w:val="24"/>
        </w:rPr>
        <w:t xml:space="preserve">5.1  Pilot Scope</w:t>
      </w:r>
    </w:p>
    <w:p>
      <w:pPr>
        <w:spacing w:after="100" w:before="80"/>
        <w:jc w:val="both"/>
      </w:pPr>
      <w:r>
        <w:rPr>
          <w:rFonts w:ascii="Arial" w:cs="Arial" w:eastAsia="Arial" w:hAnsi="Arial"/>
          <w:b w:val="false"/>
          <w:bCs w:val="false"/>
          <w:color w:val="1A1A1A"/>
          <w:sz w:val="22"/>
          <w:szCs w:val="22"/>
        </w:rPr>
        <w:t xml:space="preserve">We propose a focused 3-month pilot with </w:t>
      </w:r>
      <w:r>
        <w:rPr>
          <w:rFonts w:ascii="Arial" w:cs="Arial" w:eastAsia="Arial" w:hAnsi="Arial"/>
          <w:b/>
          <w:bCs/>
          <w:color w:val="1A1A1A"/>
          <w:sz w:val="22"/>
          <w:szCs w:val="22"/>
        </w:rPr>
        <w:t xml:space="preserve">15–20 organisations</w:t>
      </w:r>
      <w:r>
        <w:rPr>
          <w:rFonts w:ascii="Arial" w:cs="Arial" w:eastAsia="Arial" w:hAnsi="Arial"/>
          <w:b w:val="false"/>
          <w:bCs w:val="false"/>
          <w:color w:val="1A1A1A"/>
          <w:sz w:val="22"/>
          <w:szCs w:val="22"/>
        </w:rPr>
        <w:t xml:space="preserve"> across two or three states, nominated jointly with MAIN and JAKIM. The pilot is designed to demonstrate the complete AGP lifecycle — from onboarding to public trust score — on a real, verifiable cohort.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A4731" w:val="clear"/>
            <w:tcMar>
              <w:top w:type="dxa" w:w="100"/>
              <w:left w:type="dxa" w:w="160"/>
              <w:bottom w:type="dxa" w:w="100"/>
              <w:right w:type="dxa" w:w="160"/>
            </w:tcMar>
          </w:tcPr>
          <w:p>
            <w:r>
              <w:rPr>
                <w:rFonts w:ascii="Arial" w:cs="Arial" w:eastAsia="Arial" w:hAnsi="Arial"/>
                <w:b/>
                <w:bCs/>
                <w:color w:val="FFFFFF"/>
                <w:sz w:val="21"/>
                <w:szCs w:val="21"/>
              </w:rPr>
              <w:t xml:space="preserve">Pilot Parameter</w:t>
            </w:r>
          </w:p>
        </w:tc>
        <w:tc>
          <w:tcPr>
            <w:tcW w:type="dxa" w:w="5760"/>
            <w:tcBorders>
              <w:top w:val="single" w:color="DDDDDD" w:sz="1"/>
              <w:left w:val="single" w:color="DDDDDD" w:sz="1"/>
              <w:bottom w:val="single" w:color="DDDDDD" w:sz="1"/>
              <w:right w:val="single" w:color="DDDDDD" w:sz="1"/>
            </w:tcBorders>
            <w:shd w:fill="1A4731" w:val="clear"/>
            <w:tcMar>
              <w:top w:type="dxa" w:w="100"/>
              <w:left w:type="dxa" w:w="160"/>
              <w:bottom w:type="dxa" w:w="100"/>
              <w:right w:type="dxa" w:w="160"/>
            </w:tcMar>
          </w:tcPr>
          <w:p>
            <w:r>
              <w:rPr>
                <w:rFonts w:ascii="Arial" w:cs="Arial" w:eastAsia="Arial" w:hAnsi="Arial"/>
                <w:b/>
                <w:bCs/>
                <w:color w:val="FFFFFF"/>
                <w:sz w:val="21"/>
                <w:szCs w:val="21"/>
              </w:rPr>
              <w:t xml:space="preserve">Detail</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Duration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3 months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Target Organisations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15–20 (mix: mosques, NGOs, waqf bodies)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Geographic Scope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2–3 states (ideally Selangor + 1–2 others nominated by MAIN)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Key Deliverables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Organisations onboarded, evidence uploaded, CTCF evaluations completed, Amanah scores computed and published, pilot report produced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Pilot Cost to MAIN / JAKIM</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Zero — we absorb the infrastructure cost for the pilot period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Success Measurement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Transparency scores, donor engagement, regulatory feedback, onboarding completion rate</w:t>
            </w:r>
          </w:p>
        </w:tc>
      </w:tr>
    </w:tbl>
    <w:p>
      <w:pPr>
        <w:spacing w:after="120" w:before="0"/>
      </w:pPr>
    </w:p>
    <w:p>
      <w:pPr>
        <w:pStyle w:val="Heading3"/>
        <w:spacing w:after="80" w:before="240"/>
      </w:pPr>
      <w:r>
        <w:rPr>
          <w:rFonts w:ascii="Arial" w:cs="Arial" w:eastAsia="Arial" w:hAnsi="Arial"/>
          <w:b/>
          <w:bCs/>
          <w:color w:val="2D7A4F"/>
          <w:sz w:val="24"/>
          <w:szCs w:val="24"/>
        </w:rPr>
        <w:t xml:space="preserve">5.2  Pilot Activities</w:t>
      </w:r>
    </w:p>
    <w:p>
      <w:pPr>
        <w:pStyle w:val="ListParagraph"/>
        <w:numPr>
          <w:ilvl w:val="0"/>
          <w:numId w:val="3"/>
        </w:numPr>
        <w:spacing w:after="60" w:before="60"/>
      </w:pPr>
      <w:r>
        <w:rPr>
          <w:rFonts w:ascii="Arial" w:cs="Arial" w:eastAsia="Arial" w:hAnsi="Arial"/>
          <w:b w:val="false"/>
          <w:bCs w:val="false"/>
          <w:color w:val="1A1A1A"/>
          <w:sz w:val="22"/>
          <w:szCs w:val="22"/>
        </w:rPr>
        <w:t xml:space="preserve">Onboarding workshops for pilot organisations (mosque committees, NGO secretaries, waqf trustees)</w:t>
      </w:r>
    </w:p>
    <w:p>
      <w:pPr>
        <w:pStyle w:val="ListParagraph"/>
        <w:numPr>
          <w:ilvl w:val="0"/>
          <w:numId w:val="3"/>
        </w:numPr>
        <w:spacing w:after="60" w:before="60"/>
      </w:pPr>
      <w:r>
        <w:rPr>
          <w:rFonts w:ascii="Arial" w:cs="Arial" w:eastAsia="Arial" w:hAnsi="Arial"/>
          <w:b w:val="false"/>
          <w:bCs w:val="false"/>
          <w:color w:val="1A1A1A"/>
          <w:sz w:val="22"/>
          <w:szCs w:val="22"/>
        </w:rPr>
        <w:t xml:space="preserve">CTCF evaluation training for nominated MAIN/JAKIM reviewers</w:t>
      </w:r>
    </w:p>
    <w:p>
      <w:pPr>
        <w:pStyle w:val="ListParagraph"/>
        <w:numPr>
          <w:ilvl w:val="0"/>
          <w:numId w:val="3"/>
        </w:numPr>
        <w:spacing w:after="60" w:before="60"/>
      </w:pPr>
      <w:r>
        <w:rPr>
          <w:rFonts w:ascii="Arial" w:cs="Arial" w:eastAsia="Arial" w:hAnsi="Arial"/>
          <w:b w:val="false"/>
          <w:bCs w:val="false"/>
          <w:color w:val="1A1A1A"/>
          <w:sz w:val="22"/>
          <w:szCs w:val="22"/>
        </w:rPr>
        <w:t xml:space="preserve">Evidence upload and verification cycle — all 5 CTCF layers evaluated per organisation</w:t>
      </w:r>
    </w:p>
    <w:p>
      <w:pPr>
        <w:pStyle w:val="ListParagraph"/>
        <w:numPr>
          <w:ilvl w:val="0"/>
          <w:numId w:val="3"/>
        </w:numPr>
        <w:spacing w:after="60" w:before="60"/>
      </w:pPr>
      <w:r>
        <w:rPr>
          <w:rFonts w:ascii="Arial" w:cs="Arial" w:eastAsia="Arial" w:hAnsi="Arial"/>
          <w:b w:val="false"/>
          <w:bCs w:val="false"/>
          <w:color w:val="1A1A1A"/>
          <w:sz w:val="22"/>
          <w:szCs w:val="22"/>
        </w:rPr>
        <w:t xml:space="preserve">First Amanah Index™ scores computed and published to public dashboard</w:t>
      </w:r>
    </w:p>
    <w:p>
      <w:pPr>
        <w:pStyle w:val="ListParagraph"/>
        <w:numPr>
          <w:ilvl w:val="0"/>
          <w:numId w:val="3"/>
        </w:numPr>
        <w:spacing w:after="60" w:before="60"/>
      </w:pPr>
      <w:r>
        <w:rPr>
          <w:rFonts w:ascii="Arial" w:cs="Arial" w:eastAsia="Arial" w:hAnsi="Arial"/>
          <w:b w:val="false"/>
          <w:bCs w:val="false"/>
          <w:color w:val="1A1A1A"/>
          <w:sz w:val="22"/>
          <w:szCs w:val="22"/>
        </w:rPr>
        <w:t xml:space="preserve">First donation flow tested for at least 3 pilot organisations</w:t>
      </w:r>
    </w:p>
    <w:p>
      <w:pPr>
        <w:pStyle w:val="ListParagraph"/>
        <w:numPr>
          <w:ilvl w:val="0"/>
          <w:numId w:val="3"/>
        </w:numPr>
        <w:spacing w:after="60" w:before="60"/>
      </w:pPr>
      <w:r>
        <w:rPr>
          <w:rFonts w:ascii="Arial" w:cs="Arial" w:eastAsia="Arial" w:hAnsi="Arial"/>
          <w:b w:val="false"/>
          <w:bCs w:val="false"/>
          <w:color w:val="1A1A1A"/>
          <w:sz w:val="22"/>
          <w:szCs w:val="22"/>
        </w:rPr>
        <w:t xml:space="preserve">Scholar review notes added for Shariah governance layer</w:t>
      </w:r>
    </w:p>
    <w:p>
      <w:pPr>
        <w:pStyle w:val="ListParagraph"/>
        <w:numPr>
          <w:ilvl w:val="0"/>
          <w:numId w:val="3"/>
        </w:numPr>
        <w:spacing w:after="60" w:before="60"/>
      </w:pPr>
      <w:r>
        <w:rPr>
          <w:rFonts w:ascii="Arial" w:cs="Arial" w:eastAsia="Arial" w:hAnsi="Arial"/>
          <w:b w:val="false"/>
          <w:bCs w:val="false"/>
          <w:color w:val="1A1A1A"/>
          <w:sz w:val="22"/>
          <w:szCs w:val="22"/>
        </w:rPr>
        <w:t xml:space="preserve">Pilot report prepared: outcomes, governance observations, recommendations for scale</w:t>
      </w:r>
    </w:p>
    <w:p>
      <w:pPr>
        <w:spacing w:after="120" w:before="0"/>
      </w:pPr>
    </w:p>
    <w:p>
      <w:pPr>
        <w:pStyle w:val="Heading3"/>
        <w:spacing w:after="80" w:before="240"/>
      </w:pPr>
      <w:r>
        <w:rPr>
          <w:rFonts w:ascii="Arial" w:cs="Arial" w:eastAsia="Arial" w:hAnsi="Arial"/>
          <w:b/>
          <w:bCs/>
          <w:color w:val="2D7A4F"/>
          <w:sz w:val="24"/>
          <w:szCs w:val="24"/>
        </w:rPr>
        <w:t xml:space="preserve">5.3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A4731" w:val="clear"/>
            <w:tcMar>
              <w:top w:type="dxa" w:w="100"/>
              <w:left w:type="dxa" w:w="160"/>
              <w:bottom w:type="dxa" w:w="100"/>
              <w:right w:type="dxa" w:w="160"/>
            </w:tcMar>
          </w:tcPr>
          <w:p>
            <w:r>
              <w:rPr>
                <w:rFonts w:ascii="Arial" w:cs="Arial" w:eastAsia="Arial" w:hAnsi="Arial"/>
                <w:b/>
                <w:bCs/>
                <w:color w:val="FFFFFF"/>
                <w:sz w:val="21"/>
                <w:szCs w:val="21"/>
              </w:rPr>
              <w:t xml:space="preserve">KPI</w:t>
            </w:r>
          </w:p>
        </w:tc>
        <w:tc>
          <w:tcPr>
            <w:tcW w:type="dxa" w:w="5760"/>
            <w:tcBorders>
              <w:top w:val="single" w:color="DDDDDD" w:sz="1"/>
              <w:left w:val="single" w:color="DDDDDD" w:sz="1"/>
              <w:bottom w:val="single" w:color="DDDDDD" w:sz="1"/>
              <w:right w:val="single" w:color="DDDDDD" w:sz="1"/>
            </w:tcBorders>
            <w:shd w:fill="1A4731" w:val="clear"/>
            <w:tcMar>
              <w:top w:type="dxa" w:w="100"/>
              <w:left w:type="dxa" w:w="160"/>
              <w:bottom w:type="dxa" w:w="100"/>
              <w:right w:type="dxa" w:w="160"/>
            </w:tcMar>
          </w:tcPr>
          <w:p>
            <w:r>
              <w:rPr>
                <w:rFonts w:ascii="Arial" w:cs="Arial" w:eastAsia="Arial" w:hAnsi="Arial"/>
                <w:b/>
                <w:bCs/>
                <w:color w:val="FFFFFF"/>
                <w:sz w:val="21"/>
                <w:szCs w:val="21"/>
              </w:rPr>
              <w:t xml:space="preserve">Target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Organisations fully onboarded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≥80% of pilot cohort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CTCF evaluations completed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≥75% of onboarded orgs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Evidence documents uploaded &amp; reviewed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≥1 per organisation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Amanah scores published publicly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100% of certified orgs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Donation flows tested</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≥3 organisations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Reviewer satisfaction (survey)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≥4.0/5.0</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Org admin satisfaction (survey)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≥3.5/5.0</w:t>
            </w:r>
          </w:p>
        </w:tc>
      </w:tr>
    </w:tbl>
    <w:p>
      <w:pPr>
        <w:spacing w:after="160" w:before="0"/>
      </w:pPr>
    </w:p>
    <w:p>
      <w:pPr>
        <w:pStyle w:val="Heading2"/>
        <w:pBdr>
          <w:bottom w:val="single" w:color="C8922A" w:sz="6" w:space="4"/>
        </w:pBdr>
        <w:spacing w:after="120" w:before="320"/>
      </w:pPr>
      <w:r>
        <w:rPr>
          <w:rFonts w:ascii="Arial" w:cs="Arial" w:eastAsia="Arial" w:hAnsi="Arial"/>
          <w:b/>
          <w:bCs/>
          <w:color w:val="1A4731"/>
          <w:sz w:val="28"/>
          <w:szCs w:val="28"/>
        </w:rPr>
        <w:t xml:space="preserve">6. Technology Overview</w:t>
      </w:r>
    </w:p>
    <w:p>
      <w:pPr>
        <w:spacing w:after="100" w:before="80"/>
        <w:jc w:val="both"/>
      </w:pPr>
      <w:r>
        <w:rPr>
          <w:rFonts w:ascii="Arial" w:cs="Arial" w:eastAsia="Arial" w:hAnsi="Arial"/>
          <w:b w:val="false"/>
          <w:bCs w:val="false"/>
          <w:color w:val="1A1A1A"/>
          <w:sz w:val="22"/>
          <w:szCs w:val="22"/>
        </w:rPr>
        <w:t xml:space="preserve">AGP is built on a modern, secure, Malaysia-hosted technology stack with zero vendor lock-in and minimal infrastructure cost at pilot scale.</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A4731" w:val="clear"/>
            <w:tcMar>
              <w:top w:type="dxa" w:w="100"/>
              <w:left w:type="dxa" w:w="160"/>
              <w:bottom w:type="dxa" w:w="100"/>
              <w:right w:type="dxa" w:w="160"/>
            </w:tcMar>
          </w:tcPr>
          <w:p>
            <w:r>
              <w:rPr>
                <w:rFonts w:ascii="Arial" w:cs="Arial" w:eastAsia="Arial" w:hAnsi="Arial"/>
                <w:b/>
                <w:bCs/>
                <w:color w:val="FFFFFF"/>
                <w:sz w:val="21"/>
                <w:szCs w:val="21"/>
              </w:rPr>
              <w:t xml:space="preserve">Component</w:t>
            </w:r>
          </w:p>
        </w:tc>
        <w:tc>
          <w:tcPr>
            <w:tcW w:type="dxa" w:w="5760"/>
            <w:tcBorders>
              <w:top w:val="single" w:color="DDDDDD" w:sz="1"/>
              <w:left w:val="single" w:color="DDDDDD" w:sz="1"/>
              <w:bottom w:val="single" w:color="DDDDDD" w:sz="1"/>
              <w:right w:val="single" w:color="DDDDDD" w:sz="1"/>
            </w:tcBorders>
            <w:shd w:fill="1A4731" w:val="clear"/>
            <w:tcMar>
              <w:top w:type="dxa" w:w="100"/>
              <w:left w:type="dxa" w:w="160"/>
              <w:bottom w:type="dxa" w:w="100"/>
              <w:right w:type="dxa" w:w="160"/>
            </w:tcMar>
          </w:tcPr>
          <w:p>
            <w:r>
              <w:rPr>
                <w:rFonts w:ascii="Arial" w:cs="Arial" w:eastAsia="Arial" w:hAnsi="Arial"/>
                <w:b/>
                <w:bCs/>
                <w:color w:val="FFFFFF"/>
                <w:sz w:val="21"/>
                <w:szCs w:val="21"/>
              </w:rPr>
              <w:t xml:space="preserve">Technology Choice &amp; Rationale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Web Application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Next.js 15 — production-grade, server-side rendered, progressive web app compatible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Database &amp; Auth</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Supabase (Postgres) — open source, Row-Level Security enforced, PDPA-aligned data governance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File Storage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Supabase Storage with signed URL access — private by default, no public bucket exposure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Scoring Engine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TypeScript package (@agp/scoring) — pure logic, no external dependencies, auditable and open to government review</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Payment Gateway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ToyyibPay — Malaysia-regulated, direct-to-charity FPX routing; Billplz-ready adapter path for future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Audit Trail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Append-only Postgres tables — no record deletion, tamper-evident event history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Deployment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Vercel (two apps: AmanahHub public site + AmanahHub Console for admins)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Code Availability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Codebase open to government technical audit on request</w:t>
            </w:r>
          </w:p>
        </w:tc>
      </w:tr>
    </w:tbl>
    <w:p>
      <w:pPr>
        <w:spacing w:after="160" w:before="0"/>
      </w:pPr>
    </w:p>
    <w:p>
      <w:pPr>
        <w:pStyle w:val="Heading2"/>
        <w:pBdr>
          <w:bottom w:val="single" w:color="C8922A" w:sz="6" w:space="4"/>
        </w:pBdr>
        <w:spacing w:after="120" w:before="320"/>
      </w:pPr>
      <w:r>
        <w:rPr>
          <w:rFonts w:ascii="Arial" w:cs="Arial" w:eastAsia="Arial" w:hAnsi="Arial"/>
          <w:b/>
          <w:bCs/>
          <w:color w:val="1A4731"/>
          <w:sz w:val="28"/>
          <w:szCs w:val="28"/>
        </w:rPr>
        <w:t xml:space="preserve">7. Evidence Base and Sector Context</w:t>
      </w:r>
    </w:p>
    <w:p>
      <w:pPr>
        <w:spacing w:after="100" w:before="80"/>
        <w:jc w:val="both"/>
      </w:pPr>
      <w:r>
        <w:rPr>
          <w:rFonts w:ascii="Arial" w:cs="Arial" w:eastAsia="Arial" w:hAnsi="Arial"/>
          <w:b w:val="false"/>
          <w:bCs w:val="false"/>
          <w:color w:val="1A1A1A"/>
          <w:sz w:val="22"/>
          <w:szCs w:val="22"/>
        </w:rPr>
        <w:t xml:space="preserve">AGP's design draws directly from documented evidence in the Malaysian Islamic charity sector and validated international precedents.</w:t>
      </w:r>
    </w:p>
    <w:p>
      <w:pPr>
        <w:spacing w:after="80" w:before="0"/>
      </w:pPr>
    </w:p>
    <w:p>
      <w:pPr>
        <w:pStyle w:val="Heading3"/>
        <w:spacing w:after="80" w:before="240"/>
      </w:pPr>
      <w:r>
        <w:rPr>
          <w:rFonts w:ascii="Arial" w:cs="Arial" w:eastAsia="Arial" w:hAnsi="Arial"/>
          <w:b/>
          <w:bCs/>
          <w:color w:val="2D7A4F"/>
          <w:sz w:val="24"/>
          <w:szCs w:val="24"/>
        </w:rPr>
        <w:t xml:space="preserve">7.1  Malaysian Context</w:t>
      </w:r>
    </w:p>
    <w:p>
      <w:pPr>
        <w:pStyle w:val="ListParagraph"/>
        <w:numPr>
          <w:ilvl w:val="0"/>
          <w:numId w:val="2"/>
        </w:numPr>
        <w:spacing w:after="40" w:before="40"/>
      </w:pPr>
      <w:r>
        <w:rPr>
          <w:rFonts w:ascii="Arial" w:cs="Arial" w:eastAsia="Arial" w:hAnsi="Arial"/>
          <w:b w:val="false"/>
          <w:bCs w:val="false"/>
          <w:color w:val="1A1A1A"/>
          <w:sz w:val="22"/>
          <w:szCs w:val="22"/>
        </w:rPr>
        <w:t xml:space="preserve">Lembaga Zakat Selangor collected RM1.22 billion in 2024, with online direct debit growing 60% — demonstrating rapid digital adoption in formal Zakat channels</w:t>
      </w:r>
    </w:p>
    <w:p>
      <w:pPr>
        <w:pStyle w:val="ListParagraph"/>
        <w:numPr>
          <w:ilvl w:val="0"/>
          <w:numId w:val="2"/>
        </w:numPr>
        <w:spacing w:after="40" w:before="40"/>
      </w:pPr>
      <w:r>
        <w:rPr>
          <w:rFonts w:ascii="Arial" w:cs="Arial" w:eastAsia="Arial" w:hAnsi="Arial"/>
          <w:b w:val="false"/>
          <w:bCs w:val="false"/>
          <w:color w:val="1A1A1A"/>
          <w:sz w:val="22"/>
          <w:szCs w:val="22"/>
        </w:rPr>
        <w:t xml:space="preserve">An estimated 35,727 hectares of Waqf land in Malaysia, but utilisation rates in some states are below 50% due to poor records and governance infrastructure</w:t>
      </w:r>
    </w:p>
    <w:p>
      <w:pPr>
        <w:pStyle w:val="ListParagraph"/>
        <w:numPr>
          <w:ilvl w:val="0"/>
          <w:numId w:val="2"/>
        </w:numPr>
        <w:spacing w:after="40" w:before="40"/>
      </w:pPr>
      <w:r>
        <w:rPr>
          <w:rFonts w:ascii="Arial" w:cs="Arial" w:eastAsia="Arial" w:hAnsi="Arial"/>
          <w:b w:val="false"/>
          <w:bCs w:val="false"/>
          <w:color w:val="1A1A1A"/>
          <w:sz w:val="22"/>
          <w:szCs w:val="22"/>
        </w:rPr>
        <w:t xml:space="preserve">Approximately 82,675 NGOs registered in Malaysia as of 2021 — the majority without structured digital governance or public reporting</w:t>
      </w:r>
    </w:p>
    <w:p>
      <w:pPr>
        <w:pStyle w:val="ListParagraph"/>
        <w:numPr>
          <w:ilvl w:val="0"/>
          <w:numId w:val="2"/>
        </w:numPr>
        <w:spacing w:after="40" w:before="40"/>
      </w:pPr>
      <w:r>
        <w:rPr>
          <w:rFonts w:ascii="Arial" w:cs="Arial" w:eastAsia="Arial" w:hAnsi="Arial"/>
          <w:b w:val="false"/>
          <w:bCs w:val="false"/>
          <w:color w:val="1A1A1A"/>
          <w:sz w:val="22"/>
          <w:szCs w:val="22"/>
        </w:rPr>
        <w:t xml:space="preserve">ROS has taken enforcement actions including freezing accounts of non-compliant NGOs, indicating that reactive oversight is already under strain</w:t>
      </w:r>
    </w:p>
    <w:p>
      <w:pPr>
        <w:pStyle w:val="ListParagraph"/>
        <w:numPr>
          <w:ilvl w:val="0"/>
          <w:numId w:val="2"/>
        </w:numPr>
        <w:spacing w:after="40" w:before="40"/>
      </w:pPr>
      <w:r>
        <w:rPr>
          <w:rFonts w:ascii="Arial" w:cs="Arial" w:eastAsia="Arial" w:hAnsi="Arial"/>
          <w:b w:val="false"/>
          <w:bCs w:val="false"/>
          <w:color w:val="1A1A1A"/>
          <w:sz w:val="22"/>
          <w:szCs w:val="22"/>
        </w:rPr>
        <w:t xml:space="preserve">Only ~25% of Malaysian NPOs report fundraising costs publicly, per a 2017 study of 205 organisations</w:t>
      </w:r>
    </w:p>
    <w:p>
      <w:pPr>
        <w:spacing w:after="80" w:before="0"/>
      </w:pPr>
    </w:p>
    <w:p>
      <w:pPr>
        <w:pStyle w:val="Heading3"/>
        <w:spacing w:after="80" w:before="240"/>
      </w:pPr>
      <w:r>
        <w:rPr>
          <w:rFonts w:ascii="Arial" w:cs="Arial" w:eastAsia="Arial" w:hAnsi="Arial"/>
          <w:b/>
          <w:bCs/>
          <w:color w:val="2D7A4F"/>
          <w:sz w:val="24"/>
          <w:szCs w:val="24"/>
        </w:rPr>
        <w:t xml:space="preserve">7.2  International Precedents</w:t>
      </w:r>
    </w:p>
    <w:p>
      <w:pPr>
        <w:pStyle w:val="ListParagraph"/>
        <w:numPr>
          <w:ilvl w:val="0"/>
          <w:numId w:val="2"/>
        </w:numPr>
        <w:spacing w:after="40" w:before="40"/>
      </w:pPr>
      <w:r>
        <w:rPr>
          <w:rFonts w:ascii="Arial" w:cs="Arial" w:eastAsia="Arial" w:hAnsi="Arial"/>
          <w:b w:val="false"/>
          <w:bCs w:val="false"/>
          <w:color w:val="1A1A1A"/>
          <w:sz w:val="22"/>
          <w:szCs w:val="22"/>
        </w:rPr>
        <w:t xml:space="preserve">Charity Navigator (USA): data-driven charity ratings demonstrably increase donor giving and shift funding towards accountable organisations</w:t>
      </w:r>
    </w:p>
    <w:p>
      <w:pPr>
        <w:pStyle w:val="ListParagraph"/>
        <w:numPr>
          <w:ilvl w:val="0"/>
          <w:numId w:val="2"/>
        </w:numPr>
        <w:spacing w:after="40" w:before="40"/>
      </w:pPr>
      <w:r>
        <w:rPr>
          <w:rFonts w:ascii="Arial" w:cs="Arial" w:eastAsia="Arial" w:hAnsi="Arial"/>
          <w:b w:val="false"/>
          <w:bCs w:val="false"/>
          <w:color w:val="1A1A1A"/>
          <w:sz w:val="22"/>
          <w:szCs w:val="22"/>
        </w:rPr>
        <w:t xml:space="preserve">LZS e-Wakalah Pilot (Oct 2025): blockchain-based Zakat distribution demonstrated immutable, traceable fund flows — AGP builds on the same transparency logic without requiring blockchain infrastructure</w:t>
      </w:r>
    </w:p>
    <w:p>
      <w:pPr>
        <w:pStyle w:val="ListParagraph"/>
        <w:numPr>
          <w:ilvl w:val="0"/>
          <w:numId w:val="2"/>
        </w:numPr>
        <w:spacing w:after="40" w:before="40"/>
      </w:pPr>
      <w:r>
        <w:rPr>
          <w:rFonts w:ascii="Arial" w:cs="Arial" w:eastAsia="Arial" w:hAnsi="Arial"/>
          <w:b w:val="false"/>
          <w:bCs w:val="false"/>
          <w:color w:val="1A1A1A"/>
          <w:sz w:val="22"/>
          <w:szCs w:val="22"/>
        </w:rPr>
        <w:t xml:space="preserve">UK Charity Commission: mandatory digital reporting and public registry is now the governance baseline for UK charities, increasing donor confidence significantly</w:t>
      </w:r>
    </w:p>
    <w:p>
      <w:pPr>
        <w:pStyle w:val="ListParagraph"/>
        <w:numPr>
          <w:ilvl w:val="0"/>
          <w:numId w:val="2"/>
        </w:numPr>
        <w:spacing w:after="40" w:before="40"/>
      </w:pPr>
      <w:r>
        <w:rPr>
          <w:rFonts w:ascii="Arial" w:cs="Arial" w:eastAsia="Arial" w:hAnsi="Arial"/>
          <w:b w:val="false"/>
          <w:bCs w:val="false"/>
          <w:color w:val="1A1A1A"/>
          <w:sz w:val="22"/>
          <w:szCs w:val="22"/>
        </w:rPr>
        <w:t xml:space="preserve">Academic research (JIABR, 2025): digital verification records significantly enhance trust in Islamic crowdfunding platforms</w:t>
      </w:r>
    </w:p>
    <w:p>
      <w:pPr>
        <w:spacing w:after="160" w:before="0"/>
      </w:pPr>
    </w:p>
    <w:p>
      <w:pPr>
        <w:spacing w:after="0" w:before="0"/>
      </w:pPr>
      <w:r>
        <w:br w:type="page"/>
      </w:r>
    </w:p>
    <w:p>
      <w:pPr>
        <w:pStyle w:val="Heading2"/>
        <w:pBdr>
          <w:bottom w:val="single" w:color="C8922A" w:sz="6" w:space="4"/>
        </w:pBdr>
        <w:spacing w:after="120" w:before="320"/>
      </w:pPr>
      <w:r>
        <w:rPr>
          <w:rFonts w:ascii="Arial" w:cs="Arial" w:eastAsia="Arial" w:hAnsi="Arial"/>
          <w:b/>
          <w:bCs/>
          <w:color w:val="1A4731"/>
          <w:sz w:val="28"/>
          <w:szCs w:val="28"/>
        </w:rPr>
        <w:t xml:space="preserve">8. Phased Implementation Roadmap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A4731" w:val="clear"/>
            <w:tcMar>
              <w:top w:type="dxa" w:w="100"/>
              <w:left w:type="dxa" w:w="160"/>
              <w:bottom w:type="dxa" w:w="100"/>
              <w:right w:type="dxa" w:w="160"/>
            </w:tcMar>
          </w:tcPr>
          <w:p>
            <w:r>
              <w:rPr>
                <w:rFonts w:ascii="Arial" w:cs="Arial" w:eastAsia="Arial" w:hAnsi="Arial"/>
                <w:b/>
                <w:bCs/>
                <w:color w:val="FFFFFF"/>
                <w:sz w:val="21"/>
                <w:szCs w:val="21"/>
              </w:rPr>
              <w:t xml:space="preserve">Phase</w:t>
            </w:r>
          </w:p>
        </w:tc>
        <w:tc>
          <w:tcPr>
            <w:tcW w:type="dxa" w:w="5760"/>
            <w:tcBorders>
              <w:top w:val="single" w:color="DDDDDD" w:sz="1"/>
              <w:left w:val="single" w:color="DDDDDD" w:sz="1"/>
              <w:bottom w:val="single" w:color="DDDDDD" w:sz="1"/>
              <w:right w:val="single" w:color="DDDDDD" w:sz="1"/>
            </w:tcBorders>
            <w:shd w:fill="1A4731" w:val="clear"/>
            <w:tcMar>
              <w:top w:type="dxa" w:w="100"/>
              <w:left w:type="dxa" w:w="160"/>
              <w:bottom w:type="dxa" w:w="100"/>
              <w:right w:type="dxa" w:w="160"/>
            </w:tcMar>
          </w:tcPr>
          <w:p>
            <w:r>
              <w:rPr>
                <w:rFonts w:ascii="Arial" w:cs="Arial" w:eastAsia="Arial" w:hAnsi="Arial"/>
                <w:b/>
                <w:bCs/>
                <w:color w:val="FFFFFF"/>
                <w:sz w:val="21"/>
                <w:szCs w:val="21"/>
              </w:rPr>
              <w:t xml:space="preserve">Scope &amp; Timeline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Phase 1 — Foundation (Current)</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Platform build complete. Both apps (AmanahHub public + AmanahHub Console admin) deployed. CTCF and Amanah Index engines live. Pilot-ready as of Q2 2026.</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Phase 2 — Pilot (Q2–Q3 2026)</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15–20 organisations onboarded with MAIN/JAKIM partnership. Full CTCF evaluation cycle. Amanah scores published. Donation flows live. Pilot report produced.</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Phase 3 — State Expansion (Q4 2026)</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Expand to 5+ states. Additional reviewer and scholar onboarding. Enhanced Waqf and Zakat fund type tracking. Integration with state council reporting systems where available.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Phase 4 — National Infrastructure (2027)</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Full national rollout. API integration with state zakat boards. Policy-aligned reporting standards formalised. Optional open-source handover to national Islamic council consortium.</w:t>
            </w:r>
          </w:p>
        </w:tc>
      </w:tr>
    </w:tbl>
    <w:p>
      <w:pPr>
        <w:spacing w:after="160" w:before="0"/>
      </w:pPr>
    </w:p>
    <w:p>
      <w:pPr>
        <w:pStyle w:val="Heading2"/>
        <w:pBdr>
          <w:bottom w:val="single" w:color="C8922A" w:sz="6" w:space="4"/>
        </w:pBdr>
        <w:spacing w:after="120" w:before="320"/>
      </w:pPr>
      <w:r>
        <w:rPr>
          <w:rFonts w:ascii="Arial" w:cs="Arial" w:eastAsia="Arial" w:hAnsi="Arial"/>
          <w:b/>
          <w:bCs/>
          <w:color w:val="1A4731"/>
          <w:sz w:val="28"/>
          <w:szCs w:val="28"/>
        </w:rPr>
        <w:t xml:space="preserve">9. Proposed Partnership Model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DDDDD" w:sz="1"/>
              <w:left w:val="single" w:color="DDDDDD" w:sz="1"/>
              <w:bottom w:val="single" w:color="DDDDDD" w:sz="1"/>
              <w:right w:val="single" w:color="DDDDDD" w:sz="1"/>
            </w:tcBorders>
            <w:shd w:fill="1A4731" w:val="clear"/>
            <w:tcMar>
              <w:top w:type="dxa" w:w="100"/>
              <w:left w:type="dxa" w:w="160"/>
              <w:bottom w:type="dxa" w:w="100"/>
              <w:right w:type="dxa" w:w="160"/>
            </w:tcMar>
          </w:tcPr>
          <w:p>
            <w:r>
              <w:rPr>
                <w:rFonts w:ascii="Arial" w:cs="Arial" w:eastAsia="Arial" w:hAnsi="Arial"/>
                <w:b/>
                <w:bCs/>
                <w:color w:val="FFFFFF"/>
                <w:sz w:val="21"/>
                <w:szCs w:val="21"/>
              </w:rPr>
              <w:t xml:space="preserve">Partner</w:t>
            </w:r>
          </w:p>
        </w:tc>
        <w:tc>
          <w:tcPr>
            <w:tcW w:type="dxa" w:w="5760"/>
            <w:tcBorders>
              <w:top w:val="single" w:color="DDDDDD" w:sz="1"/>
              <w:left w:val="single" w:color="DDDDDD" w:sz="1"/>
              <w:bottom w:val="single" w:color="DDDDDD" w:sz="1"/>
              <w:right w:val="single" w:color="DDDDDD" w:sz="1"/>
            </w:tcBorders>
            <w:shd w:fill="1A4731" w:val="clear"/>
            <w:tcMar>
              <w:top w:type="dxa" w:w="100"/>
              <w:left w:type="dxa" w:w="160"/>
              <w:bottom w:type="dxa" w:w="100"/>
              <w:right w:type="dxa" w:w="160"/>
            </w:tcMar>
          </w:tcPr>
          <w:p>
            <w:r>
              <w:rPr>
                <w:rFonts w:ascii="Arial" w:cs="Arial" w:eastAsia="Arial" w:hAnsi="Arial"/>
                <w:b/>
                <w:bCs/>
                <w:color w:val="FFFFFF"/>
                <w:sz w:val="21"/>
                <w:szCs w:val="21"/>
              </w:rPr>
              <w:t xml:space="preserve">Role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MAIN (State Islamic Councils)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Governance anchor for state-level certification. Nominate pilot organisations. Assign reviewers. Validate Shariah governance criteria for their jurisdictions.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JAKIM (Dept. of Awqaf, Zakat &amp; Hajj)</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National policy alignment. Ensure CTCF criteria meet federal Islamic governance standards. Support waqf and zakat fund type governance module.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Effort Studio (AGP Builder)</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Platform development, hosting, maintenance, onboarding support, and pilot coordination. All infrastructure costs absorbed at pilot stage.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Pilot Organisations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Mosques, waqf bodies, and NGOs participating as the proof cohort. Receive free access to the platform and governance improvement support.</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Shariah Scholars</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Advisory and review role on Layer 5 evaluations. Scholar notes flagged for publishability where appropriate.</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Academic Partners (optional)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1A1A1A"/>
                <w:sz w:val="21"/>
                <w:szCs w:val="21"/>
              </w:rPr>
              <w:t xml:space="preserve">Research validation, impact assessment, and publication support. IIUM, UTM, or UM engagement recommended.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160"/>
              <w:left w:type="dxa" w:w="240"/>
              <w:bottom w:type="dxa" w:w="160"/>
              <w:right w:type="dxa" w:w="240"/>
            </w:tcMar>
          </w:tcPr>
          <w:p>
            <w:pPr>
              <w:spacing w:after="0" w:before="0"/>
            </w:pPr>
            <w:r>
              <w:rPr>
                <w:rFonts w:ascii="Arial" w:cs="Arial" w:eastAsia="Arial" w:hAnsi="Arial"/>
                <w:b/>
                <w:bCs/>
                <w:color w:val="C8922A"/>
                <w:sz w:val="22"/>
                <w:szCs w:val="22"/>
              </w:rPr>
              <w:t xml:space="preserve">Cost to MAIN / JAKIM for Pilot:  </w:t>
            </w:r>
            <w:r>
              <w:rPr>
                <w:rFonts w:ascii="Arial" w:cs="Arial" w:eastAsia="Arial" w:hAnsi="Arial"/>
                <w:b w:val="false"/>
                <w:bCs w:val="false"/>
                <w:color w:val="1A1A1A"/>
                <w:sz w:val="22"/>
                <w:szCs w:val="22"/>
              </w:rPr>
              <w:t xml:space="preserve">Zero financial contribution required. We ask only for governance partnership, pilot organisation nominations, and advisory participation in the Steering Committee.</w:t>
            </w:r>
          </w:p>
        </w:tc>
      </w:tr>
    </w:tbl>
    <w:p>
      <w:pPr>
        <w:spacing w:after="160" w:before="0"/>
      </w:pPr>
    </w:p>
    <w:p>
      <w:pPr>
        <w:pStyle w:val="Heading2"/>
        <w:pBdr>
          <w:bottom w:val="single" w:color="C8922A" w:sz="6" w:space="4"/>
        </w:pBdr>
        <w:spacing w:after="120" w:before="320"/>
      </w:pPr>
      <w:r>
        <w:rPr>
          <w:rFonts w:ascii="Arial" w:cs="Arial" w:eastAsia="Arial" w:hAnsi="Arial"/>
          <w:b/>
          <w:bCs/>
          <w:color w:val="1A4731"/>
          <w:sz w:val="28"/>
          <w:szCs w:val="28"/>
        </w:rPr>
        <w:t xml:space="preserve">10. Sustainability and Long-Term Model</w:t>
      </w:r>
    </w:p>
    <w:p>
      <w:pPr>
        <w:spacing w:after="100" w:before="80"/>
        <w:jc w:val="both"/>
      </w:pPr>
      <w:r>
        <w:rPr>
          <w:rFonts w:ascii="Arial" w:cs="Arial" w:eastAsia="Arial" w:hAnsi="Arial"/>
          <w:b w:val="false"/>
          <w:bCs w:val="false"/>
          <w:color w:val="1A1A1A"/>
          <w:sz w:val="22"/>
          <w:szCs w:val="22"/>
        </w:rPr>
        <w:t xml:space="preserve">AGP is designed for long-term institutional sustainability, not grant dependency. The pilot is funded internally by Effort Studio. Post-pilot, the platform transitions to a lightweight sustainability model:</w:t>
      </w:r>
    </w:p>
    <w:p>
      <w:pPr>
        <w:spacing w:after="80" w:before="0"/>
      </w:pPr>
    </w:p>
    <w:p>
      <w:pPr>
        <w:pStyle w:val="ListParagraph"/>
        <w:numPr>
          <w:ilvl w:val="0"/>
          <w:numId w:val="2"/>
        </w:numPr>
        <w:spacing w:after="40" w:before="40"/>
      </w:pPr>
      <w:r>
        <w:rPr>
          <w:rFonts w:ascii="Arial" w:cs="Arial" w:eastAsia="Arial" w:hAnsi="Arial"/>
          <w:b w:val="false"/>
          <w:bCs w:val="false"/>
          <w:color w:val="1A1A1A"/>
          <w:sz w:val="22"/>
          <w:szCs w:val="22"/>
        </w:rPr>
        <w:t xml:space="preserve">Free tier for all pilot and early-partner organisations indefinitely</w:t>
      </w:r>
    </w:p>
    <w:p>
      <w:pPr>
        <w:pStyle w:val="ListParagraph"/>
        <w:numPr>
          <w:ilvl w:val="0"/>
          <w:numId w:val="2"/>
        </w:numPr>
        <w:spacing w:after="40" w:before="40"/>
      </w:pPr>
      <w:r>
        <w:rPr>
          <w:rFonts w:ascii="Arial" w:cs="Arial" w:eastAsia="Arial" w:hAnsi="Arial"/>
          <w:b w:val="false"/>
          <w:bCs w:val="false"/>
          <w:color w:val="1A1A1A"/>
          <w:sz w:val="22"/>
          <w:szCs w:val="22"/>
        </w:rPr>
        <w:t xml:space="preserve">Optional modest annual subscription for organisations seeking premium features (enhanced analytics, API access)</w:t>
      </w:r>
    </w:p>
    <w:p>
      <w:pPr>
        <w:pStyle w:val="ListParagraph"/>
        <w:numPr>
          <w:ilvl w:val="0"/>
          <w:numId w:val="2"/>
        </w:numPr>
        <w:spacing w:after="40" w:before="40"/>
      </w:pPr>
      <w:r>
        <w:rPr>
          <w:rFonts w:ascii="Arial" w:cs="Arial" w:eastAsia="Arial" w:hAnsi="Arial"/>
          <w:b w:val="false"/>
          <w:bCs w:val="false"/>
          <w:color w:val="1A1A1A"/>
          <w:sz w:val="22"/>
          <w:szCs w:val="22"/>
        </w:rPr>
        <w:t xml:space="preserve">Potential transaction fee model for donation flows (transparent, disclosed to donors and organisations)</w:t>
      </w:r>
    </w:p>
    <w:p>
      <w:pPr>
        <w:pStyle w:val="ListParagraph"/>
        <w:numPr>
          <w:ilvl w:val="0"/>
          <w:numId w:val="2"/>
        </w:numPr>
        <w:spacing w:after="40" w:before="40"/>
      </w:pPr>
      <w:r>
        <w:rPr>
          <w:rFonts w:ascii="Arial" w:cs="Arial" w:eastAsia="Arial" w:hAnsi="Arial"/>
          <w:b w:val="false"/>
          <w:bCs w:val="false"/>
          <w:color w:val="1A1A1A"/>
          <w:sz w:val="22"/>
          <w:szCs w:val="22"/>
        </w:rPr>
        <w:t xml:space="preserve">Government or zakat board sponsorship for specific national rollout phases</w:t>
      </w:r>
    </w:p>
    <w:p>
      <w:pPr>
        <w:pStyle w:val="ListParagraph"/>
        <w:numPr>
          <w:ilvl w:val="0"/>
          <w:numId w:val="2"/>
        </w:numPr>
        <w:spacing w:after="40" w:before="40"/>
      </w:pPr>
      <w:r>
        <w:rPr>
          <w:rFonts w:ascii="Arial" w:cs="Arial" w:eastAsia="Arial" w:hAnsi="Arial"/>
          <w:b w:val="false"/>
          <w:bCs w:val="false"/>
          <w:color w:val="1A1A1A"/>
          <w:sz w:val="22"/>
          <w:szCs w:val="22"/>
        </w:rPr>
        <w:t xml:space="preserve">Open-source codebase option: if MAIN/JAKIM wish to own the infrastructure long-term, the codebase can be handed over to a national Islamic council consortium with full documentation</w:t>
      </w:r>
    </w:p>
    <w:p>
      <w:pPr>
        <w:spacing w:after="160" w:before="0"/>
      </w:pPr>
    </w:p>
    <w:p>
      <w:pPr>
        <w:pStyle w:val="Heading2"/>
        <w:pBdr>
          <w:bottom w:val="single" w:color="C8922A" w:sz="6" w:space="4"/>
        </w:pBdr>
        <w:spacing w:after="120" w:before="320"/>
      </w:pPr>
      <w:r>
        <w:rPr>
          <w:rFonts w:ascii="Arial" w:cs="Arial" w:eastAsia="Arial" w:hAnsi="Arial"/>
          <w:b/>
          <w:bCs/>
          <w:color w:val="1A4731"/>
          <w:sz w:val="28"/>
          <w:szCs w:val="28"/>
        </w:rPr>
        <w:t xml:space="preserve">11. Proposed Next Steps</w:t>
      </w:r>
    </w:p>
    <w:p>
      <w:pPr>
        <w:spacing w:after="80" w:before="0"/>
      </w:pPr>
    </w:p>
    <w:p>
      <w:pPr>
        <w:pStyle w:val="ListParagraph"/>
        <w:numPr>
          <w:ilvl w:val="0"/>
          <w:numId w:val="3"/>
        </w:numPr>
        <w:spacing w:after="60" w:before="60"/>
      </w:pPr>
      <w:r>
        <w:rPr>
          <w:rFonts w:ascii="Arial" w:cs="Arial" w:eastAsia="Arial" w:hAnsi="Arial"/>
          <w:b w:val="false"/>
          <w:bCs w:val="false"/>
          <w:color w:val="1A1A1A"/>
          <w:sz w:val="22"/>
          <w:szCs w:val="22"/>
        </w:rPr>
        <w:t xml:space="preserve">Initial meeting between Effort Studio and MAIN/JAKIM representatives to present AGP and discuss alignment</w:t>
      </w:r>
    </w:p>
    <w:p>
      <w:pPr>
        <w:pStyle w:val="ListParagraph"/>
        <w:numPr>
          <w:ilvl w:val="0"/>
          <w:numId w:val="3"/>
        </w:numPr>
        <w:spacing w:after="60" w:before="60"/>
      </w:pPr>
      <w:r>
        <w:rPr>
          <w:rFonts w:ascii="Arial" w:cs="Arial" w:eastAsia="Arial" w:hAnsi="Arial"/>
          <w:b w:val="false"/>
          <w:bCs w:val="false"/>
          <w:color w:val="1A1A1A"/>
          <w:sz w:val="22"/>
          <w:szCs w:val="22"/>
        </w:rPr>
        <w:t xml:space="preserve">Technical briefing: live demonstration of AmanahHub platform and AmanahHub Console reviewer workflow</w:t>
      </w:r>
    </w:p>
    <w:p>
      <w:pPr>
        <w:pStyle w:val="ListParagraph"/>
        <w:numPr>
          <w:ilvl w:val="0"/>
          <w:numId w:val="3"/>
        </w:numPr>
        <w:spacing w:after="60" w:before="60"/>
      </w:pPr>
      <w:r>
        <w:rPr>
          <w:rFonts w:ascii="Arial" w:cs="Arial" w:eastAsia="Arial" w:hAnsi="Arial"/>
          <w:b w:val="false"/>
          <w:bCs w:val="false"/>
          <w:color w:val="1A1A1A"/>
          <w:sz w:val="22"/>
          <w:szCs w:val="22"/>
        </w:rPr>
        <w:t xml:space="preserve">Pilot organisation selection: MAIN/JAKIM nominates 15–20 organisations across 2–3 states</w:t>
      </w:r>
    </w:p>
    <w:p>
      <w:pPr>
        <w:pStyle w:val="ListParagraph"/>
        <w:numPr>
          <w:ilvl w:val="0"/>
          <w:numId w:val="3"/>
        </w:numPr>
        <w:spacing w:after="60" w:before="60"/>
      </w:pPr>
      <w:r>
        <w:rPr>
          <w:rFonts w:ascii="Arial" w:cs="Arial" w:eastAsia="Arial" w:hAnsi="Arial"/>
          <w:b w:val="false"/>
          <w:bCs w:val="false"/>
          <w:color w:val="1A1A1A"/>
          <w:sz w:val="22"/>
          <w:szCs w:val="22"/>
        </w:rPr>
        <w:t xml:space="preserve">MOU or letter of support signed between AGP/Effort Studio and participating MAIN councils</w:t>
      </w:r>
    </w:p>
    <w:p>
      <w:pPr>
        <w:pStyle w:val="ListParagraph"/>
        <w:numPr>
          <w:ilvl w:val="0"/>
          <w:numId w:val="3"/>
        </w:numPr>
        <w:spacing w:after="60" w:before="60"/>
      </w:pPr>
      <w:r>
        <w:rPr>
          <w:rFonts w:ascii="Arial" w:cs="Arial" w:eastAsia="Arial" w:hAnsi="Arial"/>
          <w:b w:val="false"/>
          <w:bCs w:val="false"/>
          <w:color w:val="1A1A1A"/>
          <w:sz w:val="22"/>
          <w:szCs w:val="22"/>
        </w:rPr>
        <w:t xml:space="preserve">Reviewer onboarding: MAIN/JAKIM-appointed reviewers trained on CTCF evaluation process</w:t>
      </w:r>
    </w:p>
    <w:p>
      <w:pPr>
        <w:pStyle w:val="ListParagraph"/>
        <w:numPr>
          <w:ilvl w:val="0"/>
          <w:numId w:val="3"/>
        </w:numPr>
        <w:spacing w:after="60" w:before="60"/>
      </w:pPr>
      <w:r>
        <w:rPr>
          <w:rFonts w:ascii="Arial" w:cs="Arial" w:eastAsia="Arial" w:hAnsi="Arial"/>
          <w:b w:val="false"/>
          <w:bCs w:val="false"/>
          <w:color w:val="1A1A1A"/>
          <w:sz w:val="22"/>
          <w:szCs w:val="22"/>
        </w:rPr>
        <w:t xml:space="preserve">Pilot launch: organisations onboarded, evidence uploaded, first scores computed and published</w:t>
      </w:r>
    </w:p>
    <w:p>
      <w:pPr>
        <w:pStyle w:val="ListParagraph"/>
        <w:numPr>
          <w:ilvl w:val="0"/>
          <w:numId w:val="3"/>
        </w:numPr>
        <w:spacing w:after="60" w:before="60"/>
      </w:pPr>
      <w:r>
        <w:rPr>
          <w:rFonts w:ascii="Arial" w:cs="Arial" w:eastAsia="Arial" w:hAnsi="Arial"/>
          <w:b w:val="false"/>
          <w:bCs w:val="false"/>
          <w:color w:val="1A1A1A"/>
          <w:sz w:val="22"/>
          <w:szCs w:val="22"/>
        </w:rPr>
        <w:t xml:space="preserve">Pilot review meeting at 6 weeks and final report at 12 weeks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D" w:val="clear"/>
            <w:tcMar>
              <w:top w:type="dxa" w:w="160"/>
              <w:left w:type="dxa" w:w="240"/>
              <w:bottom w:type="dxa" w:w="160"/>
              <w:right w:type="dxa" w:w="240"/>
            </w:tcMar>
          </w:tcPr>
          <w:p>
            <w:pPr>
              <w:spacing w:after="0" w:before="0"/>
            </w:pPr>
            <w:r>
              <w:rPr>
                <w:rFonts w:ascii="Arial" w:cs="Arial" w:eastAsia="Arial" w:hAnsi="Arial"/>
                <w:b/>
                <w:bCs/>
                <w:color w:val="2D7A4F"/>
                <w:sz w:val="22"/>
                <w:szCs w:val="22"/>
              </w:rPr>
              <w:t xml:space="preserve">To proceed:  </w:t>
            </w:r>
            <w:r>
              <w:rPr>
                <w:rFonts w:ascii="Arial" w:cs="Arial" w:eastAsia="Arial" w:hAnsi="Arial"/>
                <w:b w:val="false"/>
                <w:bCs w:val="false"/>
                <w:color w:val="1A1A1A"/>
                <w:sz w:val="22"/>
                <w:szCs w:val="22"/>
              </w:rPr>
              <w:t xml:space="preserve">Please contact Darya Malak at Effort Studio to schedule an initial alignment meeting. We are ready to present a live demonstration of the platform at your earliest convenience.</w:t>
            </w:r>
          </w:p>
        </w:tc>
      </w:tr>
    </w:tbl>
    <w:p>
      <w:pPr>
        <w:spacing w:after="160" w:before="0"/>
      </w:pPr>
    </w:p>
    <w:p>
      <w:pPr>
        <w:pStyle w:val="Heading2"/>
        <w:pBdr>
          <w:bottom w:val="single" w:color="C8922A" w:sz="6" w:space="4"/>
        </w:pBdr>
        <w:spacing w:after="120" w:before="320"/>
      </w:pPr>
      <w:r>
        <w:rPr>
          <w:rFonts w:ascii="Arial" w:cs="Arial" w:eastAsia="Arial" w:hAnsi="Arial"/>
          <w:b/>
          <w:bCs/>
          <w:color w:val="1A4731"/>
          <w:sz w:val="28"/>
          <w:szCs w:val="28"/>
        </w:rPr>
        <w:t xml:space="preserve">Closing: On Amanah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none" w:color="FFFFFF" w:sz="0"/>
              <w:bottom w:val="none" w:color="FFFFFF" w:sz="0"/>
              <w:right w:val="none" w:color="FFFFFF" w:sz="0"/>
            </w:tcBorders>
            <w:shd w:fill="E8F5ED" w:val="clear"/>
            <w:tcMar>
              <w:top w:type="dxa" w:w="320"/>
              <w:left w:type="dxa" w:w="480"/>
              <w:bottom w:type="dxa" w:w="320"/>
              <w:right w:type="dxa" w:w="480"/>
            </w:tcMar>
          </w:tcPr>
          <w:p>
            <w:pPr>
              <w:spacing w:after="80" w:before="0"/>
              <w:jc w:val="center"/>
            </w:pPr>
            <w:r>
              <w:rPr>
                <w:rFonts w:ascii="Georgia" w:cs="Georgia" w:eastAsia="Georgia" w:hAnsi="Georgia"/>
                <w:i/>
                <w:iCs/>
                <w:color w:val="1A4731"/>
                <w:sz w:val="26"/>
                <w:szCs w:val="26"/>
              </w:rPr>
              <w:t xml:space="preserve">“Indeed, Allah commands you to render trusts to whom they are due.”</w:t>
            </w:r>
          </w:p>
          <w:p>
            <w:pPr>
              <w:spacing w:after="0" w:before="0"/>
              <w:jc w:val="center"/>
            </w:pPr>
            <w:r>
              <w:rPr>
                <w:rFonts w:ascii="Arial" w:cs="Arial" w:eastAsia="Arial" w:hAnsi="Arial"/>
                <w:b w:val="false"/>
                <w:bCs w:val="false"/>
                <w:color w:val="555555"/>
                <w:sz w:val="20"/>
                <w:szCs w:val="20"/>
              </w:rPr>
              <w:t xml:space="preserve">— Surah An-Nisa, 4:58</w:t>
            </w:r>
          </w:p>
        </w:tc>
      </w:tr>
    </w:tbl>
    <w:p>
      <w:pPr>
        <w:spacing w:after="160" w:before="0"/>
      </w:pPr>
    </w:p>
    <w:p>
      <w:pPr>
        <w:spacing w:after="100" w:before="80"/>
        <w:jc w:val="both"/>
      </w:pPr>
      <w:r>
        <w:rPr>
          <w:rFonts w:ascii="Arial" w:cs="Arial" w:eastAsia="Arial" w:hAnsi="Arial"/>
          <w:b w:val="false"/>
          <w:bCs w:val="false"/>
          <w:color w:val="1A1A1A"/>
          <w:sz w:val="22"/>
          <w:szCs w:val="22"/>
        </w:rPr>
        <w:t xml:space="preserve">The Amanah Governance Platform is built on a conviction that Islamic philanthropy deserves the same rigour, transparency, and accountability infrastructure that we expect from any well-governed institution — and that donors, scholars, and regulators working together can build a sector where trust is not assumed but earned, demonstrated, and sustained.</w:t>
      </w:r>
    </w:p>
    <w:p>
      <w:pPr>
        <w:spacing w:after="80" w:before="0"/>
      </w:pPr>
    </w:p>
    <w:p>
      <w:pPr>
        <w:spacing w:after="100" w:before="80"/>
        <w:jc w:val="both"/>
      </w:pPr>
      <w:r>
        <w:rPr>
          <w:rFonts w:ascii="Arial" w:cs="Arial" w:eastAsia="Arial" w:hAnsi="Arial"/>
          <w:b w:val="false"/>
          <w:bCs w:val="false"/>
          <w:color w:val="1A1A1A"/>
          <w:sz w:val="22"/>
          <w:szCs w:val="22"/>
        </w:rPr>
        <w:t xml:space="preserve">We believe MAIN and JAKIM are the right institutional partners to anchor this work. The governance mandate, the community trust, and the regulatory reach are already in your hands. AGP provides the digital infrastructure to make that governance visible, verifiable, and lasting.</w:t>
      </w:r>
    </w:p>
    <w:p>
      <w:pPr>
        <w:spacing w:after="80" w:before="0"/>
      </w:pPr>
    </w:p>
    <w:p>
      <w:pPr>
        <w:spacing w:after="100" w:before="80"/>
        <w:jc w:val="both"/>
      </w:pPr>
      <w:r>
        <w:rPr>
          <w:rFonts w:ascii="Arial" w:cs="Arial" w:eastAsia="Arial" w:hAnsi="Arial"/>
          <w:b w:val="false"/>
          <w:bCs w:val="false"/>
          <w:color w:val="1A1A1A"/>
          <w:sz w:val="22"/>
          <w:szCs w:val="22"/>
        </w:rPr>
        <w:t xml:space="preserve">We welcome the opportunity to build this together. In shaa Allah.</w:t>
      </w:r>
    </w:p>
    <w:p>
      <w:pPr>
        <w:spacing w:after="200" w:before="0"/>
      </w:pPr>
    </w:p>
    <w:p>
      <w:pPr>
        <w:spacing w:after="0" w:before="0"/>
        <w:jc w:val="right"/>
      </w:pPr>
      <w:r>
        <w:rPr>
          <w:rFonts w:ascii="Arial" w:cs="Arial" w:eastAsia="Arial" w:hAnsi="Arial"/>
          <w:b/>
          <w:bCs/>
          <w:color w:val="1A4731"/>
          <w:sz w:val="22"/>
          <w:szCs w:val="22"/>
        </w:rPr>
        <w:t xml:space="preserve">Darya Malak</w:t>
      </w:r>
      <w:r>
        <w:rPr>
          <w:rFonts w:ascii="Arial" w:cs="Arial" w:eastAsia="Arial" w:hAnsi="Arial"/>
          <w:color w:val="555555"/>
          <w:sz w:val="20"/>
          <w:szCs w:val="20"/>
        </w:rPr>
        <w:t xml:space="preserve">
Effort Studio</w:t>
      </w:r>
      <w:r>
        <w:rPr>
          <w:rFonts w:ascii="Arial" w:cs="Arial" w:eastAsia="Arial" w:hAnsi="Arial"/>
          <w:color w:val="555555"/>
          <w:sz w:val="20"/>
          <w:szCs w:val="20"/>
        </w:rPr>
        <w:t xml:space="preserve">
Amanah Governance Platform</w:t>
      </w:r>
      <w:r>
        <w:rPr>
          <w:rFonts w:ascii="Arial" w:cs="Arial" w:eastAsia="Arial" w:hAnsi="Arial"/>
          <w:color w:val="555555"/>
          <w:sz w:val="20"/>
          <w:szCs w:val="20"/>
        </w:rPr>
        <w:t xml:space="preserve">
April 2026</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4" w:space="4"/>
      </w:pBdr>
      <w:spacing w:after="0" w:before="120"/>
      <w:jc w:val="right"/>
    </w:pPr>
    <w:r>
      <w:rPr>
        <w:rFonts w:ascii="Arial" w:cs="Arial" w:eastAsia="Arial" w:hAnsi="Arial"/>
        <w:b w:val="false"/>
        <w:bCs w:val="false"/>
        <w:i/>
        <w:iCs/>
        <w:color w:val="555555"/>
        <w:sz w:val="18"/>
        <w:szCs w:val="18"/>
      </w:rPr>
      <w:t xml:space="preserve">Confidential — Prepared by Effort Studio for MAIN / JAKIM</w:t>
    </w:r>
    <w:r>
      <w:rPr>
        <w:rFonts w:ascii="Arial" w:cs="Arial" w:eastAsia="Arial" w:hAnsi="Arial"/>
        <w:color w:val="555555"/>
        <w:sz w:val="18"/>
        <w:szCs w:val="18"/>
      </w:rPr>
      <w:t xml:space="preserve"> |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922A" w:sz="4" w:space="4"/>
      </w:pBdr>
      <w:spacing w:after="120" w:before="0"/>
    </w:pPr>
    <w:r>
      <w:rPr>
        <w:rFonts w:ascii="Arial" w:cs="Arial" w:eastAsia="Arial" w:hAnsi="Arial"/>
        <w:b/>
        <w:bCs/>
        <w:color w:val="1A4731"/>
        <w:sz w:val="18"/>
        <w:szCs w:val="18"/>
      </w:rPr>
      <w:t xml:space="preserve">AMANAH GOVERNANCE PLATFORM</w:t>
    </w:r>
    <w:r>
      <w:rPr>
        <w:rFonts w:ascii="Arial" w:cs="Arial" w:eastAsia="Arial" w:hAnsi="Arial"/>
        <w:b w:val="false"/>
        <w:bCs w:val="false"/>
        <w:color w:val="555555"/>
        <w:sz w:val="18"/>
        <w:szCs w:val="18"/>
      </w:rPr>
      <w:t xml:space="preserve">   |   Institutional Partnership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4731"/>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D7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2026-04-10T23:37:05.486Z</dcterms:created>
  <dcterms:modified xsi:type="dcterms:W3CDTF">2026-04-10T23:37:05.486Z</dcterms:modified>
</cp:coreProperties>
</file>

<file path=docProps/custom.xml><?xml version="1.0" encoding="utf-8"?>
<Properties xmlns="http://schemas.openxmlformats.org/officeDocument/2006/custom-properties" xmlns:vt="http://schemas.openxmlformats.org/officeDocument/2006/docPropsVTypes"/>
</file>