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F4E79"/>
          <w:sz w:val="72"/>
          <w:szCs w:val="72"/>
        </w:rPr>
        <w:t xml:space="preserve">LADOS V4</w:t>
      </w:r>
    </w:p>
    <w:p>
      <w:pPr>
        <w:spacing w:after="200" w:before="0"/>
        <w:jc w:val="center"/>
      </w:pPr>
      <w:r>
        <w:rPr>
          <w:rFonts w:ascii="Arial" w:cs="Arial" w:eastAsia="Arial" w:hAnsi="Arial"/>
          <w:color w:val="2E75B6"/>
          <w:sz w:val="48"/>
          <w:szCs w:val="48"/>
        </w:rPr>
        <w:t xml:space="preserve">Lados Core Engine</w:t>
      </w:r>
    </w:p>
    <w:p>
      <w:pPr>
        <w:spacing w:after="600" w:before="0"/>
        <w:jc w:val="center"/>
      </w:pPr>
      <w:r>
        <w:rPr>
          <w:rFonts w:ascii="Arial" w:cs="Arial" w:eastAsia="Arial" w:hAnsi="Arial"/>
          <w:b/>
          <w:bCs/>
          <w:color w:val="1A1A2E"/>
          <w:sz w:val="40"/>
          <w:szCs w:val="40"/>
        </w:rPr>
        <w:t xml:space="preserve">Volume 1 — Core Architecture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Document ID</w:t>
            </w:r>
          </w:p>
        </w:tc>
        <w:tc>
          <w:tcPr>
            <w:tcW w:type="dxa" w:w="60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LADOS-LCE-V1-001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Version</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Status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Architecture Frozen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2026-06-27</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Engine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Lados Core Engine (LCE) V4</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Package Namespace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@lados/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Applies To</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LCE components, packs, and solutions</w:t>
            </w:r>
          </w:p>
        </w:tc>
      </w:tr>
    </w:tbl>
    <w:p>
      <w:r>
        <w:br w:type="page"/>
      </w:r>
    </w:p>
    <w:p>
      <w:pPr>
        <w:pStyle w:val="Heading1"/>
        <w:pBdr>
          <w:bottom w:val="single" w:color="2E75B6" w:sz="6" w:space="4"/>
        </w:pBdr>
        <w:spacing w:after="200" w:before="360"/>
      </w:pPr>
      <w:r>
        <w:rPr>
          <w:rFonts w:ascii="Arial" w:cs="Arial" w:eastAsia="Arial" w:hAnsi="Arial"/>
          <w:b/>
          <w:bCs/>
          <w:color w:val="1F4E79"/>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75B6" w:sz="6" w:space="4"/>
        </w:pBdr>
        <w:spacing w:after="200" w:before="360"/>
      </w:pPr>
      <w:r>
        <w:rPr>
          <w:rFonts w:ascii="Arial" w:cs="Arial" w:eastAsia="Arial" w:hAnsi="Arial"/>
          <w:b/>
          <w:bCs/>
          <w:color w:val="1F4E79"/>
          <w:sz w:val="32"/>
          <w:szCs w:val="32"/>
        </w:rPr>
        <w:t xml:space="preserve">1. Introduction</w:t>
      </w:r>
    </w:p>
    <w:p>
      <w:pPr>
        <w:pStyle w:val="Heading2"/>
        <w:spacing w:after="140" w:before="280"/>
      </w:pPr>
      <w:r>
        <w:rPr>
          <w:rFonts w:ascii="Arial" w:cs="Arial" w:eastAsia="Arial" w:hAnsi="Arial"/>
          <w:b/>
          <w:bCs/>
          <w:color w:val="2E75B6"/>
          <w:sz w:val="26"/>
          <w:szCs w:val="26"/>
        </w:rPr>
        <w:t xml:space="preserve">1.1 Purpose of This Document</w:t>
      </w:r>
    </w:p>
    <w:p>
      <w:pPr>
        <w:spacing w:after="80" w:before="80"/>
        <w:jc w:val="both"/>
      </w:pPr>
      <w:r>
        <w:rPr>
          <w:rFonts w:ascii="Arial" w:cs="Arial" w:eastAsia="Arial" w:hAnsi="Arial"/>
          <w:sz w:val="22"/>
          <w:szCs w:val="22"/>
        </w:rPr>
        <w:t xml:space="preserve">This document is the primary architectural reference for the Lados Core Engine (LCE) V4. It defines what LCE is, the problem it solves, its structural layers, technology stack, core design decisions, and the principles that govern all future development. Every other LCE Volume document derives its scope from the architecture defined here.</w:t>
      </w:r>
    </w:p>
    <w:p>
      <w:pPr>
        <w:spacing w:after="80" w:before="80"/>
        <w:jc w:val="both"/>
      </w:pPr>
      <w:r>
        <w:rPr>
          <w:rFonts w:ascii="Arial" w:cs="Arial" w:eastAsia="Arial" w:hAnsi="Arial"/>
          <w:sz w:val="22"/>
          <w:szCs w:val="22"/>
        </w:rPr>
        <w:t xml:space="preserve">This Volume is the starting point for every engineer, architect, and product decision maker working on or with the Lados platform.</w:t>
      </w:r>
    </w:p>
    <w:p>
      <w:pPr>
        <w:spacing w:after="80" w:before="80"/>
      </w:pPr>
      <w:r>
        <w:t xml:space="preserve"/>
      </w:r>
    </w:p>
    <w:p>
      <w:pPr>
        <w:pStyle w:val="Heading2"/>
        <w:spacing w:after="140" w:before="280"/>
      </w:pPr>
      <w:r>
        <w:rPr>
          <w:rFonts w:ascii="Arial" w:cs="Arial" w:eastAsia="Arial" w:hAnsi="Arial"/>
          <w:b/>
          <w:bCs/>
          <w:color w:val="2E75B6"/>
          <w:sz w:val="26"/>
          <w:szCs w:val="26"/>
        </w:rPr>
        <w:t xml:space="preserve">1.2 What Lados Is</w:t>
      </w:r>
    </w:p>
    <w:p>
      <w:pPr>
        <w:spacing w:after="80" w:before="80"/>
        <w:jc w:val="both"/>
      </w:pPr>
      <w:r>
        <w:rPr>
          <w:rFonts w:ascii="Arial" w:cs="Arial" w:eastAsia="Arial" w:hAnsi="Arial"/>
          <w:sz w:val="22"/>
          <w:szCs w:val="22"/>
        </w:rPr>
        <w:t xml:space="preserve">Lados is a metadata-driven business automation platform. It is not an ERP, not a project management tool, and not a vertical SaaS product. It is a reusable engine on which domain-specific business solutions are composed and run.</w:t>
      </w:r>
    </w:p>
    <w:p>
      <w:pPr>
        <w:spacing w:after="80" w:before="80"/>
        <w:jc w:val="both"/>
      </w:pPr>
      <w:r>
        <w:rPr>
          <w:rFonts w:ascii="Arial" w:cs="Arial" w:eastAsia="Arial" w:hAnsi="Arial"/>
          <w:sz w:val="22"/>
          <w:szCs w:val="22"/>
        </w:rPr>
        <w:t xml:space="preserve">The engine is called the Lados Core Engine (LCE). Every solution — Contractor Edition, Procurement Edition, LEOS / JKR — is a configuration of packs, resources, workflows, nodes, states, and AI tools built on top of LCE. The engine does not know about tipper lorries, invoices, or procurement contracts. The packs do.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2"/>
              <w:bottom w:val="single" w:color="2E75B6" w:sz="4"/>
              <w:right w:val="none" w:color="FFFFFF" w:sz="0"/>
            </w:tcBorders>
            <w:shd w:fill="D6E4F0" w:val="clear"/>
            <w:tcMar>
              <w:top w:type="dxa" w:w="120"/>
              <w:left w:type="dxa" w:w="200"/>
              <w:bottom w:type="dxa" w:w="120"/>
              <w:right w:type="dxa" w:w="120"/>
            </w:tcMar>
          </w:tcPr>
          <w:p>
            <w:r>
              <w:rPr>
                <w:rFonts w:ascii="Arial" w:cs="Arial" w:eastAsia="Arial" w:hAnsi="Arial"/>
                <w:b/>
                <w:bCs/>
                <w:color w:val="1F4E79"/>
                <w:sz w:val="20"/>
                <w:szCs w:val="20"/>
              </w:rPr>
              <w:t xml:space="preserve">Core Principle</w:t>
            </w:r>
          </w:p>
          <w:p>
            <w:pPr>
              <w:spacing w:before="60"/>
            </w:pPr>
            <w:r>
              <w:rPr>
                <w:rFonts w:ascii="Arial" w:cs="Arial" w:eastAsia="Arial" w:hAnsi="Arial"/>
                <w:color w:val="1A1A2E"/>
                <w:sz w:val="20"/>
                <w:szCs w:val="20"/>
              </w:rPr>
              <w:t xml:space="preserve">The screen is the last expression. The resource model and workflow definition are the product. When you consistently ask 'what engine capability does this need?' instead of 'how do we build this screen?', the engine stays elegant and reusable — even as solutions grow from a one-owner contractor to a government agency.</w:t>
            </w:r>
          </w:p>
        </w:tc>
      </w:tr>
    </w:tbl>
    <w:p>
      <w:pPr>
        <w:spacing w:after="80" w:before="80"/>
      </w:pPr>
      <w:r>
        <w:t xml:space="preserve"/>
      </w:r>
    </w:p>
    <w:p>
      <w:pPr>
        <w:pStyle w:val="Heading2"/>
        <w:spacing w:after="140" w:before="280"/>
      </w:pPr>
      <w:r>
        <w:rPr>
          <w:rFonts w:ascii="Arial" w:cs="Arial" w:eastAsia="Arial" w:hAnsi="Arial"/>
          <w:b/>
          <w:bCs/>
          <w:color w:val="2E75B6"/>
          <w:sz w:val="26"/>
          <w:szCs w:val="26"/>
        </w:rPr>
        <w:t xml:space="preserve">1.3 Platform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Field</w:t>
            </w:r>
          </w:p>
        </w:tc>
        <w:tc>
          <w:tcPr>
            <w:tcW w:type="dxa" w:w="6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Platform Name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Lados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Engine Name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Lados Core Engine (LCE)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Engine Version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LCE V4</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Package Namespace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@lados/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Former Names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QS-OS, V3, @qsos/ (historical — retired)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First Solution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Contractor Edition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Government Solution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LEOS / JKR (deferred until Contractor Edition proves the engine)</w:t>
            </w:r>
          </w:p>
        </w:tc>
      </w:tr>
    </w:tbl>
    <w:p>
      <w:pPr>
        <w:spacing w:after="80" w:before="80"/>
      </w:pPr>
      <w:r>
        <w:t xml:space="preserve"/>
      </w:r>
    </w:p>
    <w:p>
      <w:pPr>
        <w:spacing w:after="80" w:before="80"/>
        <w:jc w:val="both"/>
      </w:pPr>
      <w:r>
        <w:rPr>
          <w:rFonts w:ascii="Arial" w:cs="Arial" w:eastAsia="Arial" w:hAnsi="Arial"/>
          <w:sz w:val="22"/>
          <w:szCs w:val="22"/>
        </w:rPr>
        <w:t xml:space="preserve">Former names are preserved only in git history and migration notes. All active code, documentation, and UI uses the Lados identity and @lados/ package namespace.</w:t>
      </w:r>
    </w:p>
    <w:p>
      <w:pPr>
        <w:spacing w:after="80" w:before="80"/>
      </w:pPr>
      <w:r>
        <w:t xml:space="preserve"/>
      </w:r>
    </w:p>
    <w:p>
      <w:pPr>
        <w:pStyle w:val="Heading2"/>
        <w:spacing w:after="140" w:before="280"/>
      </w:pPr>
      <w:r>
        <w:rPr>
          <w:rFonts w:ascii="Arial" w:cs="Arial" w:eastAsia="Arial" w:hAnsi="Arial"/>
          <w:b/>
          <w:bCs/>
          <w:color w:val="2E75B6"/>
          <w:sz w:val="26"/>
          <w:szCs w:val="26"/>
        </w:rPr>
        <w:t xml:space="preserve">1.4 LCE V4 Is Not a Rewrite</w:t>
      </w:r>
    </w:p>
    <w:p>
      <w:pPr>
        <w:spacing w:after="80" w:before="80"/>
        <w:jc w:val="both"/>
      </w:pPr>
      <w:r>
        <w:rPr>
          <w:rFonts w:ascii="Arial" w:cs="Arial" w:eastAsia="Arial" w:hAnsi="Arial"/>
          <w:sz w:val="22"/>
          <w:szCs w:val="22"/>
        </w:rPr>
        <w:t xml:space="preserve">LCE V4 is an evolutionary upgrade of the existing Lados V3 / QS-WFUI platform. The codebase audit (documented in V4 Volume 0 — Architecture Freeze &amp; Migration Blueprint) concluded that the underlying architecture is already strong. The correct approach is evolutionary migration:</w:t>
      </w:r>
    </w:p>
    <w:p>
      <w:pPr>
        <w:pStyle w:val="ListParagraph"/>
        <w:numPr>
          <w:ilvl w:val="0"/>
          <w:numId w:val="2"/>
        </w:numPr>
        <w:spacing w:after="60" w:before="60"/>
      </w:pPr>
      <w:r>
        <w:rPr>
          <w:rFonts w:ascii="Arial" w:cs="Arial" w:eastAsia="Arial" w:hAnsi="Arial"/>
          <w:sz w:val="22"/>
          <w:szCs w:val="22"/>
        </w:rPr>
        <w:t xml:space="preserve">The monorepo structure, NestJS backend, React frontend, and React Flow canvas are preserved.</w:t>
      </w:r>
    </w:p>
    <w:p>
      <w:pPr>
        <w:pStyle w:val="ListParagraph"/>
        <w:numPr>
          <w:ilvl w:val="0"/>
          <w:numId w:val="2"/>
        </w:numPr>
        <w:spacing w:after="60" w:before="60"/>
      </w:pPr>
      <w:r>
        <w:rPr>
          <w:rFonts w:ascii="Arial" w:cs="Arial" w:eastAsia="Arial" w:hAnsi="Arial"/>
          <w:sz w:val="22"/>
          <w:szCs w:val="22"/>
        </w:rPr>
        <w:t xml:space="preserve">The Node SDK, Pack SDK, Workflow JSON, Execution Engine, database migrations, backend APIs, AI services, approval and checkpoint logic are preserved.</w:t>
      </w:r>
    </w:p>
    <w:p>
      <w:pPr>
        <w:pStyle w:val="ListParagraph"/>
        <w:numPr>
          <w:ilvl w:val="0"/>
          <w:numId w:val="2"/>
        </w:numPr>
        <w:spacing w:after="60" w:before="60"/>
      </w:pPr>
      <w:r>
        <w:rPr>
          <w:rFonts w:ascii="Arial" w:cs="Arial" w:eastAsia="Arial" w:hAnsi="Arial"/>
          <w:sz w:val="22"/>
          <w:szCs w:val="22"/>
        </w:rPr>
        <w:t xml:space="preserve">V4 effort focuses on Node Manifest V2, metadata-driven UI, frontend State Engine, frontend Event Bus, Resource Bindings, and Workspace model.</w:t>
      </w:r>
    </w:p>
    <w:p>
      <w:pPr>
        <w:spacing w:after="80" w:before="80"/>
      </w:pPr>
      <w:r>
        <w:t xml:space="preserve"/>
      </w:r>
    </w:p>
    <w:p>
      <w:r>
        <w:br w:type="page"/>
      </w:r>
    </w:p>
    <w:p>
      <w:pPr>
        <w:pStyle w:val="Heading1"/>
        <w:pBdr>
          <w:bottom w:val="single" w:color="2E75B6" w:sz="6" w:space="4"/>
        </w:pBdr>
        <w:spacing w:after="200" w:before="360"/>
      </w:pPr>
      <w:r>
        <w:rPr>
          <w:rFonts w:ascii="Arial" w:cs="Arial" w:eastAsia="Arial" w:hAnsi="Arial"/>
          <w:b/>
          <w:bCs/>
          <w:color w:val="1F4E79"/>
          <w:sz w:val="32"/>
          <w:szCs w:val="32"/>
        </w:rPr>
        <w:t xml:space="preserve">2. The Engine Equation</w:t>
      </w:r>
    </w:p>
    <w:p>
      <w:pPr>
        <w:spacing w:after="80" w:before="80"/>
        <w:jc w:val="both"/>
      </w:pPr>
      <w:r>
        <w:rPr>
          <w:rFonts w:ascii="Arial" w:cs="Arial" w:eastAsia="Arial" w:hAnsi="Arial"/>
          <w:sz w:val="22"/>
          <w:szCs w:val="22"/>
        </w:rPr>
        <w:t xml:space="preserve">LCE is the sum of ten interdependent components. Each has a single, bounded responsibility. The engine does not mix responsibilities between components.</w:t>
      </w:r>
    </w:p>
    <w:p>
      <w:pPr>
        <w:spacing w:after="80" w:before="80"/>
      </w:pPr>
      <w:r>
        <w:t xml:space="preserve"/>
      </w:r>
    </w:p>
    <w:p>
      <w:pPr>
        <w:shd w:fill="F0F0F0" w:val="clear"/>
        <w:spacing w:after="20" w:before="20"/>
        <w:ind w:left="720"/>
      </w:pPr>
      <w:r>
        <w:rPr>
          <w:rFonts w:ascii="Courier New" w:cs="Courier New" w:eastAsia="Courier New" w:hAnsi="Courier New"/>
          <w:color w:val="2B2B2B"/>
          <w:sz w:val="18"/>
          <w:szCs w:val="18"/>
        </w:rPr>
        <w:t xml:space="preserve">LCE  =  Workflow Engine</w:t>
      </w:r>
    </w:p>
    <w:p>
      <w:pPr>
        <w:shd w:fill="F0F0F0" w:val="clear"/>
        <w:spacing w:after="20" w:before="20"/>
        <w:ind w:left="720"/>
      </w:pPr>
      <w:r>
        <w:rPr>
          <w:rFonts w:ascii="Courier New" w:cs="Courier New" w:eastAsia="Courier New" w:hAnsi="Courier New"/>
          <w:color w:val="2B2B2B"/>
          <w:sz w:val="18"/>
          <w:szCs w:val="18"/>
        </w:rPr>
        <w:t xml:space="preserve">     +  Node System</w:t>
      </w:r>
    </w:p>
    <w:p>
      <w:pPr>
        <w:shd w:fill="F0F0F0" w:val="clear"/>
        <w:spacing w:after="20" w:before="20"/>
        <w:ind w:left="720"/>
      </w:pPr>
      <w:r>
        <w:rPr>
          <w:rFonts w:ascii="Courier New" w:cs="Courier New" w:eastAsia="Courier New" w:hAnsi="Courier New"/>
          <w:color w:val="2B2B2B"/>
          <w:sz w:val="18"/>
          <w:szCs w:val="18"/>
        </w:rPr>
        <w:t xml:space="preserve">     +  Pack System</w:t>
      </w:r>
    </w:p>
    <w:p>
      <w:pPr>
        <w:shd w:fill="F0F0F0" w:val="clear"/>
        <w:spacing w:after="20" w:before="20"/>
        <w:ind w:left="720"/>
      </w:pPr>
      <w:r>
        <w:rPr>
          <w:rFonts w:ascii="Courier New" w:cs="Courier New" w:eastAsia="Courier New" w:hAnsi="Courier New"/>
          <w:color w:val="2B2B2B"/>
          <w:sz w:val="18"/>
          <w:szCs w:val="18"/>
        </w:rPr>
        <w:t xml:space="preserve">     +  Resource Engine</w:t>
      </w:r>
    </w:p>
    <w:p>
      <w:pPr>
        <w:shd w:fill="F0F0F0" w:val="clear"/>
        <w:spacing w:after="20" w:before="20"/>
        <w:ind w:left="720"/>
      </w:pPr>
      <w:r>
        <w:rPr>
          <w:rFonts w:ascii="Courier New" w:cs="Courier New" w:eastAsia="Courier New" w:hAnsi="Courier New"/>
          <w:color w:val="2B2B2B"/>
          <w:sz w:val="18"/>
          <w:szCs w:val="18"/>
        </w:rPr>
        <w:t xml:space="preserve">     +  Event Bus</w:t>
      </w:r>
    </w:p>
    <w:p>
      <w:pPr>
        <w:shd w:fill="F0F0F0" w:val="clear"/>
        <w:spacing w:after="20" w:before="20"/>
        <w:ind w:left="720"/>
      </w:pPr>
      <w:r>
        <w:rPr>
          <w:rFonts w:ascii="Courier New" w:cs="Courier New" w:eastAsia="Courier New" w:hAnsi="Courier New"/>
          <w:color w:val="2B2B2B"/>
          <w:sz w:val="18"/>
          <w:szCs w:val="18"/>
        </w:rPr>
        <w:t xml:space="preserve">     +  State Engine</w:t>
      </w:r>
    </w:p>
    <w:p>
      <w:pPr>
        <w:shd w:fill="F0F0F0" w:val="clear"/>
        <w:spacing w:after="20" w:before="20"/>
        <w:ind w:left="720"/>
      </w:pPr>
      <w:r>
        <w:rPr>
          <w:rFonts w:ascii="Courier New" w:cs="Courier New" w:eastAsia="Courier New" w:hAnsi="Courier New"/>
          <w:color w:val="2B2B2B"/>
          <w:sz w:val="18"/>
          <w:szCs w:val="18"/>
        </w:rPr>
        <w:t xml:space="preserve">     +  Security Engine</w:t>
      </w:r>
    </w:p>
    <w:p>
      <w:pPr>
        <w:shd w:fill="F0F0F0" w:val="clear"/>
        <w:spacing w:after="20" w:before="20"/>
        <w:ind w:left="720"/>
      </w:pPr>
      <w:r>
        <w:rPr>
          <w:rFonts w:ascii="Courier New" w:cs="Courier New" w:eastAsia="Courier New" w:hAnsi="Courier New"/>
          <w:color w:val="2B2B2B"/>
          <w:sz w:val="18"/>
          <w:szCs w:val="18"/>
        </w:rPr>
        <w:t xml:space="preserve">     +  Foundation Pack</w:t>
      </w:r>
    </w:p>
    <w:p>
      <w:pPr>
        <w:shd w:fill="F0F0F0" w:val="clear"/>
        <w:spacing w:after="20" w:before="20"/>
        <w:ind w:left="720"/>
      </w:pPr>
      <w:r>
        <w:rPr>
          <w:rFonts w:ascii="Courier New" w:cs="Courier New" w:eastAsia="Courier New" w:hAnsi="Courier New"/>
          <w:color w:val="2B2B2B"/>
          <w:sz w:val="18"/>
          <w:szCs w:val="18"/>
        </w:rPr>
        <w:t xml:space="preserve">     +  AI Runtime</w:t>
      </w:r>
    </w:p>
    <w:p>
      <w:pPr>
        <w:shd w:fill="F0F0F0" w:val="clear"/>
        <w:spacing w:after="20" w:before="20"/>
        <w:ind w:left="720"/>
      </w:pPr>
      <w:r>
        <w:rPr>
          <w:rFonts w:ascii="Courier New" w:cs="Courier New" w:eastAsia="Courier New" w:hAnsi="Courier New"/>
          <w:color w:val="2B2B2B"/>
          <w:sz w:val="18"/>
          <w:szCs w:val="18"/>
        </w:rPr>
        <w:t xml:space="preserve">     +  Internal Registry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560"/>
        <w:gridCol w:w="2200"/>
      </w:tblGrid>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Component</w:t>
            </w:r>
          </w:p>
        </w:tc>
        <w:tc>
          <w:tcPr>
            <w:tcW w:type="dxa" w:w="4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Responsibility</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LCE Volume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Workflow Engine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Orchestrate sequences of nodes; manage run lifecycle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Vol 2</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Node System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Execute individual business actions with typed contracts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Vol 5</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Pack System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Bundle nodes, resources, workflows, events into installable domain capabilities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Vol 6</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Resource Engine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Store and manage typed business objects with lifecycle and history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Vol 7</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Event Bus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Record every important action as a typed, immutable event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Vol 8</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State Engine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Enforce resource lifecycle rules through configurable state machines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Vol 9</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Security Engine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Authenticate, authorise, and audit every action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Vol 10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Foundation Pack</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Universal building blocks: users, files, approvals, notifications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Vol 6</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AI Runtime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Give AI access to LCE context with mandatory advisory guardrails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Vol 11</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Internal Registry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Track installed packs, versions, and dependencies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Vol 12</w:t>
            </w:r>
          </w:p>
        </w:tc>
      </w:tr>
    </w:tbl>
    <w:p>
      <w:pPr>
        <w:spacing w:after="80" w:before="80"/>
      </w:pPr>
      <w:r>
        <w:t xml:space="preserve"/>
      </w:r>
    </w:p>
    <w:p>
      <w:r>
        <w:br w:type="page"/>
      </w:r>
    </w:p>
    <w:p>
      <w:pPr>
        <w:pStyle w:val="Heading1"/>
        <w:pBdr>
          <w:bottom w:val="single" w:color="2E75B6" w:sz="6" w:space="4"/>
        </w:pBdr>
        <w:spacing w:after="200" w:before="360"/>
      </w:pPr>
      <w:r>
        <w:rPr>
          <w:rFonts w:ascii="Arial" w:cs="Arial" w:eastAsia="Arial" w:hAnsi="Arial"/>
          <w:b/>
          <w:bCs/>
          <w:color w:val="1F4E79"/>
          <w:sz w:val="32"/>
          <w:szCs w:val="32"/>
        </w:rPr>
        <w:t xml:space="preserve">3. Architecture Layers</w:t>
      </w:r>
    </w:p>
    <w:p>
      <w:pPr>
        <w:spacing w:after="80" w:before="80"/>
        <w:jc w:val="both"/>
      </w:pPr>
      <w:r>
        <w:rPr>
          <w:rFonts w:ascii="Arial" w:cs="Arial" w:eastAsia="Arial" w:hAnsi="Arial"/>
          <w:sz w:val="22"/>
          <w:szCs w:val="22"/>
        </w:rPr>
        <w:t xml:space="preserve">LCE is structured as a strict layered architecture. Higher layers compose from lower ones. The engine never allows cross-cutting dependencies between solutions and engine internals.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200"/>
              <w:bottom w:type="dxa" w:w="100"/>
              <w:right w:type="dxa" w:w="120"/>
            </w:tcMar>
          </w:tcPr>
          <w:p>
            <w:r>
              <w:rPr>
                <w:rFonts w:ascii="Arial" w:cs="Arial" w:eastAsia="Arial" w:hAnsi="Arial"/>
                <w:b/>
                <w:bCs/>
                <w:color w:val="1F4E79"/>
                <w:sz w:val="20"/>
                <w:szCs w:val="20"/>
              </w:rPr>
              <w:t xml:space="preserve">Solutions Layer  —  </w:t>
            </w:r>
            <w:r>
              <w:rPr>
                <w:rFonts w:ascii="Arial" w:cs="Arial" w:eastAsia="Arial" w:hAnsi="Arial"/>
                <w:color w:val="1A1A2E"/>
                <w:sz w:val="20"/>
                <w:szCs w:val="20"/>
              </w:rPr>
              <w:t xml:space="preserve">Contractor Edition  ·  Procurement Edition  ·  LEOS / JKR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EEF9" w:val="clear"/>
            <w:tcMar>
              <w:top w:type="dxa" w:w="100"/>
              <w:left w:type="dxa" w:w="200"/>
              <w:bottom w:type="dxa" w:w="100"/>
              <w:right w:type="dxa" w:w="120"/>
            </w:tcMar>
          </w:tcPr>
          <w:p>
            <w:r>
              <w:rPr>
                <w:rFonts w:ascii="Arial" w:cs="Arial" w:eastAsia="Arial" w:hAnsi="Arial"/>
                <w:b/>
                <w:bCs/>
                <w:color w:val="1F4E79"/>
                <w:sz w:val="20"/>
                <w:szCs w:val="20"/>
              </w:rPr>
              <w:t xml:space="preserve">Pack Layer  —  </w:t>
            </w:r>
            <w:r>
              <w:rPr>
                <w:rFonts w:ascii="Arial" w:cs="Arial" w:eastAsia="Arial" w:hAnsi="Arial"/>
                <w:color w:val="1A1A2E"/>
                <w:sz w:val="20"/>
                <w:szCs w:val="20"/>
              </w:rPr>
              <w:t xml:space="preserve">Foundation  ·  Job  ·  Fleet  ·  Finance  ·  AI  ·  Procurement  ·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200"/>
              <w:bottom w:type="dxa" w:w="100"/>
              <w:right w:type="dxa" w:w="120"/>
            </w:tcMar>
          </w:tcPr>
          <w:p>
            <w:r>
              <w:rPr>
                <w:rFonts w:ascii="Arial" w:cs="Arial" w:eastAsia="Arial" w:hAnsi="Arial"/>
                <w:b/>
                <w:bCs/>
                <w:color w:val="1F4E79"/>
                <w:sz w:val="20"/>
                <w:szCs w:val="20"/>
              </w:rPr>
              <w:t xml:space="preserve">Engine Layer  —  </w:t>
            </w:r>
            <w:r>
              <w:rPr>
                <w:rFonts w:ascii="Arial" w:cs="Arial" w:eastAsia="Arial" w:hAnsi="Arial"/>
                <w:color w:val="1A1A2E"/>
                <w:sz w:val="20"/>
                <w:szCs w:val="20"/>
              </w:rPr>
              <w:t xml:space="preserve">Workflow Engine  |  Resource Engine  |  Event Bus  |  State Engine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8FE" w:val="clear"/>
            <w:tcMar>
              <w:top w:type="dxa" w:w="100"/>
              <w:left w:type="dxa" w:w="200"/>
              <w:bottom w:type="dxa" w:w="100"/>
              <w:right w:type="dxa" w:w="120"/>
            </w:tcMar>
          </w:tcPr>
          <w:p>
            <w:r>
              <w:rPr>
                <w:rFonts w:ascii="Arial" w:cs="Arial" w:eastAsia="Arial" w:hAnsi="Arial"/>
                <w:b/>
                <w:bCs/>
                <w:color w:val="1F4E79"/>
                <w:sz w:val="20"/>
                <w:szCs w:val="20"/>
              </w:rPr>
              <w:t xml:space="preserve">Platform Layer  —  </w:t>
            </w:r>
            <w:r>
              <w:rPr>
                <w:rFonts w:ascii="Arial" w:cs="Arial" w:eastAsia="Arial" w:hAnsi="Arial"/>
                <w:color w:val="1A1A2E"/>
                <w:sz w:val="20"/>
                <w:szCs w:val="20"/>
              </w:rPr>
              <w:t xml:space="preserve">Security Engine  +  AI Runtime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200"/>
              <w:bottom w:type="dxa" w:w="100"/>
              <w:right w:type="dxa" w:w="120"/>
            </w:tcMar>
          </w:tcPr>
          <w:p>
            <w:r>
              <w:rPr>
                <w:rFonts w:ascii="Arial" w:cs="Arial" w:eastAsia="Arial" w:hAnsi="Arial"/>
                <w:b/>
                <w:bCs/>
                <w:color w:val="1F4E79"/>
                <w:sz w:val="20"/>
                <w:szCs w:val="20"/>
              </w:rPr>
              <w:t xml:space="preserve">Infrastructure Layer  —  </w:t>
            </w:r>
            <w:r>
              <w:rPr>
                <w:rFonts w:ascii="Arial" w:cs="Arial" w:eastAsia="Arial" w:hAnsi="Arial"/>
                <w:color w:val="1A1A2E"/>
                <w:sz w:val="20"/>
                <w:szCs w:val="20"/>
              </w:rPr>
              <w:t xml:space="preserve">Foundation Pack (Users  ·  Files  ·  Approvals  ·  Notifications)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200"/>
              <w:bottom w:type="dxa" w:w="100"/>
              <w:right w:type="dxa" w:w="120"/>
            </w:tcMar>
          </w:tcPr>
          <w:p>
            <w:r>
              <w:rPr>
                <w:rFonts w:ascii="Arial" w:cs="Arial" w:eastAsia="Arial" w:hAnsi="Arial"/>
                <w:b/>
                <w:bCs/>
                <w:color w:val="1F4E79"/>
                <w:sz w:val="20"/>
                <w:szCs w:val="20"/>
              </w:rPr>
              <w:t xml:space="preserve">Data Layer  —  </w:t>
            </w:r>
            <w:r>
              <w:rPr>
                <w:rFonts w:ascii="Arial" w:cs="Arial" w:eastAsia="Arial" w:hAnsi="Arial"/>
                <w:color w:val="1A1A2E"/>
                <w:sz w:val="20"/>
                <w:szCs w:val="20"/>
              </w:rPr>
              <w:t xml:space="preserve">Supabase (PostgreSQL  ·  Auth  ·  Storage)  +  NestJS Host</w:t>
            </w:r>
          </w:p>
        </w:tc>
      </w:tr>
    </w:tbl>
    <w:p>
      <w:pPr>
        <w:spacing w:after="80" w:before="80"/>
      </w:pPr>
      <w:r>
        <w:t xml:space="preserve"/>
      </w:r>
    </w:p>
    <w:p>
      <w:pPr>
        <w:spacing w:after="80" w:before="80"/>
        <w:jc w:val="both"/>
      </w:pPr>
      <w:r>
        <w:rPr>
          <w:rFonts w:ascii="Arial" w:cs="Arial" w:eastAsia="Arial" w:hAnsi="Arial"/>
          <w:sz w:val="22"/>
          <w:szCs w:val="22"/>
        </w:rPr>
        <w:t xml:space="preserve">Solutions grow by adding packs. The engine stays compact. Capability is additive through packs, not through engine modifications.</w:t>
      </w:r>
    </w:p>
    <w:p>
      <w:pPr>
        <w:spacing w:after="80" w:before="80"/>
      </w:pPr>
      <w:r>
        <w:t xml:space="preserve"/>
      </w:r>
    </w:p>
    <w:p>
      <w:pPr>
        <w:pStyle w:val="Heading2"/>
        <w:spacing w:after="140" w:before="280"/>
      </w:pPr>
      <w:r>
        <w:rPr>
          <w:rFonts w:ascii="Arial" w:cs="Arial" w:eastAsia="Arial" w:hAnsi="Arial"/>
          <w:b/>
          <w:bCs/>
          <w:color w:val="2E75B6"/>
          <w:sz w:val="26"/>
          <w:szCs w:val="26"/>
        </w:rPr>
        <w:t xml:space="preserve">3.1 Solutions Are Pack Compositions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560"/>
        <w:gridCol w:w="400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Solution</w:t>
            </w:r>
          </w:p>
        </w:tc>
        <w:tc>
          <w:tcPr>
            <w:tcW w:type="dxa" w:w="2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Target</w:t>
            </w:r>
          </w:p>
        </w:tc>
        <w:tc>
          <w:tcPr>
            <w:tcW w:type="dxa" w:w="4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Pack Composition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Contractor Edition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Small to mid-size contractor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Foundation, Job, Fleet, Equipment, Finance, HR, Document, Dashboard, AI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Procurement Edition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Procurement teams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Foundation, Procurement, Approval, Finance, Document, Dashboard, AI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LEOS / JKR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Malaysian Government (JKR)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Foundation, Project, Tender, BOQ, Contract, Inspection, Payment, Variation, Asset, Archive</w:t>
            </w:r>
          </w:p>
        </w:tc>
      </w:tr>
    </w:tbl>
    <w:p>
      <w:pPr>
        <w:spacing w:after="80" w:before="80"/>
      </w:pPr>
      <w:r>
        <w:t xml:space="preserve"/>
      </w:r>
    </w:p>
    <w:p>
      <w:pPr>
        <w:pStyle w:val="Heading2"/>
        <w:spacing w:after="140" w:before="280"/>
      </w:pPr>
      <w:r>
        <w:rPr>
          <w:rFonts w:ascii="Arial" w:cs="Arial" w:eastAsia="Arial" w:hAnsi="Arial"/>
          <w:b/>
          <w:bCs/>
          <w:color w:val="2E75B6"/>
          <w:sz w:val="26"/>
          <w:szCs w:val="26"/>
        </w:rPr>
        <w:t xml:space="preserve">3.2 Scale Philosophy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2"/>
              <w:bottom w:val="single" w:color="2E75B6" w:sz="4"/>
              <w:right w:val="none" w:color="FFFFFF" w:sz="0"/>
            </w:tcBorders>
            <w:shd w:fill="D6E4F0" w:val="clear"/>
            <w:tcMar>
              <w:top w:type="dxa" w:w="120"/>
              <w:left w:type="dxa" w:w="200"/>
              <w:bottom w:type="dxa" w:w="120"/>
              <w:right w:type="dxa" w:w="120"/>
            </w:tcMar>
          </w:tcPr>
          <w:p>
            <w:r>
              <w:rPr>
                <w:rFonts w:ascii="Arial" w:cs="Arial" w:eastAsia="Arial" w:hAnsi="Arial"/>
                <w:b/>
                <w:bCs/>
                <w:color w:val="1F4E79"/>
                <w:sz w:val="20"/>
                <w:szCs w:val="20"/>
              </w:rPr>
              <w:t xml:space="preserve">Engine Philosophy</w:t>
            </w:r>
          </w:p>
          <w:p>
            <w:pPr>
              <w:spacing w:before="60"/>
            </w:pPr>
            <w:r>
              <w:rPr>
                <w:rFonts w:ascii="Arial" w:cs="Arial" w:eastAsia="Arial" w:hAnsi="Arial"/>
                <w:color w:val="1A1A2E"/>
                <w:sz w:val="20"/>
                <w:szCs w:val="20"/>
              </w:rPr>
              <w:t xml:space="preserve">Games do not modify Unreal Engine. They build on it. Solutions do not modify LCE. They build on it through packs, resource types, workflow templates, and node implementations.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980"/>
        <w:gridCol w:w="2980"/>
      </w:tblGrid>
      <w:tr>
        <w:tc>
          <w:tcPr>
            <w:tcW w:type="dxa" w:w="3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Area</w:t>
            </w:r>
          </w:p>
        </w:tc>
        <w:tc>
          <w:tcPr>
            <w:tcW w:type="dxa" w:w="29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LCE V4 Target</w:t>
            </w:r>
          </w:p>
        </w:tc>
        <w:tc>
          <w:tcPr>
            <w:tcW w:type="dxa" w:w="29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LEOS / JKR Scale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Engine Modules</w:t>
            </w:r>
          </w:p>
        </w:tc>
        <w:tc>
          <w:tcPr>
            <w:tcW w:type="dxa" w:w="2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80–150</w:t>
            </w:r>
          </w:p>
        </w:tc>
        <w:tc>
          <w:tcPr>
            <w:tcW w:type="dxa" w:w="2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Unchanged</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API Endpoints</w:t>
            </w:r>
          </w:p>
        </w:tc>
        <w:tc>
          <w:tcPr>
            <w:tcW w:type="dxa" w:w="2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150–300</w:t>
            </w:r>
          </w:p>
        </w:tc>
        <w:tc>
          <w:tcPr>
            <w:tcW w:type="dxa" w:w="2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Unchanged</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UI Components</w:t>
            </w:r>
          </w:p>
        </w:tc>
        <w:tc>
          <w:tcPr>
            <w:tcW w:type="dxa" w:w="2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150–250</w:t>
            </w:r>
          </w:p>
        </w:tc>
        <w:tc>
          <w:tcPr>
            <w:tcW w:type="dxa" w:w="2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Unchanged</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Core Nodes (Foundation)</w:t>
            </w:r>
          </w:p>
        </w:tc>
        <w:tc>
          <w:tcPr>
            <w:tcW w:type="dxa" w:w="2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20–30</w:t>
            </w:r>
          </w:p>
        </w:tc>
        <w:tc>
          <w:tcPr>
            <w:tcW w:type="dxa" w:w="2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Unchanged</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Total Nodes (All Packs)</w:t>
            </w:r>
          </w:p>
        </w:tc>
        <w:tc>
          <w:tcPr>
            <w:tcW w:type="dxa" w:w="2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80–120</w:t>
            </w:r>
          </w:p>
        </w:tc>
        <w:tc>
          <w:tcPr>
            <w:tcW w:type="dxa" w:w="2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800–1,500</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System Packs</w:t>
            </w:r>
          </w:p>
        </w:tc>
        <w:tc>
          <w:tcPr>
            <w:tcW w:type="dxa" w:w="2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10–20</w:t>
            </w:r>
          </w:p>
        </w:tc>
        <w:tc>
          <w:tcPr>
            <w:tcW w:type="dxa" w:w="2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Workflow Templates</w:t>
            </w:r>
          </w:p>
        </w:tc>
        <w:tc>
          <w:tcPr>
            <w:tcW w:type="dxa" w:w="2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40–70 (Contractor Ed.)</w:t>
            </w:r>
          </w:p>
        </w:tc>
        <w:tc>
          <w:tcPr>
            <w:tcW w:type="dxa" w:w="2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300+ (LEOS)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Resource Types</w:t>
            </w:r>
          </w:p>
        </w:tc>
        <w:tc>
          <w:tcPr>
            <w:tcW w:type="dxa" w:w="2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15–25 (Contractor Ed.)</w:t>
            </w:r>
          </w:p>
        </w:tc>
        <w:tc>
          <w:tcPr>
            <w:tcW w:type="dxa" w:w="2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80+ (LEOS)</w:t>
            </w:r>
          </w:p>
        </w:tc>
      </w:tr>
    </w:tbl>
    <w:p>
      <w:pPr>
        <w:spacing w:after="80" w:before="80"/>
      </w:pPr>
      <w:r>
        <w:t xml:space="preserve"/>
      </w:r>
    </w:p>
    <w:p>
      <w:r>
        <w:br w:type="page"/>
      </w:r>
    </w:p>
    <w:p>
      <w:pPr>
        <w:pStyle w:val="Heading1"/>
        <w:pBdr>
          <w:bottom w:val="single" w:color="2E75B6" w:sz="6" w:space="4"/>
        </w:pBdr>
        <w:spacing w:after="200" w:before="360"/>
      </w:pPr>
      <w:r>
        <w:rPr>
          <w:rFonts w:ascii="Arial" w:cs="Arial" w:eastAsia="Arial" w:hAnsi="Arial"/>
          <w:b/>
          <w:bCs/>
          <w:color w:val="1F4E79"/>
          <w:sz w:val="32"/>
          <w:szCs w:val="32"/>
        </w:rPr>
        <w:t xml:space="preserve">4. Monorepo Structure</w:t>
      </w:r>
    </w:p>
    <w:p>
      <w:pPr>
        <w:spacing w:after="80" w:before="80"/>
        <w:jc w:val="both"/>
      </w:pPr>
      <w:r>
        <w:rPr>
          <w:rFonts w:ascii="Arial" w:cs="Arial" w:eastAsia="Arial" w:hAnsi="Arial"/>
          <w:sz w:val="22"/>
          <w:szCs w:val="22"/>
        </w:rPr>
        <w:t xml:space="preserve">The entire platform lives in a single monorepo managed by pnpm workspaces and Turborepo. This guarantees consistent tooling, cross-package type safety, and atomic versioning across all engine components.</w:t>
      </w:r>
    </w:p>
    <w:p>
      <w:pPr>
        <w:spacing w:after="80" w:before="80"/>
      </w:pPr>
      <w:r>
        <w:t xml:space="preserve"/>
      </w:r>
    </w:p>
    <w:p>
      <w:pPr>
        <w:shd w:fill="F0F0F0" w:val="clear"/>
        <w:spacing w:after="20" w:before="20"/>
        <w:ind w:left="720"/>
      </w:pPr>
      <w:r>
        <w:rPr>
          <w:rFonts w:ascii="Courier New" w:cs="Courier New" w:eastAsia="Courier New" w:hAnsi="Courier New"/>
          <w:color w:val="2B2B2B"/>
          <w:sz w:val="18"/>
          <w:szCs w:val="18"/>
        </w:rPr>
        <w:t xml:space="preserve">QS-WFUI/</w:t>
      </w:r>
    </w:p>
    <w:p>
      <w:pPr>
        <w:shd w:fill="F0F0F0" w:val="clear"/>
        <w:spacing w:after="20" w:before="20"/>
        <w:ind w:left="720"/>
      </w:pPr>
      <w:r>
        <w:rPr>
          <w:rFonts w:ascii="Courier New" w:cs="Courier New" w:eastAsia="Courier New" w:hAnsi="Courier New"/>
          <w:color w:val="2B2B2B"/>
          <w:sz w:val="18"/>
          <w:szCs w:val="18"/>
        </w:rPr>
        <w:t xml:space="preserve">  apps/</w:t>
      </w:r>
    </w:p>
    <w:p>
      <w:pPr>
        <w:shd w:fill="F0F0F0" w:val="clear"/>
        <w:spacing w:after="20" w:before="20"/>
        <w:ind w:left="720"/>
      </w:pPr>
      <w:r>
        <w:rPr>
          <w:rFonts w:ascii="Courier New" w:cs="Courier New" w:eastAsia="Courier New" w:hAnsi="Courier New"/>
          <w:color w:val="2B2B2B"/>
          <w:sz w:val="18"/>
          <w:szCs w:val="18"/>
        </w:rPr>
        <w:t xml:space="preserve">    api/              NestJS 10 — REST API, execution host, Supabase client</w:t>
      </w:r>
    </w:p>
    <w:p>
      <w:pPr>
        <w:shd w:fill="F0F0F0" w:val="clear"/>
        <w:spacing w:after="20" w:before="20"/>
        <w:ind w:left="720"/>
      </w:pPr>
      <w:r>
        <w:rPr>
          <w:rFonts w:ascii="Courier New" w:cs="Courier New" w:eastAsia="Courier New" w:hAnsi="Courier New"/>
          <w:color w:val="2B2B2B"/>
          <w:sz w:val="18"/>
          <w:szCs w:val="18"/>
        </w:rPr>
        <w:t xml:space="preserve">    web/              Next.js 14 App Router — canvas UI, project and workflow management</w:t>
      </w:r>
    </w:p>
    <w:p>
      <w:pPr>
        <w:shd w:fill="F0F0F0" w:val="clear"/>
        <w:spacing w:after="20" w:before="20"/>
        <w:ind w:left="720"/>
      </w:pPr>
      <w:r>
        <w:rPr>
          <w:rFonts w:ascii="Courier New" w:cs="Courier New" w:eastAsia="Courier New" w:hAnsi="Courier New"/>
          <w:color w:val="2B2B2B"/>
          <w:sz w:val="18"/>
          <w:szCs w:val="18"/>
        </w:rPr>
        <w:t xml:space="preserve">  packages/</w:t>
      </w:r>
    </w:p>
    <w:p>
      <w:pPr>
        <w:shd w:fill="F0F0F0" w:val="clear"/>
        <w:spacing w:after="20" w:before="20"/>
        <w:ind w:left="720"/>
      </w:pPr>
      <w:r>
        <w:rPr>
          <w:rFonts w:ascii="Courier New" w:cs="Courier New" w:eastAsia="Courier New" w:hAnsi="Courier New"/>
          <w:color w:val="2B2B2B"/>
          <w:sz w:val="18"/>
          <w:szCs w:val="18"/>
        </w:rPr>
        <w:t xml:space="preserve">    execution-engine/ @lados/execution-engine — DAG runner, graph planner, checkpoint</w:t>
      </w:r>
    </w:p>
    <w:p>
      <w:pPr>
        <w:shd w:fill="F0F0F0" w:val="clear"/>
        <w:spacing w:after="20" w:before="20"/>
        <w:ind w:left="720"/>
      </w:pPr>
      <w:r>
        <w:rPr>
          <w:rFonts w:ascii="Courier New" w:cs="Courier New" w:eastAsia="Courier New" w:hAnsi="Courier New"/>
          <w:color w:val="2B2B2B"/>
          <w:sz w:val="18"/>
          <w:szCs w:val="18"/>
        </w:rPr>
        <w:t xml:space="preserve">    node-sdk/         @lados/node-sdk — Node Manifest V2, NodeContext, BaseNode</w:t>
      </w:r>
    </w:p>
    <w:p>
      <w:pPr>
        <w:shd w:fill="F0F0F0" w:val="clear"/>
        <w:spacing w:after="20" w:before="20"/>
        <w:ind w:left="720"/>
      </w:pPr>
      <w:r>
        <w:rPr>
          <w:rFonts w:ascii="Courier New" w:cs="Courier New" w:eastAsia="Courier New" w:hAnsi="Courier New"/>
          <w:color w:val="2B2B2B"/>
          <w:sz w:val="18"/>
          <w:szCs w:val="18"/>
        </w:rPr>
        <w:t xml:space="preserve">    pack-sdk/         @lados/pack-sdk — pack manifest, permissions, node registration</w:t>
      </w:r>
    </w:p>
    <w:p>
      <w:pPr>
        <w:shd w:fill="F0F0F0" w:val="clear"/>
        <w:spacing w:after="20" w:before="20"/>
        <w:ind w:left="720"/>
      </w:pPr>
      <w:r>
        <w:rPr>
          <w:rFonts w:ascii="Courier New" w:cs="Courier New" w:eastAsia="Courier New" w:hAnsi="Courier New"/>
          <w:color w:val="2B2B2B"/>
          <w:sz w:val="18"/>
          <w:szCs w:val="18"/>
        </w:rPr>
        <w:t xml:space="preserve">    shared-types/     @lados/shared-types — cross-layer type contracts</w:t>
      </w:r>
    </w:p>
    <w:p>
      <w:pPr>
        <w:shd w:fill="F0F0F0" w:val="clear"/>
        <w:spacing w:after="20" w:before="20"/>
        <w:ind w:left="720"/>
      </w:pPr>
      <w:r>
        <w:rPr>
          <w:rFonts w:ascii="Courier New" w:cs="Courier New" w:eastAsia="Courier New" w:hAnsi="Courier New"/>
          <w:color w:val="2B2B2B"/>
          <w:sz w:val="18"/>
          <w:szCs w:val="18"/>
        </w:rPr>
        <w:t xml:space="preserve">    workflow-json/    @lados/workflow-json — workflow schema, builder, validator</w:t>
      </w:r>
    </w:p>
    <w:p>
      <w:pPr>
        <w:shd w:fill="F0F0F0" w:val="clear"/>
        <w:spacing w:after="20" w:before="20"/>
        <w:ind w:left="720"/>
      </w:pPr>
      <w:r>
        <w:rPr>
          <w:rFonts w:ascii="Courier New" w:cs="Courier New" w:eastAsia="Courier New" w:hAnsi="Courier New"/>
          <w:color w:val="2B2B2B"/>
          <w:sz w:val="18"/>
          <w:szCs w:val="18"/>
        </w:rPr>
        <w:t xml:space="preserve">  packs/</w:t>
      </w:r>
    </w:p>
    <w:p>
      <w:pPr>
        <w:shd w:fill="F0F0F0" w:val="clear"/>
        <w:spacing w:after="20" w:before="20"/>
        <w:ind w:left="720"/>
      </w:pPr>
      <w:r>
        <w:rPr>
          <w:rFonts w:ascii="Courier New" w:cs="Courier New" w:eastAsia="Courier New" w:hAnsi="Courier New"/>
          <w:color w:val="2B2B2B"/>
          <w:sz w:val="18"/>
          <w:szCs w:val="18"/>
        </w:rPr>
        <w:t xml:space="preserve">    core-pack/        @lados/core-pack — Start, End, Logger, Condition, Human Approval</w:t>
      </w:r>
    </w:p>
    <w:p>
      <w:pPr>
        <w:shd w:fill="F0F0F0" w:val="clear"/>
        <w:spacing w:after="20" w:before="20"/>
        <w:ind w:left="720"/>
      </w:pPr>
      <w:r>
        <w:rPr>
          <w:rFonts w:ascii="Courier New" w:cs="Courier New" w:eastAsia="Courier New" w:hAnsi="Courier New"/>
          <w:color w:val="2B2B2B"/>
          <w:sz w:val="18"/>
          <w:szCs w:val="18"/>
        </w:rPr>
        <w:t xml:space="preserve">    ai-pack/          @lados/ai-pack — AI Analyze, Extract, Summarize</w:t>
      </w:r>
    </w:p>
    <w:p>
      <w:pPr>
        <w:shd w:fill="F0F0F0" w:val="clear"/>
        <w:spacing w:after="20" w:before="20"/>
        <w:ind w:left="720"/>
      </w:pPr>
      <w:r>
        <w:rPr>
          <w:rFonts w:ascii="Courier New" w:cs="Courier New" w:eastAsia="Courier New" w:hAnsi="Courier New"/>
          <w:color w:val="2B2B2B"/>
          <w:sz w:val="18"/>
          <w:szCs w:val="18"/>
        </w:rPr>
        <w:t xml:space="preserve">    document-pack/    @lados/document-pack — Upload, Read Excel, Generate PDF</w:t>
      </w:r>
    </w:p>
    <w:p>
      <w:pPr>
        <w:shd w:fill="F0F0F0" w:val="clear"/>
        <w:spacing w:after="20" w:before="20"/>
        <w:ind w:left="720"/>
      </w:pPr>
      <w:r>
        <w:rPr>
          <w:rFonts w:ascii="Courier New" w:cs="Courier New" w:eastAsia="Courier New" w:hAnsi="Courier New"/>
          <w:color w:val="2B2B2B"/>
          <w:sz w:val="18"/>
          <w:szCs w:val="18"/>
        </w:rPr>
        <w:t xml:space="preserve">    procurement-pack/ @lados/procurement-pack — Generate RFQ, Generate PO</w:t>
      </w:r>
    </w:p>
    <w:p>
      <w:pPr>
        <w:shd w:fill="F0F0F0" w:val="clear"/>
        <w:spacing w:after="20" w:before="20"/>
        <w:ind w:left="720"/>
      </w:pPr>
      <w:r>
        <w:rPr>
          <w:rFonts w:ascii="Courier New" w:cs="Courier New" w:eastAsia="Courier New" w:hAnsi="Courier New"/>
          <w:color w:val="2B2B2B"/>
          <w:sz w:val="18"/>
          <w:szCs w:val="18"/>
        </w:rPr>
        <w:t xml:space="preserve">    qs-pack/          @lados/qs-pack — Read BOQ, Classify Trade, Split Work Package</w:t>
      </w:r>
    </w:p>
    <w:p>
      <w:pPr>
        <w:shd w:fill="F0F0F0" w:val="clear"/>
        <w:spacing w:after="20" w:before="20"/>
        <w:ind w:left="720"/>
      </w:pPr>
      <w:r>
        <w:rPr>
          <w:rFonts w:ascii="Courier New" w:cs="Courier New" w:eastAsia="Courier New" w:hAnsi="Courier New"/>
          <w:color w:val="2B2B2B"/>
          <w:sz w:val="18"/>
          <w:szCs w:val="18"/>
        </w:rPr>
        <w:t xml:space="preserve">  supabase/</w:t>
      </w:r>
    </w:p>
    <w:p>
      <w:pPr>
        <w:shd w:fill="F0F0F0" w:val="clear"/>
        <w:spacing w:after="20" w:before="20"/>
        <w:ind w:left="720"/>
      </w:pPr>
      <w:r>
        <w:rPr>
          <w:rFonts w:ascii="Courier New" w:cs="Courier New" w:eastAsia="Courier New" w:hAnsi="Courier New"/>
          <w:color w:val="2B2B2B"/>
          <w:sz w:val="18"/>
          <w:szCs w:val="18"/>
        </w:rPr>
        <w:t xml:space="preserve">    migrations/       Applied schema migrations (0001 through 0026+)</w:t>
      </w:r>
    </w:p>
    <w:p>
      <w:pPr>
        <w:shd w:fill="F0F0F0" w:val="clear"/>
        <w:spacing w:after="20" w:before="20"/>
        <w:ind w:left="720"/>
      </w:pPr>
      <w:r>
        <w:rPr>
          <w:rFonts w:ascii="Courier New" w:cs="Courier New" w:eastAsia="Courier New" w:hAnsi="Courier New"/>
          <w:color w:val="2B2B2B"/>
          <w:sz w:val="18"/>
          <w:szCs w:val="18"/>
        </w:rPr>
        <w:t xml:space="preserve">  docs/V4/            LCE Volumes + UI/Architecture Volumes</w:t>
      </w:r>
    </w:p>
    <w:p>
      <w:pPr>
        <w:spacing w:after="80" w:before="80"/>
      </w:pPr>
      <w:r>
        <w:t xml:space="preserve"/>
      </w:r>
    </w:p>
    <w:p>
      <w:pPr>
        <w:pStyle w:val="Heading2"/>
        <w:spacing w:after="140" w:before="280"/>
      </w:pPr>
      <w:r>
        <w:rPr>
          <w:rFonts w:ascii="Arial" w:cs="Arial" w:eastAsia="Arial" w:hAnsi="Arial"/>
          <w:b/>
          <w:bCs/>
          <w:color w:val="2E75B6"/>
          <w:sz w:val="26"/>
          <w:szCs w:val="26"/>
        </w:rPr>
        <w:t xml:space="preserve">4.1 Package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Package</w:t>
            </w:r>
          </w:p>
        </w:tc>
        <w:tc>
          <w:tcPr>
            <w:tcW w:type="dxa" w:w="5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Role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@lados/execution-engine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DAG runner, graph planner, checkpoint types, ExecutionResult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@lados/node-sdk</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Node Manifest V2 contract, NodeContext, NodeExecuteResult, BaseNode class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@lados/pack-sdk</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PackManifest, PackPermission, resolveNode contract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@lados/shared-types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Cross-layer types: ApiResponse, QSWorkflowDefinition, RunStatus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@lados/workflow-json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Workflow JSON schema, WorkflowBuilder, validateWorkflow, serialize/deserialize</w:t>
            </w:r>
          </w:p>
        </w:tc>
      </w:tr>
    </w:tbl>
    <w:p>
      <w:pPr>
        <w:spacing w:after="80" w:before="80"/>
      </w:pPr>
      <w:r>
        <w:t xml:space="preserve"/>
      </w:r>
    </w:p>
    <w:p>
      <w:r>
        <w:br w:type="page"/>
      </w:r>
    </w:p>
    <w:p>
      <w:pPr>
        <w:pStyle w:val="Heading1"/>
        <w:pBdr>
          <w:bottom w:val="single" w:color="2E75B6" w:sz="6" w:space="4"/>
        </w:pBdr>
        <w:spacing w:after="200" w:before="360"/>
      </w:pPr>
      <w:r>
        <w:rPr>
          <w:rFonts w:ascii="Arial" w:cs="Arial" w:eastAsia="Arial" w:hAnsi="Arial"/>
          <w:b/>
          <w:bCs/>
          <w:color w:val="1F4E79"/>
          <w:sz w:val="32"/>
          <w:szCs w:val="32"/>
        </w:rPr>
        <w:t xml:space="preserve">5.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Layer</w:t>
            </w:r>
          </w:p>
        </w:tc>
        <w:tc>
          <w:tcPr>
            <w:tcW w:type="dxa" w:w="6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Technology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API Runtime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NestJS 10, TypeScript 5 (strict mode)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Frontend Framework</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Next.js 14 App Router, React 18</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Canvas UI</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React Flow — workflow canvas and node graph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Styling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Tailwind CSS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Database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Supabase — PostgreSQL 15</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Auth</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Supabase Auth + JWT Guard (NestJS)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File Storage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Supabase Storage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AI Provider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OpenAI Chat Completions API (GPT-4o, GPT-4o-mini)</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Monorepo Tool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pnpm workspaces + Turborepo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Package Registry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NPM (scoped under @lados/)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Schema Migrations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Supabase CLI (supabase db push)</w:t>
            </w:r>
          </w:p>
        </w:tc>
      </w:tr>
    </w:tbl>
    <w:p>
      <w:pPr>
        <w:spacing w:after="80" w:before="80"/>
      </w:pPr>
      <w:r>
        <w:t xml:space="preserve"/>
      </w:r>
    </w:p>
    <w:p>
      <w:pPr>
        <w:pStyle w:val="Heading2"/>
        <w:spacing w:after="140" w:before="280"/>
      </w:pPr>
      <w:r>
        <w:rPr>
          <w:rFonts w:ascii="Arial" w:cs="Arial" w:eastAsia="Arial" w:hAnsi="Arial"/>
          <w:b/>
          <w:bCs/>
          <w:color w:val="2E75B6"/>
          <w:sz w:val="26"/>
          <w:szCs w:val="26"/>
        </w:rPr>
        <w:t xml:space="preserve">5.1 Technology Decisions (Locked)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Decision</w:t>
            </w:r>
          </w:p>
        </w:tc>
        <w:tc>
          <w:tcPr>
            <w:tcW w:type="dxa" w:w="6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Rationale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NestJS for API</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Module system maps cleanly to LCE engine boundaries. DI suits service-layer architecture.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Next.js App Router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Server components reduce client bundle. App Router supports layout nesting for canvas + panels.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React Flow</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Best-in-class node graph library with TypeScript support. Extension model aligns with LCE node types.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Supabase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Managed PostgreSQL with Auth, Storage, and RLS eliminates infrastructure overhead for MVP phases.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pnpm + Turborepo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Fast installs, strict dependency isolation, and build caching reduce CI times.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Strict TypeScript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packages enforce strict TypeScript. Type contracts between layers are the primary correctness guarantee.</w:t>
            </w:r>
          </w:p>
        </w:tc>
      </w:tr>
    </w:tbl>
    <w:p>
      <w:pPr>
        <w:spacing w:after="80" w:before="80"/>
      </w:pPr>
      <w:r>
        <w:t xml:space="preserve"/>
      </w:r>
    </w:p>
    <w:p>
      <w:r>
        <w:br w:type="page"/>
      </w:r>
    </w:p>
    <w:p>
      <w:pPr>
        <w:pStyle w:val="Heading1"/>
        <w:pBdr>
          <w:bottom w:val="single" w:color="2E75B6" w:sz="6" w:space="4"/>
        </w:pBdr>
        <w:spacing w:after="200" w:before="360"/>
      </w:pPr>
      <w:r>
        <w:rPr>
          <w:rFonts w:ascii="Arial" w:cs="Arial" w:eastAsia="Arial" w:hAnsi="Arial"/>
          <w:b/>
          <w:bCs/>
          <w:color w:val="1F4E79"/>
          <w:sz w:val="32"/>
          <w:szCs w:val="32"/>
        </w:rPr>
        <w:t xml:space="preserve">6. Core Design Decisions</w:t>
      </w:r>
    </w:p>
    <w:p>
      <w:pPr>
        <w:spacing w:after="80" w:before="80"/>
        <w:jc w:val="both"/>
      </w:pPr>
      <w:r>
        <w:rPr>
          <w:rFonts w:ascii="Arial" w:cs="Arial" w:eastAsia="Arial" w:hAnsi="Arial"/>
          <w:sz w:val="22"/>
          <w:szCs w:val="22"/>
        </w:rPr>
        <w:t xml:space="preserve">These decisions are locked and must not be reversed. Any exception requires a formal decision record countersigned by the platform architect and an update to this document.</w:t>
      </w:r>
    </w:p>
    <w:p>
      <w:pPr>
        <w:spacing w:after="80" w:before="80"/>
      </w:pPr>
      <w:r>
        <w:t xml:space="preserve"/>
      </w:r>
    </w:p>
    <w:p>
      <w:pPr>
        <w:pStyle w:val="Heading2"/>
        <w:spacing w:after="140" w:before="280"/>
      </w:pPr>
      <w:r>
        <w:rPr>
          <w:rFonts w:ascii="Arial" w:cs="Arial" w:eastAsia="Arial" w:hAnsi="Arial"/>
          <w:b/>
          <w:bCs/>
          <w:color w:val="2E75B6"/>
          <w:sz w:val="26"/>
          <w:szCs w:val="26"/>
        </w:rPr>
        <w:t xml:space="preserve">6.1 Engine Before Solution</w:t>
      </w:r>
    </w:p>
    <w:p>
      <w:pPr>
        <w:spacing w:after="80" w:before="80"/>
        <w:jc w:val="both"/>
      </w:pPr>
      <w:r>
        <w:rPr>
          <w:rFonts w:ascii="Arial" w:cs="Arial" w:eastAsia="Arial" w:hAnsi="Arial"/>
          <w:sz w:val="22"/>
          <w:szCs w:val="22"/>
        </w:rPr>
        <w:t xml:space="preserve">Every feature question must be asked at two levels before implementation begins:</w:t>
      </w:r>
    </w:p>
    <w:p>
      <w:pPr>
        <w:pStyle w:val="ListParagraph"/>
        <w:numPr>
          <w:ilvl w:val="0"/>
          <w:numId w:val="2"/>
        </w:numPr>
        <w:spacing w:after="60" w:before="60"/>
      </w:pPr>
      <w:r>
        <w:rPr>
          <w:rFonts w:ascii="Arial" w:cs="Arial" w:eastAsia="Arial" w:hAnsi="Arial"/>
          <w:sz w:val="22"/>
          <w:szCs w:val="22"/>
        </w:rPr>
        <w:t xml:space="preserve">Level 1 — Engine: What reusable LCE capability does this need?</w:t>
      </w:r>
    </w:p>
    <w:p>
      <w:pPr>
        <w:pStyle w:val="ListParagraph"/>
        <w:numPr>
          <w:ilvl w:val="0"/>
          <w:numId w:val="2"/>
        </w:numPr>
        <w:spacing w:after="60" w:before="60"/>
      </w:pPr>
      <w:r>
        <w:rPr>
          <w:rFonts w:ascii="Arial" w:cs="Arial" w:eastAsia="Arial" w:hAnsi="Arial"/>
          <w:sz w:val="22"/>
          <w:szCs w:val="22"/>
        </w:rPr>
        <w:t xml:space="preserve">Level 2 — Solution: How does Contractor Edition (or LEOS) configure it?</w:t>
      </w:r>
    </w:p>
    <w:p>
      <w:pPr>
        <w:spacing w:after="80" w:before="80"/>
        <w:jc w:val="both"/>
      </w:pPr>
      <w:r>
        <w:rPr>
          <w:rFonts w:ascii="Arial" w:cs="Arial" w:eastAsia="Arial" w:hAnsi="Arial"/>
          <w:sz w:val="22"/>
          <w:szCs w:val="22"/>
        </w:rPr>
        <w:t xml:space="preserve">Features that skip Level 1 and build directly into solution code accumulate as technical debt. The canvas, workflows, and resource model are the product. The screen is the last expression.</w:t>
      </w:r>
    </w:p>
    <w:p>
      <w:pPr>
        <w:spacing w:after="80" w:before="80"/>
      </w:pPr>
      <w:r>
        <w:t xml:space="preserve"/>
      </w:r>
    </w:p>
    <w:p>
      <w:pPr>
        <w:pStyle w:val="Heading2"/>
        <w:spacing w:after="140" w:before="280"/>
      </w:pPr>
      <w:r>
        <w:rPr>
          <w:rFonts w:ascii="Arial" w:cs="Arial" w:eastAsia="Arial" w:hAnsi="Arial"/>
          <w:b/>
          <w:bCs/>
          <w:color w:val="2E75B6"/>
          <w:sz w:val="26"/>
          <w:szCs w:val="26"/>
        </w:rPr>
        <w:t xml:space="preserve">6.2 Resources Are First-Class Objects</w:t>
      </w:r>
    </w:p>
    <w:p>
      <w:pPr>
        <w:spacing w:after="80" w:before="80"/>
        <w:jc w:val="both"/>
      </w:pPr>
      <w:r>
        <w:rPr>
          <w:rFonts w:ascii="Arial" w:cs="Arial" w:eastAsia="Arial" w:hAnsi="Arial"/>
          <w:sz w:val="22"/>
          <w:szCs w:val="22"/>
        </w:rPr>
        <w:t xml:space="preserve">Every important business entity — Customer, Job, Vehicle, Invoice, Contract — is a Resource instance stored in the Resource Engine with a type, a state, typed data, relationships, and a complete history. Domain logic lives in packs and workflows, not in one-off NestJS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2"/>
              <w:bottom w:val="single" w:color="2E75B6" w:sz="4"/>
              <w:right w:val="none" w:color="FFFFFF" w:sz="0"/>
            </w:tcBorders>
            <w:shd w:fill="D6E4F0" w:val="clear"/>
            <w:tcMar>
              <w:top w:type="dxa" w:w="120"/>
              <w:left w:type="dxa" w:w="200"/>
              <w:bottom w:type="dxa" w:w="120"/>
              <w:right w:type="dxa" w:w="120"/>
            </w:tcMar>
          </w:tcPr>
          <w:p>
            <w:r>
              <w:rPr>
                <w:rFonts w:ascii="Arial" w:cs="Arial" w:eastAsia="Arial" w:hAnsi="Arial"/>
                <w:b/>
                <w:bCs/>
                <w:color w:val="1F4E79"/>
                <w:sz w:val="20"/>
                <w:szCs w:val="20"/>
              </w:rPr>
              <w:t xml:space="preserve">Resource Rule</w:t>
            </w:r>
          </w:p>
          <w:p>
            <w:pPr>
              <w:spacing w:before="60"/>
            </w:pPr>
            <w:r>
              <w:rPr>
                <w:rFonts w:ascii="Arial" w:cs="Arial" w:eastAsia="Arial" w:hAnsi="Arial"/>
                <w:color w:val="1A1A2E"/>
                <w:sz w:val="20"/>
                <w:szCs w:val="20"/>
              </w:rPr>
              <w:t xml:space="preserve">If it is a business entity that has a lifecycle, relationships, and needs to appear on a dashboard or be queried by AI — it is a Resource. Build it in the Resource Engine, not as a standalone table.</w:t>
            </w:r>
          </w:p>
        </w:tc>
      </w:tr>
    </w:tbl>
    <w:p>
      <w:pPr>
        <w:spacing w:after="80" w:before="80"/>
      </w:pPr>
      <w:r>
        <w:t xml:space="preserve"/>
      </w:r>
    </w:p>
    <w:p>
      <w:pPr>
        <w:pStyle w:val="Heading2"/>
        <w:spacing w:after="140" w:before="280"/>
      </w:pPr>
      <w:r>
        <w:rPr>
          <w:rFonts w:ascii="Arial" w:cs="Arial" w:eastAsia="Arial" w:hAnsi="Arial"/>
          <w:b/>
          <w:bCs/>
          <w:color w:val="2E75B6"/>
          <w:sz w:val="26"/>
          <w:szCs w:val="26"/>
        </w:rPr>
        <w:t xml:space="preserve">6.3 Events Are Mandatory</w:t>
      </w:r>
    </w:p>
    <w:p>
      <w:pPr>
        <w:spacing w:after="80" w:before="80"/>
        <w:jc w:val="both"/>
      </w:pPr>
      <w:r>
        <w:rPr>
          <w:rFonts w:ascii="Arial" w:cs="Arial" w:eastAsia="Arial" w:hAnsi="Arial"/>
          <w:sz w:val="22"/>
          <w:szCs w:val="22"/>
        </w:rPr>
        <w:t xml:space="preserve">Every important action emits a typed, immutable event to the Event Bus. Dashboards, AI context builders, notification services, and audit views all read from the event stream. There are no hidden side-effect calls inside services.</w:t>
      </w:r>
    </w:p>
    <w:p>
      <w:pPr>
        <w:pStyle w:val="ListParagraph"/>
        <w:numPr>
          <w:ilvl w:val="0"/>
          <w:numId w:val="2"/>
        </w:numPr>
        <w:spacing w:after="60" w:before="60"/>
      </w:pPr>
      <w:r>
        <w:rPr>
          <w:rFonts w:ascii="Arial" w:cs="Arial" w:eastAsia="Arial" w:hAnsi="Arial"/>
          <w:sz w:val="22"/>
          <w:szCs w:val="22"/>
        </w:rPr>
        <w:t xml:space="preserve">Every resource creation, update, state transition, and archival emits a typed event.</w:t>
      </w:r>
    </w:p>
    <w:p>
      <w:pPr>
        <w:pStyle w:val="ListParagraph"/>
        <w:numPr>
          <w:ilvl w:val="0"/>
          <w:numId w:val="2"/>
        </w:numPr>
        <w:spacing w:after="60" w:before="60"/>
      </w:pPr>
      <w:r>
        <w:rPr>
          <w:rFonts w:ascii="Arial" w:cs="Arial" w:eastAsia="Arial" w:hAnsi="Arial"/>
          <w:sz w:val="22"/>
          <w:szCs w:val="22"/>
        </w:rPr>
        <w:t xml:space="preserve">Every workflow run start, pause, resume, completion, and failure emits a typed event.</w:t>
      </w:r>
    </w:p>
    <w:p>
      <w:pPr>
        <w:pStyle w:val="ListParagraph"/>
        <w:numPr>
          <w:ilvl w:val="0"/>
          <w:numId w:val="2"/>
        </w:numPr>
        <w:spacing w:after="60" w:before="60"/>
      </w:pPr>
      <w:r>
        <w:rPr>
          <w:rFonts w:ascii="Arial" w:cs="Arial" w:eastAsia="Arial" w:hAnsi="Arial"/>
          <w:sz w:val="22"/>
          <w:szCs w:val="22"/>
        </w:rPr>
        <w:t xml:space="preserve">Every approval request, grant, and rejection emits a typed event.</w:t>
      </w:r>
    </w:p>
    <w:p>
      <w:pPr>
        <w:pStyle w:val="ListParagraph"/>
        <w:numPr>
          <w:ilvl w:val="0"/>
          <w:numId w:val="2"/>
        </w:numPr>
        <w:spacing w:after="60" w:before="60"/>
      </w:pPr>
      <w:r>
        <w:rPr>
          <w:rFonts w:ascii="Arial" w:cs="Arial" w:eastAsia="Arial" w:hAnsi="Arial"/>
          <w:sz w:val="22"/>
          <w:szCs w:val="22"/>
        </w:rPr>
        <w:t xml:space="preserve">Events are append-only. No event is ever updated or deleted.</w:t>
      </w:r>
    </w:p>
    <w:p>
      <w:pPr>
        <w:spacing w:after="80" w:before="80"/>
      </w:pPr>
      <w:r>
        <w:t xml:space="preserve"/>
      </w:r>
    </w:p>
    <w:p>
      <w:pPr>
        <w:pStyle w:val="Heading2"/>
        <w:spacing w:after="140" w:before="280"/>
      </w:pPr>
      <w:r>
        <w:rPr>
          <w:rFonts w:ascii="Arial" w:cs="Arial" w:eastAsia="Arial" w:hAnsi="Arial"/>
          <w:b/>
          <w:bCs/>
          <w:color w:val="2E75B6"/>
          <w:sz w:val="26"/>
          <w:szCs w:val="26"/>
        </w:rPr>
        <w:t xml:space="preserve">6.4 States Are Configurable</w:t>
      </w:r>
    </w:p>
    <w:p>
      <w:pPr>
        <w:spacing w:after="80" w:before="80"/>
        <w:jc w:val="both"/>
      </w:pPr>
      <w:r>
        <w:rPr>
          <w:rFonts w:ascii="Arial" w:cs="Arial" w:eastAsia="Arial" w:hAnsi="Arial"/>
          <w:sz w:val="22"/>
          <w:szCs w:val="22"/>
        </w:rPr>
        <w:t xml:space="preserve">Resource lifecycle is driven by configurable state machine definitions declared in pack manifests. The State Engine enforces valid transitions and records every change. Invalid state transitions are blocked at the engine level — never via conditional logic in service code.</w:t>
      </w:r>
    </w:p>
    <w:p>
      <w:pPr>
        <w:spacing w:after="80" w:before="80"/>
      </w:pPr>
      <w:r>
        <w:t xml:space="preserve"/>
      </w:r>
    </w:p>
    <w:p>
      <w:pPr>
        <w:pStyle w:val="Heading2"/>
        <w:spacing w:after="140" w:before="280"/>
      </w:pPr>
      <w:r>
        <w:rPr>
          <w:rFonts w:ascii="Arial" w:cs="Arial" w:eastAsia="Arial" w:hAnsi="Arial"/>
          <w:b/>
          <w:bCs/>
          <w:color w:val="2E75B6"/>
          <w:sz w:val="26"/>
          <w:szCs w:val="26"/>
        </w:rPr>
        <w:t xml:space="preserve">6.5 Nodes Live in Packs</w:t>
      </w:r>
    </w:p>
    <w:p>
      <w:pPr>
        <w:spacing w:after="80" w:before="80"/>
        <w:jc w:val="both"/>
      </w:pPr>
      <w:r>
        <w:rPr>
          <w:rFonts w:ascii="Arial" w:cs="Arial" w:eastAsia="Arial" w:hAnsi="Arial"/>
          <w:sz w:val="22"/>
          <w:szCs w:val="22"/>
        </w:rPr>
        <w:t xml:space="preserve">Node implementations belong in their pack (e.g. @lados/fleet-pack/src/nodes/), not in the API host. The execution engine resolves nodes by querying installed packs via each pack's resolveNode() export. This keeps the engine fully decoupled from solution logic.</w:t>
      </w:r>
    </w:p>
    <w:p>
      <w:pPr>
        <w:shd w:fill="F0F0F0" w:val="clear"/>
        <w:spacing w:after="20" w:before="20"/>
        <w:ind w:left="720"/>
      </w:pPr>
      <w:r>
        <w:rPr>
          <w:rFonts w:ascii="Courier New" w:cs="Courier New" w:eastAsia="Courier New" w:hAnsi="Courier New"/>
          <w:color w:val="2B2B2B"/>
          <w:sz w:val="18"/>
          <w:szCs w:val="18"/>
        </w:rPr>
        <w:t xml:space="preserve">export function resolveNode(type: string) {</w:t>
      </w:r>
    </w:p>
    <w:p>
      <w:pPr>
        <w:shd w:fill="F0F0F0" w:val="clear"/>
        <w:spacing w:after="20" w:before="20"/>
        <w:ind w:left="720"/>
      </w:pPr>
      <w:r>
        <w:rPr>
          <w:rFonts w:ascii="Courier New" w:cs="Courier New" w:eastAsia="Courier New" w:hAnsi="Courier New"/>
          <w:color w:val="2B2B2B"/>
          <w:sz w:val="18"/>
          <w:szCs w:val="18"/>
        </w:rPr>
        <w:t xml:space="preserve">  switch (type) {</w:t>
      </w:r>
    </w:p>
    <w:p>
      <w:pPr>
        <w:shd w:fill="F0F0F0" w:val="clear"/>
        <w:spacing w:after="20" w:before="20"/>
        <w:ind w:left="720"/>
      </w:pPr>
      <w:r>
        <w:rPr>
          <w:rFonts w:ascii="Courier New" w:cs="Courier New" w:eastAsia="Courier New" w:hAnsi="Courier New"/>
          <w:color w:val="2B2B2B"/>
          <w:sz w:val="18"/>
          <w:szCs w:val="18"/>
        </w:rPr>
        <w:t xml:space="preserve">    case 'fleet.assign_vehicle': return ctx =&gt; new AssignVehicleNode().execute(ctx);</w:t>
      </w:r>
    </w:p>
    <w:p>
      <w:pPr>
        <w:shd w:fill="F0F0F0" w:val="clear"/>
        <w:spacing w:after="20" w:before="20"/>
        <w:ind w:left="720"/>
      </w:pPr>
      <w:r>
        <w:rPr>
          <w:rFonts w:ascii="Courier New" w:cs="Courier New" w:eastAsia="Courier New" w:hAnsi="Courier New"/>
          <w:color w:val="2B2B2B"/>
          <w:sz w:val="18"/>
          <w:szCs w:val="18"/>
        </w:rPr>
        <w:t xml:space="preserve">    default: return null; // runner falls back to mock executor</w:t>
      </w:r>
    </w:p>
    <w:p>
      <w:pPr>
        <w:shd w:fill="F0F0F0" w:val="clear"/>
        <w:spacing w:after="20" w:before="20"/>
        <w:ind w:left="720"/>
      </w:pPr>
      <w:r>
        <w:rPr>
          <w:rFonts w:ascii="Courier New" w:cs="Courier New" w:eastAsia="Courier New" w:hAnsi="Courier New"/>
          <w:color w:val="2B2B2B"/>
          <w:sz w:val="18"/>
          <w:szCs w:val="18"/>
        </w:rPr>
        <w:t xml:space="preserve">  }</w:t>
      </w:r>
    </w:p>
    <w:p>
      <w:pPr>
        <w:shd w:fill="F0F0F0" w:val="clear"/>
        <w:spacing w:after="20" w:before="20"/>
        <w:ind w:left="720"/>
      </w:pPr>
      <w:r>
        <w:rPr>
          <w:rFonts w:ascii="Courier New" w:cs="Courier New" w:eastAsia="Courier New" w:hAnsi="Courier New"/>
          <w:color w:val="2B2B2B"/>
          <w:sz w:val="18"/>
          <w:szCs w:val="18"/>
        </w:rPr>
        <w:t xml:space="preserve">}</w:t>
      </w:r>
    </w:p>
    <w:p>
      <w:pPr>
        <w:spacing w:after="80" w:before="80"/>
      </w:pPr>
      <w:r>
        <w:t xml:space="preserve"/>
      </w:r>
    </w:p>
    <w:p>
      <w:pPr>
        <w:pStyle w:val="Heading2"/>
        <w:spacing w:after="140" w:before="280"/>
      </w:pPr>
      <w:r>
        <w:rPr>
          <w:rFonts w:ascii="Arial" w:cs="Arial" w:eastAsia="Arial" w:hAnsi="Arial"/>
          <w:b/>
          <w:bCs/>
          <w:color w:val="2E75B6"/>
          <w:sz w:val="26"/>
          <w:szCs w:val="26"/>
        </w:rPr>
        <w:t xml:space="preserve">6.6 AI Is Advisory</w:t>
      </w:r>
    </w:p>
    <w:p>
      <w:pPr>
        <w:spacing w:after="80" w:before="80"/>
        <w:jc w:val="both"/>
      </w:pPr>
      <w:r>
        <w:rPr>
          <w:rFonts w:ascii="Arial" w:cs="Arial" w:eastAsia="Arial" w:hAnsi="Arial"/>
          <w:sz w:val="22"/>
          <w:szCs w:val="22"/>
        </w:rPr>
        <w:t xml:space="preserve">AI output is never a final commercial or regulatory fact without explicit human acceptance through a workflow approval step. This guardrail is enforced at the engine level and must never be relaxed — not for demo mode, not for testing convenience.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AI Cannot Do</w:t>
            </w:r>
          </w:p>
        </w:tc>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AI Can Do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Approve a payment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Suggest payment amounts for human review</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Certify completed work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Identify potential issues for engineer review</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Release a payment certificate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Draft a payment certificate for human sign-off</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Sign off on a BOQ</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Classify BOQ items by trade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Create a final legal record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Extract and structure data for human acceptance</w:t>
            </w:r>
          </w:p>
        </w:tc>
      </w:tr>
    </w:tbl>
    <w:p>
      <w:pPr>
        <w:spacing w:after="80" w:before="80"/>
      </w:pPr>
      <w:r>
        <w:t xml:space="preserve"/>
      </w:r>
    </w:p>
    <w:p>
      <w:pPr>
        <w:pStyle w:val="Heading2"/>
        <w:spacing w:after="140" w:before="280"/>
      </w:pPr>
      <w:r>
        <w:rPr>
          <w:rFonts w:ascii="Arial" w:cs="Arial" w:eastAsia="Arial" w:hAnsi="Arial"/>
          <w:b/>
          <w:bCs/>
          <w:color w:val="2E75B6"/>
          <w:sz w:val="26"/>
          <w:szCs w:val="26"/>
        </w:rPr>
        <w:t xml:space="preserve">6.7 Node Manifest V2 — V4 Central Contract</w:t>
      </w:r>
    </w:p>
    <w:p>
      <w:pPr>
        <w:spacing w:after="80" w:before="80"/>
        <w:jc w:val="both"/>
      </w:pPr>
      <w:r>
        <w:rPr>
          <w:rFonts w:ascii="Arial" w:cs="Arial" w:eastAsia="Arial" w:hAnsi="Arial"/>
          <w:sz w:val="22"/>
          <w:szCs w:val="22"/>
        </w:rPr>
        <w:t xml:space="preserve">Node Manifest V2 is the central metadata contract introduced in LCE V4. It extends the V1 manifest with UI schema, resource requirements, validation rules, compatibility declarations, documentation links, and event declarations. The frontend consumes manifests to render the Inspector, Explorer, and Canvas without hardcoding node behavior.</w:t>
      </w:r>
    </w:p>
    <w:p>
      <w:pPr>
        <w:spacing w:after="80" w:before="80"/>
        <w:jc w:val="both"/>
      </w:pPr>
      <w:r>
        <w:rPr>
          <w:rFonts w:ascii="Arial" w:cs="Arial" w:eastAsia="Arial" w:hAnsi="Arial"/>
          <w:sz w:val="22"/>
          <w:szCs w:val="22"/>
        </w:rPr>
        <w:t xml:space="preserve">All new nodes written for V4 must implement Node Manifest V2. See LCE Volume 5 — Node SDK Specification for the full specification.</w:t>
      </w:r>
    </w:p>
    <w:p>
      <w:pPr>
        <w:spacing w:after="80" w:before="80"/>
      </w:pPr>
      <w:r>
        <w:t xml:space="preserve"/>
      </w:r>
    </w:p>
    <w:p>
      <w:pPr>
        <w:pStyle w:val="Heading2"/>
        <w:spacing w:after="140" w:before="280"/>
      </w:pPr>
      <w:r>
        <w:rPr>
          <w:rFonts w:ascii="Arial" w:cs="Arial" w:eastAsia="Arial" w:hAnsi="Arial"/>
          <w:b/>
          <w:bCs/>
          <w:color w:val="2E75B6"/>
          <w:sz w:val="26"/>
          <w:szCs w:val="26"/>
        </w:rPr>
        <w:t xml:space="preserve">6.8 Frontend State Engine and Event Bus — V4 New</w:t>
      </w:r>
    </w:p>
    <w:p>
      <w:pPr>
        <w:spacing w:after="80" w:before="80"/>
        <w:jc w:val="both"/>
      </w:pPr>
      <w:r>
        <w:rPr>
          <w:rFonts w:ascii="Arial" w:cs="Arial" w:eastAsia="Arial" w:hAnsi="Arial"/>
          <w:sz w:val="22"/>
          <w:szCs w:val="22"/>
        </w:rPr>
        <w:t xml:space="preserve">LCE V4 introduces a frontend State Engine and a frontend Event Bus. These are client-side architectural components that mirror the backend state and event model in the UI layer:</w:t>
      </w:r>
    </w:p>
    <w:p>
      <w:pPr>
        <w:pStyle w:val="ListParagraph"/>
        <w:numPr>
          <w:ilvl w:val="0"/>
          <w:numId w:val="2"/>
        </w:numPr>
        <w:spacing w:after="60" w:before="60"/>
      </w:pPr>
      <w:r>
        <w:rPr>
          <w:rFonts w:ascii="Arial" w:cs="Arial" w:eastAsia="Arial" w:hAnsi="Arial"/>
          <w:sz w:val="22"/>
          <w:szCs w:val="22"/>
        </w:rPr>
        <w:t xml:space="preserve">Reactive canvas updates when execution state changes from the backend.</w:t>
      </w:r>
    </w:p>
    <w:p>
      <w:pPr>
        <w:pStyle w:val="ListParagraph"/>
        <w:numPr>
          <w:ilvl w:val="0"/>
          <w:numId w:val="2"/>
        </w:numPr>
        <w:spacing w:after="60" w:before="60"/>
      </w:pPr>
      <w:r>
        <w:rPr>
          <w:rFonts w:ascii="Arial" w:cs="Arial" w:eastAsia="Arial" w:hAnsi="Arial"/>
          <w:sz w:val="22"/>
          <w:szCs w:val="22"/>
        </w:rPr>
        <w:t xml:space="preserve">Event-driven communication between UI panels — Canvas, Inspector, Execution Log, Run History.</w:t>
      </w:r>
    </w:p>
    <w:p>
      <w:pPr>
        <w:pStyle w:val="ListParagraph"/>
        <w:numPr>
          <w:ilvl w:val="0"/>
          <w:numId w:val="2"/>
        </w:numPr>
        <w:spacing w:after="60" w:before="60"/>
      </w:pPr>
      <w:r>
        <w:rPr>
          <w:rFonts w:ascii="Arial" w:cs="Arial" w:eastAsia="Arial" w:hAnsi="Arial"/>
          <w:sz w:val="22"/>
          <w:szCs w:val="22"/>
        </w:rPr>
        <w:t xml:space="preserve">Predictable state transitions in the Workflow Builder UI.</w:t>
      </w:r>
    </w:p>
    <w:p>
      <w:pPr>
        <w:pStyle w:val="ListParagraph"/>
        <w:numPr>
          <w:ilvl w:val="0"/>
          <w:numId w:val="2"/>
        </w:numPr>
        <w:spacing w:after="60" w:before="60"/>
      </w:pPr>
      <w:r>
        <w:rPr>
          <w:rFonts w:ascii="Arial" w:cs="Arial" w:eastAsia="Arial" w:hAnsi="Arial"/>
          <w:sz w:val="22"/>
          <w:szCs w:val="22"/>
        </w:rPr>
        <w:t xml:space="preserve">Decoupled component architecture — panels subscribe to events, not to each other directly.</w:t>
      </w:r>
    </w:p>
    <w:p>
      <w:pPr>
        <w:spacing w:after="80" w:before="80"/>
      </w:pPr>
      <w:r>
        <w:t xml:space="preserve"/>
      </w:r>
    </w:p>
    <w:p>
      <w:r>
        <w:br w:type="page"/>
      </w:r>
    </w:p>
    <w:p>
      <w:pPr>
        <w:pStyle w:val="Heading1"/>
        <w:pBdr>
          <w:bottom w:val="single" w:color="2E75B6" w:sz="6" w:space="4"/>
        </w:pBdr>
        <w:spacing w:after="200" w:before="360"/>
      </w:pPr>
      <w:r>
        <w:rPr>
          <w:rFonts w:ascii="Arial" w:cs="Arial" w:eastAsia="Arial" w:hAnsi="Arial"/>
          <w:b/>
          <w:bCs/>
          <w:color w:val="1F4E79"/>
          <w:sz w:val="32"/>
          <w:szCs w:val="32"/>
        </w:rPr>
        <w:t xml:space="preserve">7. Locked Decisions Reference</w:t>
      </w:r>
    </w:p>
    <w:p>
      <w:pPr>
        <w:spacing w:after="80" w:before="80"/>
        <w:jc w:val="both"/>
      </w:pPr>
      <w:r>
        <w:rPr>
          <w:rFonts w:ascii="Arial" w:cs="Arial" w:eastAsia="Arial" w:hAnsi="Arial"/>
          <w:sz w:val="22"/>
          <w:szCs w:val="22"/>
        </w:rPr>
        <w:t xml:space="preserve">Complete reference of all locked architectural decisions for LCE V4. Deviation requires a formal decision record.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Decision</w:t>
            </w:r>
          </w:p>
        </w:tc>
        <w:tc>
          <w:tcPr>
            <w:tcW w:type="dxa" w:w="5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Locked Direction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Platform Name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Lados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Engine Name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Lados Core Engine (LCE)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Package Namespace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@lados/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Version Identifier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LCE V4</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Former Names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Retired — not used in any active code or UI</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Resources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First-class objects — every domain entity is a Resource in the Resource Engine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Events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Mandatory — every important action emits a typed, immutable event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States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Configurable — lifecycle enforced by state machines, not ad-hoc code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Nodes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Live in packs — not in the API host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Node Contract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Node Manifest V2 for all new nodes in V4</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AI Advisory Rule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AI cannot approve, certify, or release payment without human acceptance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First Solution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Contractor Edition — proves the engine before LEOS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LEOS / JKR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Built on LCE, not inside LCE — deferred until Contractor Edition proves the engine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Frontend Architecture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State Engine + Event Bus introduced in V4</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Migration Strategy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Evolutionary upgrade — no platform rewrite</w:t>
            </w:r>
          </w:p>
        </w:tc>
      </w:tr>
    </w:tbl>
    <w:p>
      <w:pPr>
        <w:spacing w:after="80" w:before="80"/>
      </w:pPr>
      <w:r>
        <w:t xml:space="preserve"/>
      </w:r>
    </w:p>
    <w:p>
      <w:r>
        <w:br w:type="page"/>
      </w:r>
    </w:p>
    <w:p>
      <w:pPr>
        <w:pStyle w:val="Heading1"/>
        <w:pBdr>
          <w:bottom w:val="single" w:color="2E75B6" w:sz="6" w:space="4"/>
        </w:pBdr>
        <w:spacing w:after="200" w:before="360"/>
      </w:pPr>
      <w:r>
        <w:rPr>
          <w:rFonts w:ascii="Arial" w:cs="Arial" w:eastAsia="Arial" w:hAnsi="Arial"/>
          <w:b/>
          <w:bCs/>
          <w:color w:val="1F4E79"/>
          <w:sz w:val="32"/>
          <w:szCs w:val="32"/>
        </w:rPr>
        <w:t xml:space="preserve">8. What This Architecture Enables</w:t>
      </w:r>
    </w:p>
    <w:p>
      <w:pPr>
        <w:pStyle w:val="Heading2"/>
        <w:spacing w:after="140" w:before="280"/>
      </w:pPr>
      <w:r>
        <w:rPr>
          <w:rFonts w:ascii="Arial" w:cs="Arial" w:eastAsia="Arial" w:hAnsi="Arial"/>
          <w:b/>
          <w:bCs/>
          <w:color w:val="2E75B6"/>
          <w:sz w:val="26"/>
          <w:szCs w:val="26"/>
        </w:rPr>
        <w:t xml:space="preserve">8.1 For a Small Contractor</w:t>
      </w:r>
    </w:p>
    <w:p>
      <w:pPr>
        <w:pStyle w:val="ListParagraph"/>
        <w:numPr>
          <w:ilvl w:val="0"/>
          <w:numId w:val="2"/>
        </w:numPr>
        <w:spacing w:after="60" w:before="60"/>
      </w:pPr>
      <w:r>
        <w:rPr>
          <w:rFonts w:ascii="Arial" w:cs="Arial" w:eastAsia="Arial" w:hAnsi="Arial"/>
          <w:sz w:val="22"/>
          <w:szCs w:val="22"/>
        </w:rPr>
        <w:t xml:space="preserve">Add more vehicles without changing workflows — add a Vehicle resource instance.</w:t>
      </w:r>
    </w:p>
    <w:p>
      <w:pPr>
        <w:pStyle w:val="ListParagraph"/>
        <w:numPr>
          <w:ilvl w:val="0"/>
          <w:numId w:val="2"/>
        </w:numPr>
        <w:spacing w:after="60" w:before="60"/>
      </w:pPr>
      <w:r>
        <w:rPr>
          <w:rFonts w:ascii="Arial" w:cs="Arial" w:eastAsia="Arial" w:hAnsi="Arial"/>
          <w:sz w:val="22"/>
          <w:szCs w:val="22"/>
        </w:rPr>
        <w:t xml:space="preserve">Add payroll later by enabling the HR Pack — no schema migration to existing data.</w:t>
      </w:r>
    </w:p>
    <w:p>
      <w:pPr>
        <w:pStyle w:val="ListParagraph"/>
        <w:numPr>
          <w:ilvl w:val="0"/>
          <w:numId w:val="2"/>
        </w:numPr>
        <w:spacing w:after="60" w:before="60"/>
      </w:pPr>
      <w:r>
        <w:rPr>
          <w:rFonts w:ascii="Arial" w:cs="Arial" w:eastAsia="Arial" w:hAnsi="Arial"/>
          <w:sz w:val="22"/>
          <w:szCs w:val="22"/>
        </w:rPr>
        <w:t xml:space="preserve">Reuse the same Approve node and Generate Invoice node across all job types.</w:t>
      </w:r>
    </w:p>
    <w:p>
      <w:pPr>
        <w:pStyle w:val="ListParagraph"/>
        <w:numPr>
          <w:ilvl w:val="0"/>
          <w:numId w:val="2"/>
        </w:numPr>
        <w:spacing w:after="60" w:before="60"/>
      </w:pPr>
      <w:r>
        <w:rPr>
          <w:rFonts w:ascii="Arial" w:cs="Arial" w:eastAsia="Arial" w:hAnsi="Arial"/>
          <w:sz w:val="22"/>
          <w:szCs w:val="22"/>
        </w:rPr>
        <w:t xml:space="preserve">Owner Assistant answers operational questions grounded in real resource and event data.</w:t>
      </w:r>
    </w:p>
    <w:p>
      <w:pPr>
        <w:spacing w:after="80" w:before="80"/>
      </w:pPr>
      <w:r>
        <w:t xml:space="preserve"/>
      </w:r>
    </w:p>
    <w:p>
      <w:pPr>
        <w:pStyle w:val="Heading2"/>
        <w:spacing w:after="140" w:before="280"/>
      </w:pPr>
      <w:r>
        <w:rPr>
          <w:rFonts w:ascii="Arial" w:cs="Arial" w:eastAsia="Arial" w:hAnsi="Arial"/>
          <w:b/>
          <w:bCs/>
          <w:color w:val="2E75B6"/>
          <w:sz w:val="26"/>
          <w:szCs w:val="26"/>
        </w:rPr>
        <w:t xml:space="preserve">8.2 For a Mid-Size Company</w:t>
      </w:r>
    </w:p>
    <w:p>
      <w:pPr>
        <w:pStyle w:val="ListParagraph"/>
        <w:numPr>
          <w:ilvl w:val="0"/>
          <w:numId w:val="2"/>
        </w:numPr>
        <w:spacing w:after="60" w:before="60"/>
      </w:pPr>
      <w:r>
        <w:rPr>
          <w:rFonts w:ascii="Arial" w:cs="Arial" w:eastAsia="Arial" w:hAnsi="Arial"/>
          <w:sz w:val="22"/>
          <w:szCs w:val="22"/>
        </w:rPr>
        <w:t xml:space="preserve">Add departments, teams, and role hierarchies via the Security Engine's permission model.</w:t>
      </w:r>
    </w:p>
    <w:p>
      <w:pPr>
        <w:pStyle w:val="ListParagraph"/>
        <w:numPr>
          <w:ilvl w:val="0"/>
          <w:numId w:val="2"/>
        </w:numPr>
        <w:spacing w:after="60" w:before="60"/>
      </w:pPr>
      <w:r>
        <w:rPr>
          <w:rFonts w:ascii="Arial" w:cs="Arial" w:eastAsia="Arial" w:hAnsi="Arial"/>
          <w:sz w:val="22"/>
          <w:szCs w:val="22"/>
        </w:rPr>
        <w:t xml:space="preserve">Extend resource types without engine changes — add a new resource type to a pack.</w:t>
      </w:r>
    </w:p>
    <w:p>
      <w:pPr>
        <w:pStyle w:val="ListParagraph"/>
        <w:numPr>
          <w:ilvl w:val="0"/>
          <w:numId w:val="2"/>
        </w:numPr>
        <w:spacing w:after="60" w:before="60"/>
      </w:pPr>
      <w:r>
        <w:rPr>
          <w:rFonts w:ascii="Arial" w:cs="Arial" w:eastAsia="Arial" w:hAnsi="Arial"/>
          <w:sz w:val="22"/>
          <w:szCs w:val="22"/>
        </w:rPr>
        <w:t xml:space="preserve">Connect external systems via integration nodes in the Integration Pack.</w:t>
      </w:r>
    </w:p>
    <w:p>
      <w:pPr>
        <w:pStyle w:val="ListParagraph"/>
        <w:numPr>
          <w:ilvl w:val="0"/>
          <w:numId w:val="2"/>
        </w:numPr>
        <w:spacing w:after="60" w:before="60"/>
      </w:pPr>
      <w:r>
        <w:rPr>
          <w:rFonts w:ascii="Arial" w:cs="Arial" w:eastAsia="Arial" w:hAnsi="Arial"/>
          <w:sz w:val="22"/>
          <w:szCs w:val="22"/>
        </w:rPr>
        <w:t xml:space="preserve">Run 40–70 distinct workflow templates covering all operational processes.</w:t>
      </w:r>
    </w:p>
    <w:p>
      <w:pPr>
        <w:spacing w:after="80" w:before="80"/>
      </w:pPr>
      <w:r>
        <w:t xml:space="preserve"/>
      </w:r>
    </w:p>
    <w:p>
      <w:pPr>
        <w:pStyle w:val="Heading2"/>
        <w:spacing w:after="140" w:before="280"/>
      </w:pPr>
      <w:r>
        <w:rPr>
          <w:rFonts w:ascii="Arial" w:cs="Arial" w:eastAsia="Arial" w:hAnsi="Arial"/>
          <w:b/>
          <w:bCs/>
          <w:color w:val="2E75B6"/>
          <w:sz w:val="26"/>
          <w:szCs w:val="26"/>
        </w:rPr>
        <w:t xml:space="preserve">8.3 For LEOS / JKR</w:t>
      </w:r>
    </w:p>
    <w:p>
      <w:pPr>
        <w:pStyle w:val="ListParagraph"/>
        <w:numPr>
          <w:ilvl w:val="0"/>
          <w:numId w:val="2"/>
        </w:numPr>
        <w:spacing w:after="60" w:before="60"/>
      </w:pPr>
      <w:r>
        <w:rPr>
          <w:rFonts w:ascii="Arial" w:cs="Arial" w:eastAsia="Arial" w:hAnsi="Arial"/>
          <w:sz w:val="22"/>
          <w:szCs w:val="22"/>
        </w:rPr>
        <w:t xml:space="preserve">300+ workflows, 800–1,500 nodes, 80+ resource types — all on the same engine, no engine fork.</w:t>
      </w:r>
    </w:p>
    <w:p>
      <w:pPr>
        <w:pStyle w:val="ListParagraph"/>
        <w:numPr>
          <w:ilvl w:val="0"/>
          <w:numId w:val="2"/>
        </w:numPr>
        <w:spacing w:after="60" w:before="60"/>
      </w:pPr>
      <w:r>
        <w:rPr>
          <w:rFonts w:ascii="Arial" w:cs="Arial" w:eastAsia="Arial" w:hAnsi="Arial"/>
          <w:sz w:val="22"/>
          <w:szCs w:val="22"/>
        </w:rPr>
        <w:t xml:space="preserve">Foundation nodes (Approve, Generate PDF, Send Notification) shared across all LEOS workflows.</w:t>
      </w:r>
    </w:p>
    <w:p>
      <w:pPr>
        <w:pStyle w:val="ListParagraph"/>
        <w:numPr>
          <w:ilvl w:val="0"/>
          <w:numId w:val="2"/>
        </w:numPr>
        <w:spacing w:after="60" w:before="60"/>
      </w:pPr>
      <w:r>
        <w:rPr>
          <w:rFonts w:ascii="Arial" w:cs="Arial" w:eastAsia="Arial" w:hAnsi="Arial"/>
          <w:sz w:val="22"/>
          <w:szCs w:val="22"/>
        </w:rPr>
        <w:t xml:space="preserve">Full audit trail via Event Bus satisfies government compliance requirements.</w:t>
      </w:r>
    </w:p>
    <w:p>
      <w:pPr>
        <w:pStyle w:val="ListParagraph"/>
        <w:numPr>
          <w:ilvl w:val="0"/>
          <w:numId w:val="2"/>
        </w:numPr>
        <w:spacing w:after="60" w:before="60"/>
      </w:pPr>
      <w:r>
        <w:rPr>
          <w:rFonts w:ascii="Arial" w:cs="Arial" w:eastAsia="Arial" w:hAnsi="Arial"/>
          <w:sz w:val="22"/>
          <w:szCs w:val="22"/>
        </w:rPr>
        <w:t xml:space="preserve">AI assists QS engineers with BOQ classification, variation analysis, and claim review — advisory only.</w:t>
      </w:r>
    </w:p>
    <w:p>
      <w:pPr>
        <w:spacing w:after="80" w:before="80"/>
      </w:pPr>
      <w:r>
        <w:t xml:space="preserve"/>
      </w:r>
    </w:p>
    <w:p>
      <w:pPr>
        <w:pStyle w:val="Heading2"/>
        <w:spacing w:after="140" w:before="280"/>
      </w:pPr>
      <w:r>
        <w:rPr>
          <w:rFonts w:ascii="Arial" w:cs="Arial" w:eastAsia="Arial" w:hAnsi="Arial"/>
          <w:b/>
          <w:bCs/>
          <w:color w:val="2E75B6"/>
          <w:sz w:val="26"/>
          <w:szCs w:val="26"/>
        </w:rPr>
        <w:t xml:space="preserve">8.4 For Pack Developers</w:t>
      </w:r>
    </w:p>
    <w:p>
      <w:pPr>
        <w:pStyle w:val="ListParagraph"/>
        <w:numPr>
          <w:ilvl w:val="0"/>
          <w:numId w:val="2"/>
        </w:numPr>
        <w:spacing w:after="60" w:before="60"/>
      </w:pPr>
      <w:r>
        <w:rPr>
          <w:rFonts w:ascii="Arial" w:cs="Arial" w:eastAsia="Arial" w:hAnsi="Arial"/>
          <w:sz w:val="22"/>
          <w:szCs w:val="22"/>
        </w:rPr>
        <w:t xml:space="preserve">Write a node once — it works in every workflow that uses it, across any solution.</w:t>
      </w:r>
    </w:p>
    <w:p>
      <w:pPr>
        <w:pStyle w:val="ListParagraph"/>
        <w:numPr>
          <w:ilvl w:val="0"/>
          <w:numId w:val="2"/>
        </w:numPr>
        <w:spacing w:after="60" w:before="60"/>
      </w:pPr>
      <w:r>
        <w:rPr>
          <w:rFonts w:ascii="Arial" w:cs="Arial" w:eastAsia="Arial" w:hAnsi="Arial"/>
          <w:sz w:val="22"/>
          <w:szCs w:val="22"/>
        </w:rPr>
        <w:t xml:space="preserve">Declare Node Manifest V2 — the canvas, inspector, and AI all consume it automatically.</w:t>
      </w:r>
    </w:p>
    <w:p>
      <w:pPr>
        <w:pStyle w:val="ListParagraph"/>
        <w:numPr>
          <w:ilvl w:val="0"/>
          <w:numId w:val="2"/>
        </w:numPr>
        <w:spacing w:after="60" w:before="60"/>
      </w:pPr>
      <w:r>
        <w:rPr>
          <w:rFonts w:ascii="Arial" w:cs="Arial" w:eastAsia="Arial" w:hAnsi="Arial"/>
          <w:sz w:val="22"/>
          <w:szCs w:val="22"/>
        </w:rPr>
        <w:t xml:space="preserve">Publish a pack to the Marketplace — organisations install it with one click.</w:t>
      </w:r>
    </w:p>
    <w:p>
      <w:pPr>
        <w:pStyle w:val="ListParagraph"/>
        <w:numPr>
          <w:ilvl w:val="0"/>
          <w:numId w:val="2"/>
        </w:numPr>
        <w:spacing w:after="60" w:before="60"/>
      </w:pPr>
      <w:r>
        <w:rPr>
          <w:rFonts w:ascii="Arial" w:cs="Arial" w:eastAsia="Arial" w:hAnsi="Arial"/>
          <w:sz w:val="22"/>
          <w:szCs w:val="22"/>
        </w:rPr>
        <w:t xml:space="preserve">Pack migrations are isolated — updating a pack never breaks the engine or other packs.</w:t>
      </w:r>
    </w:p>
    <w:p>
      <w:pPr>
        <w:spacing w:after="80" w:before="80"/>
      </w:pPr>
      <w:r>
        <w:t xml:space="preserve"/>
      </w:r>
    </w:p>
    <w:p>
      <w:r>
        <w:br w:type="page"/>
      </w:r>
    </w:p>
    <w:p>
      <w:pPr>
        <w:pStyle w:val="Heading1"/>
        <w:pBdr>
          <w:bottom w:val="single" w:color="2E75B6" w:sz="6" w:space="4"/>
        </w:pBdr>
        <w:spacing w:after="200" w:before="360"/>
      </w:pPr>
      <w:r>
        <w:rPr>
          <w:rFonts w:ascii="Arial" w:cs="Arial" w:eastAsia="Arial" w:hAnsi="Arial"/>
          <w:b/>
          <w:bCs/>
          <w:color w:val="1F4E79"/>
          <w:sz w:val="32"/>
          <w:szCs w:val="32"/>
        </w:rPr>
        <w:t xml:space="preserve">9. Document Relationships</w:t>
      </w:r>
    </w:p>
    <w:p>
      <w:pPr>
        <w:spacing w:after="80" w:before="80"/>
        <w:jc w:val="both"/>
      </w:pPr>
      <w:r>
        <w:rPr>
          <w:rFonts w:ascii="Arial" w:cs="Arial" w:eastAsia="Arial" w:hAnsi="Arial"/>
          <w:sz w:val="22"/>
          <w:szCs w:val="22"/>
        </w:rPr>
        <w:t xml:space="preserve">This Volume is the architectural root. All other LCE volumes derive their scope from the architecture defined here.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Volume</w:t>
            </w:r>
          </w:p>
        </w:tc>
        <w:tc>
          <w:tcPr>
            <w:tcW w:type="dxa" w:w="5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Scope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LCE Vol 1 — Core Architecture (this document)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Engine identity, layers, design decisions, tech stack</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LCE Vol 2 — Workflow Engine Specification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DAG, planner, runner, versioning, pause/resume, triggers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LCE Vol 3 — Execution Engine Specification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Scheduling, parallel execution, loops, retries, sub-workflows, observability</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LCE Vol 4 — Workflow JSON Specification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Schema, validation, builder, export/import, migration</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LCE Vol 5 — Node SDK Specification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Node Manifest V2, NodeContext, ports, config schema, BaseNode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LCE Vol 6 — Pack SDK Specification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PackManifest, resolver contract, lifecycle, permissions, migrations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LCE Vol 7 — Resource Engine Specification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Resource schema, service interface, resource types, relationships, history</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LCE Vol 8 — Event Bus Specification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Event envelope, publisher/subscriber, event catalog, correlation/causation</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LCE Vol 9 — State Engine Specification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State machine format, transition rules, permission gates, state history</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LCE Vol 10 — Security Engine Specification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Auth flow, roles, permission model, AI guardrails, audit trail, RLS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LCE Vol 11 — AI Runtime Specification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Context builder, tool calling, output ledger, guardrails, Owner Assistant, Design Studio</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LCE Vol 12 — Marketplace Engine Specification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Pack ecosystem, installer, official packs catalog, marketplace model</w:t>
            </w:r>
          </w:p>
        </w:tc>
      </w:tr>
    </w:tbl>
    <w:p>
      <w:pPr>
        <w:spacing w:after="80" w:before="80"/>
      </w:pPr>
      <w:r>
        <w:t xml:space="preserve"/>
      </w:r>
    </w:p>
    <w:p>
      <w:r>
        <w:br w:type="page"/>
      </w:r>
    </w:p>
    <w:p>
      <w:pPr>
        <w:pStyle w:val="Heading1"/>
        <w:pBdr>
          <w:bottom w:val="single" w:color="2E75B6" w:sz="6" w:space="4"/>
        </w:pBdr>
        <w:spacing w:after="200" w:before="360"/>
      </w:pPr>
      <w:r>
        <w:rPr>
          <w:rFonts w:ascii="Arial" w:cs="Arial" w:eastAsia="Arial" w:hAnsi="Arial"/>
          <w:b/>
          <w:bCs/>
          <w:color w:val="1F4E79"/>
          <w:sz w:val="32"/>
          <w:szCs w:val="32"/>
        </w:rPr>
        <w:t xml:space="preserve">10.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Term</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Definition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Lados Core Engine — the platform engine that all solutions are built 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Pack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 installable bundle of nodes, resources, workflows, events, and state machines for a business domain.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Solution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 named composition of packs installed on LCE (e.g. Contractor Edition, LEOS).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Resource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 typed business object instance (Job, Invoice, Vehicle) managed by the Resource Engine.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Node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 single executable step in a workflow with declared inputs, outputs, config, and a manifest.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Node Manifest V2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V4 metadata contract that fully describes a node for execution, UI rendering, validation, and AI.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Workflow</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 directed acyclic graph (DAG) of nodes defining a business process.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Pack Resolver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resolveNode() function exported by each pack that maps node type strings to executors.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Run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 single execution instance of a workflow.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Checkpoint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Persisted node outputs and paused state enabling pause and resume of a workflow run.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Approval Task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 human action required to resume a paused workflow run at an approval node.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Event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 typed, immutable record of something that happened in the system. Never updated or deleted.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State Machine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 configurable set of states and allowed transitions for a resource type, declared in a pack manifest.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Foundation Pack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mandatory base pack providing users, files, approvals, notifications, and AI context.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Advisory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 AI output not yet accepted by a human. Must not be committed to financial or legal records.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Frontend State Engine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V4 client-side component managing UI state transitions in the Workflow Builder.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Frontend Event Bus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V4 client-side pub/sub bus enabling decoupled communication between UI panels.</w:t>
            </w:r>
          </w:p>
        </w:tc>
      </w:tr>
    </w:tbl>
    <w:p>
      <w:pPr>
        <w:spacing w:after="80" w:before="80"/>
      </w:pPr>
      <w:r>
        <w:t xml:space="preserve"/>
      </w:r>
    </w:p>
    <w:p>
      <w:pPr>
        <w:pStyle w:val="Heading1"/>
        <w:pBdr>
          <w:bottom w:val="single" w:color="2E75B6" w:sz="6" w:space="4"/>
        </w:pBdr>
        <w:spacing w:after="200" w:before="360"/>
      </w:pPr>
      <w:r>
        <w:rPr>
          <w:rFonts w:ascii="Arial" w:cs="Arial" w:eastAsia="Arial" w:hAnsi="Arial"/>
          <w:b/>
          <w:bCs/>
          <w:color w:val="1F4E79"/>
          <w:sz w:val="32"/>
          <w:szCs w:val="32"/>
        </w:rPr>
        <w:t xml:space="preserve">11.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160"/>
        <w:gridCol w:w="5800"/>
      </w:tblGrid>
      <w:tr>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2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5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Summary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2026-06-18</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Initial LCE V1 architecture document (Lados/01_LCE_Architecture.md)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2026-06-20</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Consolidated into LCE_V1/Lados_Core_Engine.md — full engine reference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2026-06-24</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AI Runtime phases 10 and 11 completed; document updated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2026-06-27</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V4 Architecture Freeze — Node Manifest V2, Frontend State Engine/Event Bus, evolutionary migration strategy</w:t>
            </w:r>
          </w:p>
        </w:tc>
      </w:tr>
    </w:tbl>
    <w:p>
      <w:pPr>
        <w:spacing w:after="80" w:before="80"/>
      </w:pPr>
      <w:r>
        <w:t xml:space="preserve"/>
      </w:r>
    </w:p>
    <w:p>
      <w:pPr>
        <w:spacing w:after="200" w:before="600"/>
        <w:jc w:val="center"/>
      </w:pPr>
      <w:r>
        <w:rPr>
          <w:rFonts w:ascii="Arial" w:cs="Arial" w:eastAsia="Arial" w:hAnsi="Arial"/>
          <w:i/>
          <w:iCs/>
          <w:color w:val="888888"/>
          <w:sz w:val="20"/>
          <w:szCs w:val="20"/>
        </w:rPr>
        <w:t xml:space="preserve">— End of LCE Volume 1 — Core Architecture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rFonts w:ascii="Arial" w:cs="Arial" w:eastAsia="Arial" w:hAnsi="Arial"/>
        <w:color w:val="888888"/>
        <w:sz w:val="16"/>
        <w:szCs w:val="16"/>
      </w:rPr>
      <w:t xml:space="preserve">Lados Core Engine (LCE) V4</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rFonts w:ascii="Arial" w:cs="Arial" w:eastAsia="Arial" w:hAnsi="Arial"/>
        <w:color w:val="888888"/>
        <w:sz w:val="18"/>
        <w:szCs w:val="18"/>
      </w:rPr>
      <w:t xml:space="preserve">LADOS V4  |  LCE Volume 1 — Core Architecture</w:t>
    </w:r>
    <w:r>
      <w:rPr>
        <w:rFonts w:ascii="Arial" w:cs="Arial" w:eastAsia="Arial" w:hAnsi="Arial"/>
        <w:sz w:val="18"/>
        <w:szCs w:val="18"/>
      </w:rPr>
      <w:t xml:space="preserve">	</w:t>
    </w:r>
    <w:r>
      <w:rPr>
        <w:rFonts w:ascii="Arial" w:cs="Arial" w:eastAsia="Arial" w:hAnsi="Arial"/>
        <w:b/>
        <w:bCs/>
        <w:color w:val="2E75B6"/>
        <w:sz w:val="18"/>
        <w:szCs w:val="18"/>
      </w:rPr>
      <w:t xml:space="preserve">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2026-06-27T15:07:30.667Z</dcterms:created>
  <dcterms:modified xsi:type="dcterms:W3CDTF">2026-06-27T15:07:30.668Z</dcterms:modified>
</cp:coreProperties>
</file>

<file path=docProps/custom.xml><?xml version="1.0" encoding="utf-8"?>
<Properties xmlns="http://schemas.openxmlformats.org/officeDocument/2006/custom-properties" xmlns:vt="http://schemas.openxmlformats.org/officeDocument/2006/docPropsVTypes"/>
</file>