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10 — Security Engine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LADOS-LCE-V10-001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LCE Volumes (cross-cutting concern)</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specifies the Lados Security Engine — the cross-cutting security framework that governs authentication, authorisation, data isolation, AI guardrails, and audit trail across the entire LCE platform. Security in Lados is not a single module; it is a set of rules enforced at every layer of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Security Design Principles</w:t>
            </w:r>
          </w:p>
          <w:p>
            <w:pPr>
              <w:spacing w:before="60"/>
            </w:pPr>
            <w:r>
              <w:rPr>
                <w:rFonts w:ascii="Arial" w:cs="Arial" w:eastAsia="Arial" w:hAnsi="Arial"/>
                <w:color w:val="1A1A2E"/>
                <w:sz w:val="20"/>
                <w:szCs w:val="20"/>
              </w:rPr>
              <w:t xml:space="preserve">1. Multi-tenant isolation is enforced at the database layer (RLS), not just the application layer. 2. Permissions are additive — users have no access by default. 3. AI outputs are always advisory and never bypass human approval gates. 4. Every sensitive action produces an immutable audit record.</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Authentication</w:t>
      </w:r>
    </w:p>
    <w:p>
      <w:pPr>
        <w:pStyle w:val="Heading2"/>
        <w:spacing w:after="140" w:before="280"/>
      </w:pPr>
      <w:r>
        <w:rPr>
          <w:rFonts w:ascii="Arial" w:cs="Arial" w:eastAsia="Arial" w:hAnsi="Arial"/>
          <w:b/>
          <w:bCs/>
          <w:color w:val="2E75B6"/>
          <w:sz w:val="26"/>
          <w:szCs w:val="26"/>
        </w:rPr>
        <w:t xml:space="preserve">2.1 Auth Provider</w:t>
      </w:r>
    </w:p>
    <w:p>
      <w:pPr>
        <w:spacing w:after="80" w:before="80"/>
        <w:jc w:val="both"/>
      </w:pPr>
      <w:r>
        <w:rPr>
          <w:rFonts w:ascii="Arial" w:cs="Arial" w:eastAsia="Arial" w:hAnsi="Arial"/>
          <w:sz w:val="22"/>
          <w:szCs w:val="22"/>
        </w:rPr>
        <w:t xml:space="preserve">Lados uses Supabase Auth as its identity provider. All authentication flows (email/password, magic link, OAuth) are handled by Supabase Auth. The application never stores raw passwords.</w:t>
      </w:r>
    </w:p>
    <w:p>
      <w:pPr>
        <w:shd w:fill="F0F0F0" w:val="clear"/>
        <w:spacing w:after="20" w:before="20"/>
        <w:ind w:left="720"/>
      </w:pPr>
      <w:r>
        <w:rPr>
          <w:rFonts w:ascii="Courier New" w:cs="Courier New" w:eastAsia="Courier New" w:hAnsi="Courier New"/>
          <w:color w:val="2B2B2B"/>
          <w:sz w:val="18"/>
          <w:szCs w:val="18"/>
        </w:rPr>
        <w:t xml:space="preserve">// Auth flow:</w:t>
      </w:r>
    </w:p>
    <w:p>
      <w:pPr>
        <w:shd w:fill="F0F0F0" w:val="clear"/>
        <w:spacing w:after="20" w:before="20"/>
        <w:ind w:left="720"/>
      </w:pPr>
      <w:r>
        <w:rPr>
          <w:rFonts w:ascii="Courier New" w:cs="Courier New" w:eastAsia="Courier New" w:hAnsi="Courier New"/>
          <w:color w:val="2B2B2B"/>
          <w:sz w:val="18"/>
          <w:szCs w:val="18"/>
        </w:rPr>
        <w:t xml:space="preserve">1. Client calls Supabase Auth (signInWithPassword / signInWithOtp / OAuth)</w:t>
      </w:r>
    </w:p>
    <w:p>
      <w:pPr>
        <w:shd w:fill="F0F0F0" w:val="clear"/>
        <w:spacing w:after="20" w:before="20"/>
        <w:ind w:left="720"/>
      </w:pPr>
      <w:r>
        <w:rPr>
          <w:rFonts w:ascii="Courier New" w:cs="Courier New" w:eastAsia="Courier New" w:hAnsi="Courier New"/>
          <w:color w:val="2B2B2B"/>
          <w:sz w:val="18"/>
          <w:szCs w:val="18"/>
        </w:rPr>
        <w:t xml:space="preserve">2. Supabase Auth issues a JWT access token + refresh token</w:t>
      </w:r>
    </w:p>
    <w:p>
      <w:pPr>
        <w:shd w:fill="F0F0F0" w:val="clear"/>
        <w:spacing w:after="20" w:before="20"/>
        <w:ind w:left="720"/>
      </w:pPr>
      <w:r>
        <w:rPr>
          <w:rFonts w:ascii="Courier New" w:cs="Courier New" w:eastAsia="Courier New" w:hAnsi="Courier New"/>
          <w:color w:val="2B2B2B"/>
          <w:sz w:val="18"/>
          <w:szCs w:val="18"/>
        </w:rPr>
        <w:t xml:space="preserve">3. Client includes JWT in Authorization: Bearer &lt;token&gt; header on all API requests</w:t>
      </w:r>
    </w:p>
    <w:p>
      <w:pPr>
        <w:shd w:fill="F0F0F0" w:val="clear"/>
        <w:spacing w:after="20" w:before="20"/>
        <w:ind w:left="720"/>
      </w:pPr>
      <w:r>
        <w:rPr>
          <w:rFonts w:ascii="Courier New" w:cs="Courier New" w:eastAsia="Courier New" w:hAnsi="Courier New"/>
          <w:color w:val="2B2B2B"/>
          <w:sz w:val="18"/>
          <w:szCs w:val="18"/>
        </w:rPr>
        <w:t xml:space="preserve">4. NestJS API validates JWT via @supabase/ssr on every request</w:t>
      </w:r>
    </w:p>
    <w:p>
      <w:pPr>
        <w:shd w:fill="F0F0F0" w:val="clear"/>
        <w:spacing w:after="20" w:before="20"/>
        <w:ind w:left="720"/>
      </w:pPr>
      <w:r>
        <w:rPr>
          <w:rFonts w:ascii="Courier New" w:cs="Courier New" w:eastAsia="Courier New" w:hAnsi="Courier New"/>
          <w:color w:val="2B2B2B"/>
          <w:sz w:val="18"/>
          <w:szCs w:val="18"/>
        </w:rPr>
        <w:t xml:space="preserve">5. Validated userId and organizationId are extracted and injected into request context</w:t>
      </w:r>
    </w:p>
    <w:p>
      <w:pPr>
        <w:shd w:fill="F0F0F0" w:val="clear"/>
        <w:spacing w:after="20" w:before="20"/>
        <w:ind w:left="720"/>
      </w:pPr>
      <w:r>
        <w:rPr>
          <w:rFonts w:ascii="Courier New" w:cs="Courier New" w:eastAsia="Courier New" w:hAnsi="Courier New"/>
          <w:color w:val="2B2B2B"/>
          <w:sz w:val="18"/>
          <w:szCs w:val="18"/>
        </w:rPr>
        <w:t xml:space="preserve">6. All downstream services receive the validated context — never trust user-supplied IDs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2.2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Access token lifetime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hour (Supabase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lifetime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 days (Supabase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storage (web)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cookie (httpOnly, SameSite=Strict) via @supabase/ssr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storage (mobile/API)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storage; never localStorage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Token rotation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Refresh token rotated on each use (Supabase handles)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revocation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Supabase Auth admin API can revoke all sessions for a user</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Authorisation — Role Model</w:t>
      </w:r>
    </w:p>
    <w:p>
      <w:pPr>
        <w:pStyle w:val="Heading2"/>
        <w:spacing w:after="140" w:before="280"/>
      </w:pPr>
      <w:r>
        <w:rPr>
          <w:rFonts w:ascii="Arial" w:cs="Arial" w:eastAsia="Arial" w:hAnsi="Arial"/>
          <w:b/>
          <w:bCs/>
          <w:color w:val="2E75B6"/>
          <w:sz w:val="26"/>
          <w:szCs w:val="26"/>
        </w:rPr>
        <w:t xml:space="preserve">3.1 Organisation Roles</w:t>
      </w:r>
    </w:p>
    <w:p>
      <w:pPr>
        <w:spacing w:after="80" w:before="80"/>
        <w:jc w:val="both"/>
      </w:pPr>
      <w:r>
        <w:rPr>
          <w:rFonts w:ascii="Arial" w:cs="Arial" w:eastAsia="Arial" w:hAnsi="Arial"/>
          <w:sz w:val="22"/>
          <w:szCs w:val="22"/>
        </w:rPr>
        <w:t xml:space="preserve">Every user has one role per organisation. Roles are hierarchical — higher roles inherit all permissions of lower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Inherits</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org_admin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administrative access; manage org, users, billing, packs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project_manager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 below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Manage projects, approve invoices, certify progress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qs_officer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contractor+viewer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and certify financial documents, manage BOQ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invoices, claims, variations, site reports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Read-only access to assigned resources and documents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3.2 Permission Model</w:t>
      </w:r>
    </w:p>
    <w:p>
      <w:pPr>
        <w:spacing w:after="80" w:before="80"/>
        <w:jc w:val="both"/>
      </w:pPr>
      <w:r>
        <w:rPr>
          <w:rFonts w:ascii="Arial" w:cs="Arial" w:eastAsia="Arial" w:hAnsi="Arial"/>
          <w:sz w:val="22"/>
          <w:szCs w:val="22"/>
        </w:rPr>
        <w:t xml:space="preserve">Permissions are resource-action pairs. Roles have a set of permissions attached. The engine checks permissions at the API handler level and re-checks at the service level for sensitive operations.</w:t>
      </w:r>
    </w:p>
    <w:p>
      <w:pPr>
        <w:shd w:fill="F0F0F0" w:val="clear"/>
        <w:spacing w:after="20" w:before="20"/>
        <w:ind w:left="720"/>
      </w:pPr>
      <w:r>
        <w:rPr>
          <w:rFonts w:ascii="Courier New" w:cs="Courier New" w:eastAsia="Courier New" w:hAnsi="Courier New"/>
          <w:color w:val="2B2B2B"/>
          <w:sz w:val="18"/>
          <w:szCs w:val="18"/>
        </w:rPr>
        <w:t xml:space="preserve">// Permission format: resource_type:action</w:t>
      </w:r>
    </w:p>
    <w:p>
      <w:pPr>
        <w:shd w:fill="F0F0F0" w:val="clear"/>
        <w:spacing w:after="20" w:before="20"/>
        <w:ind w:left="720"/>
      </w:pPr>
      <w:r>
        <w:rPr>
          <w:rFonts w:ascii="Courier New" w:cs="Courier New" w:eastAsia="Courier New" w:hAnsi="Courier New"/>
          <w:color w:val="2B2B2B"/>
          <w:sz w:val="18"/>
          <w:szCs w:val="18"/>
        </w:rPr>
        <w:t xml:space="preserve">// Examples:</w:t>
      </w:r>
    </w:p>
    <w:p>
      <w:pPr>
        <w:shd w:fill="F0F0F0" w:val="clear"/>
        <w:spacing w:after="20" w:before="20"/>
        <w:ind w:left="720"/>
      </w:pPr>
      <w:r>
        <w:rPr>
          <w:rFonts w:ascii="Courier New" w:cs="Courier New" w:eastAsia="Courier New" w:hAnsi="Courier New"/>
          <w:color w:val="2B2B2B"/>
          <w:sz w:val="18"/>
          <w:szCs w:val="18"/>
        </w:rPr>
        <w:t xml:space="preserve">//   invoice:read</w:t>
      </w:r>
    </w:p>
    <w:p>
      <w:pPr>
        <w:shd w:fill="F0F0F0" w:val="clear"/>
        <w:spacing w:after="20" w:before="20"/>
        <w:ind w:left="720"/>
      </w:pPr>
      <w:r>
        <w:rPr>
          <w:rFonts w:ascii="Courier New" w:cs="Courier New" w:eastAsia="Courier New" w:hAnsi="Courier New"/>
          <w:color w:val="2B2B2B"/>
          <w:sz w:val="18"/>
          <w:szCs w:val="18"/>
        </w:rPr>
        <w:t xml:space="preserve">//   invoice:create</w:t>
      </w:r>
    </w:p>
    <w:p>
      <w:pPr>
        <w:shd w:fill="F0F0F0" w:val="clear"/>
        <w:spacing w:after="20" w:before="20"/>
        <w:ind w:left="720"/>
      </w:pPr>
      <w:r>
        <w:rPr>
          <w:rFonts w:ascii="Courier New" w:cs="Courier New" w:eastAsia="Courier New" w:hAnsi="Courier New"/>
          <w:color w:val="2B2B2B"/>
          <w:sz w:val="18"/>
          <w:szCs w:val="18"/>
        </w:rPr>
        <w:t xml:space="preserve">//   invoice:submit</w:t>
      </w:r>
    </w:p>
    <w:p>
      <w:pPr>
        <w:shd w:fill="F0F0F0" w:val="clear"/>
        <w:spacing w:after="20" w:before="20"/>
        <w:ind w:left="720"/>
      </w:pPr>
      <w:r>
        <w:rPr>
          <w:rFonts w:ascii="Courier New" w:cs="Courier New" w:eastAsia="Courier New" w:hAnsi="Courier New"/>
          <w:color w:val="2B2B2B"/>
          <w:sz w:val="18"/>
          <w:szCs w:val="18"/>
        </w:rPr>
        <w:t xml:space="preserve">//   invoice:approve</w:t>
      </w:r>
    </w:p>
    <w:p>
      <w:pPr>
        <w:shd w:fill="F0F0F0" w:val="clear"/>
        <w:spacing w:after="20" w:before="20"/>
        <w:ind w:left="720"/>
      </w:pPr>
      <w:r>
        <w:rPr>
          <w:rFonts w:ascii="Courier New" w:cs="Courier New" w:eastAsia="Courier New" w:hAnsi="Courier New"/>
          <w:color w:val="2B2B2B"/>
          <w:sz w:val="18"/>
          <w:szCs w:val="18"/>
        </w:rPr>
        <w:t xml:space="preserve">//   project:manage</w:t>
      </w:r>
    </w:p>
    <w:p>
      <w:pPr>
        <w:shd w:fill="F0F0F0" w:val="clear"/>
        <w:spacing w:after="20" w:before="20"/>
        <w:ind w:left="720"/>
      </w:pPr>
      <w:r>
        <w:rPr>
          <w:rFonts w:ascii="Courier New" w:cs="Courier New" w:eastAsia="Courier New" w:hAnsi="Courier New"/>
          <w:color w:val="2B2B2B"/>
          <w:sz w:val="18"/>
          <w:szCs w:val="18"/>
        </w:rPr>
        <w:t xml:space="preserve">//   workflow:publish</w:t>
      </w:r>
    </w:p>
    <w:p>
      <w:pPr>
        <w:shd w:fill="F0F0F0" w:val="clear"/>
        <w:spacing w:after="20" w:before="20"/>
        <w:ind w:left="720"/>
      </w:pPr>
      <w:r>
        <w:rPr>
          <w:rFonts w:ascii="Courier New" w:cs="Courier New" w:eastAsia="Courier New" w:hAnsi="Courier New"/>
          <w:color w:val="2B2B2B"/>
          <w:sz w:val="18"/>
          <w:szCs w:val="18"/>
        </w:rPr>
        <w:t xml:space="preserve">//   pack:install</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3.3 Permission Check Flow</w:t>
      </w:r>
    </w:p>
    <w:p>
      <w:pPr>
        <w:shd w:fill="F0F0F0" w:val="clear"/>
        <w:spacing w:after="20" w:before="20"/>
        <w:ind w:left="720"/>
      </w:pPr>
      <w:r>
        <w:rPr>
          <w:rFonts w:ascii="Courier New" w:cs="Courier New" w:eastAsia="Courier New" w:hAnsi="Courier New"/>
          <w:color w:val="2B2B2B"/>
          <w:sz w:val="18"/>
          <w:szCs w:val="18"/>
        </w:rPr>
        <w:t xml:space="preserve">API request received</w:t>
      </w:r>
    </w:p>
    <w:p>
      <w:pPr>
        <w:shd w:fill="F0F0F0" w:val="clear"/>
        <w:spacing w:after="20" w:before="20"/>
        <w:ind w:left="720"/>
      </w:pPr>
      <w:r>
        <w:rPr>
          <w:rFonts w:ascii="Courier New" w:cs="Courier New" w:eastAsia="Courier New" w:hAnsi="Courier New"/>
          <w:color w:val="2B2B2B"/>
          <w:sz w:val="18"/>
          <w:szCs w:val="18"/>
        </w:rPr>
        <w:t xml:space="preserve">  → JWT validated (userId, organizationId extracted)</w:t>
      </w:r>
    </w:p>
    <w:p>
      <w:pPr>
        <w:shd w:fill="F0F0F0" w:val="clear"/>
        <w:spacing w:after="20" w:before="20"/>
        <w:ind w:left="720"/>
      </w:pPr>
      <w:r>
        <w:rPr>
          <w:rFonts w:ascii="Courier New" w:cs="Courier New" w:eastAsia="Courier New" w:hAnsi="Courier New"/>
          <w:color w:val="2B2B2B"/>
          <w:sz w:val="18"/>
          <w:szCs w:val="18"/>
        </w:rPr>
        <w:t xml:space="preserve">  → NestJS Guard: hasPermission('invoice:approve')</w:t>
      </w:r>
    </w:p>
    <w:p>
      <w:pPr>
        <w:shd w:fill="F0F0F0" w:val="clear"/>
        <w:spacing w:after="20" w:before="20"/>
        <w:ind w:left="720"/>
      </w:pPr>
      <w:r>
        <w:rPr>
          <w:rFonts w:ascii="Courier New" w:cs="Courier New" w:eastAsia="Courier New" w:hAnsi="Courier New"/>
          <w:color w:val="2B2B2B"/>
          <w:sz w:val="18"/>
          <w:szCs w:val="18"/>
        </w:rPr>
        <w:t xml:space="preserve">  → PermissionService.check(userId, orgId, 'invoice:approve')</w:t>
      </w:r>
    </w:p>
    <w:p>
      <w:pPr>
        <w:shd w:fill="F0F0F0" w:val="clear"/>
        <w:spacing w:after="20" w:before="20"/>
        <w:ind w:left="720"/>
      </w:pPr>
      <w:r>
        <w:rPr>
          <w:rFonts w:ascii="Courier New" w:cs="Courier New" w:eastAsia="Courier New" w:hAnsi="Courier New"/>
          <w:color w:val="2B2B2B"/>
          <w:sz w:val="18"/>
          <w:szCs w:val="18"/>
        </w:rPr>
        <w:t xml:space="preserve">  → Lookup user's role in organization_members</w:t>
      </w:r>
    </w:p>
    <w:p>
      <w:pPr>
        <w:shd w:fill="F0F0F0" w:val="clear"/>
        <w:spacing w:after="20" w:before="20"/>
        <w:ind w:left="720"/>
      </w:pPr>
      <w:r>
        <w:rPr>
          <w:rFonts w:ascii="Courier New" w:cs="Courier New" w:eastAsia="Courier New" w:hAnsi="Courier New"/>
          <w:color w:val="2B2B2B"/>
          <w:sz w:val="18"/>
          <w:szCs w:val="18"/>
        </w:rPr>
        <w:t xml:space="preserve">  → Lookup role's permissions in role_permissions</w:t>
      </w:r>
    </w:p>
    <w:p>
      <w:pPr>
        <w:shd w:fill="F0F0F0" w:val="clear"/>
        <w:spacing w:after="20" w:before="20"/>
        <w:ind w:left="720"/>
      </w:pPr>
      <w:r>
        <w:rPr>
          <w:rFonts w:ascii="Courier New" w:cs="Courier New" w:eastAsia="Courier New" w:hAnsi="Courier New"/>
          <w:color w:val="2B2B2B"/>
          <w:sz w:val="18"/>
          <w:szCs w:val="18"/>
        </w:rPr>
        <w:t xml:space="preserve">  → If permitted: continue</w:t>
      </w:r>
    </w:p>
    <w:p>
      <w:pPr>
        <w:shd w:fill="F0F0F0" w:val="clear"/>
        <w:spacing w:after="20" w:before="20"/>
        <w:ind w:left="720"/>
      </w:pPr>
      <w:r>
        <w:rPr>
          <w:rFonts w:ascii="Courier New" w:cs="Courier New" w:eastAsia="Courier New" w:hAnsi="Courier New"/>
          <w:color w:val="2B2B2B"/>
          <w:sz w:val="18"/>
          <w:szCs w:val="18"/>
        </w:rPr>
        <w:t xml:space="preserve">  → If denied: 403 + emit Auth.PermissionDenied event</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Row-Level Security (RLS)</w:t>
      </w:r>
    </w:p>
    <w:p>
      <w:pPr>
        <w:spacing w:after="80" w:before="80"/>
        <w:jc w:val="both"/>
      </w:pPr>
      <w:r>
        <w:rPr>
          <w:rFonts w:ascii="Arial" w:cs="Arial" w:eastAsia="Arial" w:hAnsi="Arial"/>
          <w:sz w:val="22"/>
          <w:szCs w:val="22"/>
        </w:rPr>
        <w:t xml:space="preserve">Every multi-tenant table in Supabase has Row-Level Security enabled. RLS policies ensure that a user can only read and write records belonging to their own organisation, even if they bypass the API and query Supabase directly.</w:t>
      </w:r>
    </w:p>
    <w:p>
      <w:pPr>
        <w:shd w:fill="F0F0F0" w:val="clear"/>
        <w:spacing w:after="20" w:before="20"/>
        <w:ind w:left="720"/>
      </w:pPr>
      <w:r>
        <w:rPr>
          <w:rFonts w:ascii="Courier New" w:cs="Courier New" w:eastAsia="Courier New" w:hAnsi="Courier New"/>
          <w:color w:val="2B2B2B"/>
          <w:sz w:val="18"/>
          <w:szCs w:val="18"/>
        </w:rPr>
        <w:t xml:space="preserve">-- Example RLS policy for the resources table:</w:t>
      </w:r>
    </w:p>
    <w:p>
      <w:pPr>
        <w:shd w:fill="F0F0F0" w:val="clear"/>
        <w:spacing w:after="20" w:before="20"/>
        <w:ind w:left="720"/>
      </w:pPr>
      <w:r>
        <w:rPr>
          <w:rFonts w:ascii="Courier New" w:cs="Courier New" w:eastAsia="Courier New" w:hAnsi="Courier New"/>
          <w:color w:val="2B2B2B"/>
          <w:sz w:val="18"/>
          <w:szCs w:val="18"/>
        </w:rPr>
        <w:t xml:space="preserve">CREATE POLICY resources_org_isolation ON resources</w:t>
      </w:r>
    </w:p>
    <w:p>
      <w:pPr>
        <w:shd w:fill="F0F0F0" w:val="clear"/>
        <w:spacing w:after="20" w:before="20"/>
        <w:ind w:left="720"/>
      </w:pPr>
      <w:r>
        <w:rPr>
          <w:rFonts w:ascii="Courier New" w:cs="Courier New" w:eastAsia="Courier New" w:hAnsi="Courier New"/>
          <w:color w:val="2B2B2B"/>
          <w:sz w:val="18"/>
          <w:szCs w:val="18"/>
        </w:rPr>
        <w:t xml:space="preserve">  USING (organization_id = auth.jwt() -&gt;&gt; 'organization_id');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CREATE POLICY resources_insert_org ON resources</w:t>
      </w:r>
    </w:p>
    <w:p>
      <w:pPr>
        <w:shd w:fill="F0F0F0" w:val="clear"/>
        <w:spacing w:after="20" w:before="20"/>
        <w:ind w:left="720"/>
      </w:pPr>
      <w:r>
        <w:rPr>
          <w:rFonts w:ascii="Courier New" w:cs="Courier New" w:eastAsia="Courier New" w:hAnsi="Courier New"/>
          <w:color w:val="2B2B2B"/>
          <w:sz w:val="18"/>
          <w:szCs w:val="18"/>
        </w:rPr>
        <w:t xml:space="preserve">  FOR INSERT WITH CHECK (organization_id = auth.jwt() -&gt;&gt; 'organization_id');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All tables with organization_id have equivalent policies.</w:t>
      </w:r>
    </w:p>
    <w:p>
      <w:pPr>
        <w:shd w:fill="F0F0F0" w:val="clear"/>
        <w:spacing w:after="20" w:before="20"/>
        <w:ind w:left="720"/>
      </w:pPr>
      <w:r>
        <w:rPr>
          <w:rFonts w:ascii="Courier New" w:cs="Courier New" w:eastAsia="Courier New" w:hAnsi="Courier New"/>
          <w:color w:val="2B2B2B"/>
          <w:sz w:val="18"/>
          <w:szCs w:val="18"/>
        </w:rPr>
        <w:t xml:space="preserve">-- The application role cannot disable RLS.</w:t>
      </w:r>
    </w:p>
    <w:p>
      <w:pPr>
        <w:shd w:fill="F0F0F0" w:val="clear"/>
        <w:spacing w:after="20" w:before="20"/>
        <w:ind w:left="720"/>
      </w:pPr>
      <w:r>
        <w:rPr>
          <w:rFonts w:ascii="Courier New" w:cs="Courier New" w:eastAsia="Courier New" w:hAnsi="Courier New"/>
          <w:color w:val="2B2B2B"/>
          <w:sz w:val="18"/>
          <w:szCs w:val="18"/>
        </w:rPr>
        <w:t xml:space="preserve">-- The service_role key (used only in migrations and admin scripts) bypasses RLS.</w:t>
      </w:r>
    </w:p>
    <w:p>
      <w:pPr>
        <w:shd w:fill="F0F0F0" w:val="clear"/>
        <w:spacing w:after="20" w:before="20"/>
        <w:ind w:left="720"/>
      </w:pPr>
      <w:r>
        <w:rPr>
          <w:rFonts w:ascii="Courier New" w:cs="Courier New" w:eastAsia="Courier New" w:hAnsi="Courier New"/>
          <w:color w:val="2B2B2B"/>
          <w:sz w:val="18"/>
          <w:szCs w:val="18"/>
        </w:rPr>
        <w:t xml:space="preserve">-- The service_role key is never exposed to client code.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4.1 Tables with RLS</w:t>
      </w:r>
    </w:p>
    <w:p>
      <w:pPr>
        <w:spacing w:after="80" w:before="80"/>
        <w:jc w:val="both"/>
      </w:pPr>
      <w:r>
        <w:rPr>
          <w:rFonts w:ascii="Arial" w:cs="Arial" w:eastAsia="Arial" w:hAnsi="Arial"/>
          <w:sz w:val="22"/>
          <w:szCs w:val="22"/>
        </w:rPr>
        <w:t xml:space="preserve">RLS is applied to: resources, resource_relationships, resource_history, workflow_definitions, execution_runs, execution_logs, lados_events, approval_tasks, pack_installations, organization_members, and all pack-specific resource tables.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AI Guardrails</w:t>
      </w:r>
    </w:p>
    <w:p>
      <w:pPr>
        <w:spacing w:after="80" w:before="80"/>
        <w:jc w:val="both"/>
      </w:pPr>
      <w:r>
        <w:rPr>
          <w:rFonts w:ascii="Arial" w:cs="Arial" w:eastAsia="Arial" w:hAnsi="Arial"/>
          <w:sz w:val="22"/>
          <w:szCs w:val="22"/>
        </w:rPr>
        <w:t xml:space="preserve">The Security Engine enforces specific constraints on AI-generated content to protect the legal and financial integrity of the platform.</w:t>
      </w:r>
    </w:p>
    <w:p>
      <w:pPr>
        <w:pStyle w:val="Heading2"/>
        <w:spacing w:after="140" w:before="280"/>
      </w:pPr>
      <w:r>
        <w:rPr>
          <w:rFonts w:ascii="Arial" w:cs="Arial" w:eastAsia="Arial" w:hAnsi="Arial"/>
          <w:b/>
          <w:bCs/>
          <w:color w:val="2E75B6"/>
          <w:sz w:val="26"/>
          <w:szCs w:val="26"/>
        </w:rPr>
        <w:t xml:space="preserve">5.1 AI Output Advisory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AI Advisory Rule</w:t>
            </w:r>
          </w:p>
          <w:p>
            <w:pPr>
              <w:spacing w:before="60"/>
            </w:pPr>
            <w:r>
              <w:rPr>
                <w:rFonts w:ascii="Arial" w:cs="Arial" w:eastAsia="Arial" w:hAnsi="Arial"/>
                <w:color w:val="1A1A2E"/>
                <w:sz w:val="20"/>
                <w:szCs w:val="20"/>
              </w:rPr>
              <w:t xml:space="preserve">All AI-generated content in Lados is advisory by default. AI outputs are clearly labelled as machine-generated and cannot directly trigger financial transactions, certify documents, approve resources, or release payments. A human acceptance step is always required between an AI output and any legally binding or financially significant action.</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5.2 Advisory Enforcement</w:t>
      </w:r>
    </w:p>
    <w:p>
      <w:pPr>
        <w:pStyle w:val="ListParagraph"/>
        <w:numPr>
          <w:ilvl w:val="0"/>
          <w:numId w:val="2"/>
        </w:numPr>
        <w:spacing w:after="60" w:before="60"/>
      </w:pPr>
      <w:r>
        <w:rPr>
          <w:rFonts w:ascii="Arial" w:cs="Arial" w:eastAsia="Arial" w:hAnsi="Arial"/>
          <w:sz w:val="22"/>
          <w:szCs w:val="22"/>
        </w:rPr>
        <w:t xml:space="preserve">Node executors that use AI services must mark their outputs with advisory: true in NodeExecuteResult.</w:t>
      </w:r>
    </w:p>
    <w:p>
      <w:pPr>
        <w:pStyle w:val="ListParagraph"/>
        <w:numPr>
          <w:ilvl w:val="0"/>
          <w:numId w:val="2"/>
        </w:numPr>
        <w:spacing w:after="60" w:before="60"/>
      </w:pPr>
      <w:r>
        <w:rPr>
          <w:rFonts w:ascii="Arial" w:cs="Arial" w:eastAsia="Arial" w:hAnsi="Arial"/>
          <w:sz w:val="22"/>
          <w:szCs w:val="22"/>
        </w:rPr>
        <w:t xml:space="preserve">The engine detects advisory-flagged outputs in the data flow. If an advisory output is connected directly to a node that triggers a financial event or state transition, the engine inserts a mandatory advisory_review gate.</w:t>
      </w:r>
    </w:p>
    <w:p>
      <w:pPr>
        <w:pStyle w:val="ListParagraph"/>
        <w:numPr>
          <w:ilvl w:val="0"/>
          <w:numId w:val="2"/>
        </w:numPr>
        <w:spacing w:after="60" w:before="60"/>
      </w:pPr>
      <w:r>
        <w:rPr>
          <w:rFonts w:ascii="Arial" w:cs="Arial" w:eastAsia="Arial" w:hAnsi="Arial"/>
          <w:sz w:val="22"/>
          <w:szCs w:val="22"/>
        </w:rPr>
        <w:t xml:space="preserve">The Workflow Builder UI displays a warning when the user connects an AI output directly to a financial or approval node.</w:t>
      </w:r>
    </w:p>
    <w:p>
      <w:pPr>
        <w:pStyle w:val="ListParagraph"/>
        <w:numPr>
          <w:ilvl w:val="0"/>
          <w:numId w:val="2"/>
        </w:numPr>
        <w:spacing w:after="60" w:before="60"/>
      </w:pPr>
      <w:r>
        <w:rPr>
          <w:rFonts w:ascii="Arial" w:cs="Arial" w:eastAsia="Arial" w:hAnsi="Arial"/>
          <w:sz w:val="22"/>
          <w:szCs w:val="22"/>
        </w:rPr>
        <w:t xml:space="preserve">Advisory outputs are displayed with a distinct AI-generated badge in the run log and resource timeline.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5.3 AI Permission Gate</w:t>
      </w:r>
    </w:p>
    <w:p>
      <w:pPr>
        <w:spacing w:after="80" w:before="80"/>
        <w:jc w:val="both"/>
      </w:pPr>
      <w:r>
        <w:rPr>
          <w:rFonts w:ascii="Arial" w:cs="Arial" w:eastAsia="Arial" w:hAnsi="Arial"/>
          <w:sz w:val="22"/>
          <w:szCs w:val="22"/>
        </w:rPr>
        <w:t xml:space="preserve">Pack authors who implement AI nodes must declare the ai permission in their pack's permissions list. The organisation admin must grant this permission during installation. If not granted, calls to ctx.ai.* fail with PERMISSION_DENIED.</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Audit Trail</w:t>
      </w:r>
    </w:p>
    <w:p>
      <w:pPr>
        <w:pStyle w:val="Heading2"/>
        <w:spacing w:after="140" w:before="280"/>
      </w:pPr>
      <w:r>
        <w:rPr>
          <w:rFonts w:ascii="Arial" w:cs="Arial" w:eastAsia="Arial" w:hAnsi="Arial"/>
          <w:b/>
          <w:bCs/>
          <w:color w:val="2E75B6"/>
          <w:sz w:val="26"/>
          <w:szCs w:val="26"/>
        </w:rPr>
        <w:t xml:space="preserve">6.1 Audit Log Table</w:t>
      </w:r>
    </w:p>
    <w:p>
      <w:pPr>
        <w:shd w:fill="F0F0F0" w:val="clear"/>
        <w:spacing w:after="20" w:before="20"/>
        <w:ind w:left="720"/>
      </w:pPr>
      <w:r>
        <w:rPr>
          <w:rFonts w:ascii="Courier New" w:cs="Courier New" w:eastAsia="Courier New" w:hAnsi="Courier New"/>
          <w:color w:val="2B2B2B"/>
          <w:sz w:val="18"/>
          <w:szCs w:val="18"/>
        </w:rPr>
        <w:t xml:space="preserve">-- Table: audit_log</w:t>
      </w:r>
    </w:p>
    <w:p>
      <w:pPr>
        <w:shd w:fill="F0F0F0" w:val="clear"/>
        <w:spacing w:after="20" w:before="20"/>
        <w:ind w:left="720"/>
      </w:pPr>
      <w:r>
        <w:rPr>
          <w:rFonts w:ascii="Courier New" w:cs="Courier New" w:eastAsia="Courier New" w:hAnsi="Courier New"/>
          <w:color w:val="2B2B2B"/>
          <w:sz w:val="18"/>
          <w:szCs w:val="18"/>
        </w:rPr>
        <w:t xml:space="preserve">id              uuid PRIMARY KEY</w:t>
      </w:r>
    </w:p>
    <w:p>
      <w:pPr>
        <w:shd w:fill="F0F0F0" w:val="clear"/>
        <w:spacing w:after="20" w:before="20"/>
        <w:ind w:left="720"/>
      </w:pPr>
      <w:r>
        <w:rPr>
          <w:rFonts w:ascii="Courier New" w:cs="Courier New" w:eastAsia="Courier New" w:hAnsi="Courier New"/>
          <w:color w:val="2B2B2B"/>
          <w:sz w:val="18"/>
          <w:szCs w:val="18"/>
        </w:rPr>
        <w:t xml:space="preserve">organization_id uuid NOT NULL</w:t>
      </w:r>
    </w:p>
    <w:p>
      <w:pPr>
        <w:shd w:fill="F0F0F0" w:val="clear"/>
        <w:spacing w:after="20" w:before="20"/>
        <w:ind w:left="720"/>
      </w:pPr>
      <w:r>
        <w:rPr>
          <w:rFonts w:ascii="Courier New" w:cs="Courier New" w:eastAsia="Courier New" w:hAnsi="Courier New"/>
          <w:color w:val="2B2B2B"/>
          <w:sz w:val="18"/>
          <w:szCs w:val="18"/>
        </w:rPr>
        <w:t xml:space="preserve">event_type      text NOT NULL    -- 'action.invoke', 'permission.denied', 'auth.login' etc.</w:t>
      </w:r>
    </w:p>
    <w:p>
      <w:pPr>
        <w:shd w:fill="F0F0F0" w:val="clear"/>
        <w:spacing w:after="20" w:before="20"/>
        <w:ind w:left="720"/>
      </w:pPr>
      <w:r>
        <w:rPr>
          <w:rFonts w:ascii="Courier New" w:cs="Courier New" w:eastAsia="Courier New" w:hAnsi="Courier New"/>
          <w:color w:val="2B2B2B"/>
          <w:sz w:val="18"/>
          <w:szCs w:val="18"/>
        </w:rPr>
        <w:t xml:space="preserve">actor_id        uuid             -- user who performed the action</w:t>
      </w:r>
    </w:p>
    <w:p>
      <w:pPr>
        <w:shd w:fill="F0F0F0" w:val="clear"/>
        <w:spacing w:after="20" w:before="20"/>
        <w:ind w:left="720"/>
      </w:pPr>
      <w:r>
        <w:rPr>
          <w:rFonts w:ascii="Courier New" w:cs="Courier New" w:eastAsia="Courier New" w:hAnsi="Courier New"/>
          <w:color w:val="2B2B2B"/>
          <w:sz w:val="18"/>
          <w:szCs w:val="18"/>
        </w:rPr>
        <w:t xml:space="preserve">actor_type      text             -- 'user' | 'system' | 'ai'</w:t>
      </w:r>
    </w:p>
    <w:p>
      <w:pPr>
        <w:shd w:fill="F0F0F0" w:val="clear"/>
        <w:spacing w:after="20" w:before="20"/>
        <w:ind w:left="720"/>
      </w:pPr>
      <w:r>
        <w:rPr>
          <w:rFonts w:ascii="Courier New" w:cs="Courier New" w:eastAsia="Courier New" w:hAnsi="Courier New"/>
          <w:color w:val="2B2B2B"/>
          <w:sz w:val="18"/>
          <w:szCs w:val="18"/>
        </w:rPr>
        <w:t xml:space="preserve">target_id       uuid             -- resource/workflow/pack being acted on</w:t>
      </w:r>
    </w:p>
    <w:p>
      <w:pPr>
        <w:shd w:fill="F0F0F0" w:val="clear"/>
        <w:spacing w:after="20" w:before="20"/>
        <w:ind w:left="720"/>
      </w:pPr>
      <w:r>
        <w:rPr>
          <w:rFonts w:ascii="Courier New" w:cs="Courier New" w:eastAsia="Courier New" w:hAnsi="Courier New"/>
          <w:color w:val="2B2B2B"/>
          <w:sz w:val="18"/>
          <w:szCs w:val="18"/>
        </w:rPr>
        <w:t xml:space="preserve">target_type     text</w:t>
      </w:r>
    </w:p>
    <w:p>
      <w:pPr>
        <w:shd w:fill="F0F0F0" w:val="clear"/>
        <w:spacing w:after="20" w:before="20"/>
        <w:ind w:left="720"/>
      </w:pPr>
      <w:r>
        <w:rPr>
          <w:rFonts w:ascii="Courier New" w:cs="Courier New" w:eastAsia="Courier New" w:hAnsi="Courier New"/>
          <w:color w:val="2B2B2B"/>
          <w:sz w:val="18"/>
          <w:szCs w:val="18"/>
        </w:rPr>
        <w:t xml:space="preserve">action          text NOT NULL    -- the action performed</w:t>
      </w:r>
    </w:p>
    <w:p>
      <w:pPr>
        <w:shd w:fill="F0F0F0" w:val="clear"/>
        <w:spacing w:after="20" w:before="20"/>
        <w:ind w:left="720"/>
      </w:pPr>
      <w:r>
        <w:rPr>
          <w:rFonts w:ascii="Courier New" w:cs="Courier New" w:eastAsia="Courier New" w:hAnsi="Courier New"/>
          <w:color w:val="2B2B2B"/>
          <w:sz w:val="18"/>
          <w:szCs w:val="18"/>
        </w:rPr>
        <w:t xml:space="preserve">outcome         text NOT NULL    -- 'success' | 'denied' | 'error'</w:t>
      </w:r>
    </w:p>
    <w:p>
      <w:pPr>
        <w:shd w:fill="F0F0F0" w:val="clear"/>
        <w:spacing w:after="20" w:before="20"/>
        <w:ind w:left="720"/>
      </w:pPr>
      <w:r>
        <w:rPr>
          <w:rFonts w:ascii="Courier New" w:cs="Courier New" w:eastAsia="Courier New" w:hAnsi="Courier New"/>
          <w:color w:val="2B2B2B"/>
          <w:sz w:val="18"/>
          <w:szCs w:val="18"/>
        </w:rPr>
        <w:t xml:space="preserve">details         jsonb DEFAULT '{}' -- action-specific detail</w:t>
      </w:r>
    </w:p>
    <w:p>
      <w:pPr>
        <w:shd w:fill="F0F0F0" w:val="clear"/>
        <w:spacing w:after="20" w:before="20"/>
        <w:ind w:left="720"/>
      </w:pPr>
      <w:r>
        <w:rPr>
          <w:rFonts w:ascii="Courier New" w:cs="Courier New" w:eastAsia="Courier New" w:hAnsi="Courier New"/>
          <w:color w:val="2B2B2B"/>
          <w:sz w:val="18"/>
          <w:szCs w:val="18"/>
        </w:rPr>
        <w:t xml:space="preserve">ip_address      text</w:t>
      </w:r>
    </w:p>
    <w:p>
      <w:pPr>
        <w:shd w:fill="F0F0F0" w:val="clear"/>
        <w:spacing w:after="20" w:before="20"/>
        <w:ind w:left="720"/>
      </w:pPr>
      <w:r>
        <w:rPr>
          <w:rFonts w:ascii="Courier New" w:cs="Courier New" w:eastAsia="Courier New" w:hAnsi="Courier New"/>
          <w:color w:val="2B2B2B"/>
          <w:sz w:val="18"/>
          <w:szCs w:val="18"/>
        </w:rPr>
        <w:t xml:space="preserve">user_agent      text</w:t>
      </w:r>
    </w:p>
    <w:p>
      <w:pPr>
        <w:shd w:fill="F0F0F0" w:val="clear"/>
        <w:spacing w:after="20" w:before="20"/>
        <w:ind w:left="720"/>
      </w:pPr>
      <w:r>
        <w:rPr>
          <w:rFonts w:ascii="Courier New" w:cs="Courier New" w:eastAsia="Courier New" w:hAnsi="Courier New"/>
          <w:color w:val="2B2B2B"/>
          <w:sz w:val="18"/>
          <w:szCs w:val="18"/>
        </w:rPr>
        <w:t xml:space="preserve">occurred_at     timestamptz DEFAULT now()</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Audit log is append-only (no UPDATE or DELETE privileges on application role)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6.2 Events That Produce Audit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Audit Record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login / logout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Auth.UserLoggedIn / Auth.UserLoggedOut with IP and user agent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Permission denied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Auth.PermissionDenied with the action attempted and 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 published / deleted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Workflow.Published / Workflow.Deleted with actor and version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 installed / uninstalled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Pack.Installed / Pack.Uninstalled with actor and pack version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 state transitioned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Resource.StateTransitioned with from/to state and actor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decision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Approval.Decided with decision, actor, and 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output generated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AI.OutputGenerated with model, token count, advisory flag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 role change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Org.MemberRoleChanged with old/new role and who made the change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Secrets Management</w:t>
      </w:r>
    </w:p>
    <w:p>
      <w:pPr>
        <w:spacing w:after="80" w:before="80"/>
        <w:jc w:val="both"/>
      </w:pPr>
      <w:r>
        <w:rPr>
          <w:rFonts w:ascii="Arial" w:cs="Arial" w:eastAsia="Arial" w:hAnsi="Arial"/>
          <w:sz w:val="22"/>
          <w:szCs w:val="22"/>
        </w:rPr>
        <w:t xml:space="preserve">Pack install config fields of type 'secret' (e.g., API keys, signing secrets) are stored encrypted in the database using Supabase Vault. They are never returned in API responses. Node executors access them via ctx.getSecret(name), which decrypts and returns the value at runtime without exposing it in logs.</w:t>
      </w:r>
    </w:p>
    <w:p>
      <w:pPr>
        <w:pStyle w:val="Heading1"/>
        <w:pBdr>
          <w:bottom w:val="single" w:color="2E75B6" w:sz="6" w:space="4"/>
        </w:pBdr>
        <w:spacing w:after="200" w:before="360"/>
      </w:pPr>
      <w:r>
        <w:rPr>
          <w:rFonts w:ascii="Arial" w:cs="Arial" w:eastAsia="Arial" w:hAnsi="Arial"/>
          <w:b/>
          <w:bCs/>
          <w:color w:val="1F4E79"/>
          <w:sz w:val="32"/>
          <w:szCs w:val="32"/>
        </w:rPr>
        <w:t xml:space="preserve">8. Security Headers and Transport</w:t>
      </w:r>
    </w:p>
    <w:p>
      <w:pPr>
        <w:pStyle w:val="ListParagraph"/>
        <w:numPr>
          <w:ilvl w:val="0"/>
          <w:numId w:val="2"/>
        </w:numPr>
        <w:spacing w:after="60" w:before="60"/>
      </w:pPr>
      <w:r>
        <w:rPr>
          <w:rFonts w:ascii="Arial" w:cs="Arial" w:eastAsia="Arial" w:hAnsi="Arial"/>
          <w:sz w:val="22"/>
          <w:szCs w:val="22"/>
        </w:rPr>
        <w:t xml:space="preserve">All API responses include: Strict-Transport-Security, X-Content-Type-Options, X-Frame-Options: DENY, Content-Security-Policy.</w:t>
      </w:r>
    </w:p>
    <w:p>
      <w:pPr>
        <w:pStyle w:val="ListParagraph"/>
        <w:numPr>
          <w:ilvl w:val="0"/>
          <w:numId w:val="2"/>
        </w:numPr>
        <w:spacing w:after="60" w:before="60"/>
      </w:pPr>
      <w:r>
        <w:rPr>
          <w:rFonts w:ascii="Arial" w:cs="Arial" w:eastAsia="Arial" w:hAnsi="Arial"/>
          <w:sz w:val="22"/>
          <w:szCs w:val="22"/>
        </w:rPr>
        <w:t xml:space="preserve">All traffic is HTTPS only. HTTP requests are redirected to HTTPS at the load balancer.</w:t>
      </w:r>
    </w:p>
    <w:p>
      <w:pPr>
        <w:pStyle w:val="ListParagraph"/>
        <w:numPr>
          <w:ilvl w:val="0"/>
          <w:numId w:val="2"/>
        </w:numPr>
        <w:spacing w:after="60" w:before="60"/>
      </w:pPr>
      <w:r>
        <w:rPr>
          <w:rFonts w:ascii="Arial" w:cs="Arial" w:eastAsia="Arial" w:hAnsi="Arial"/>
          <w:sz w:val="22"/>
          <w:szCs w:val="22"/>
        </w:rPr>
        <w:t xml:space="preserve">API keys for external services (used by pack nodes) are stored in Supabase Vault, never in environment variables accessible to application code.</w:t>
      </w:r>
    </w:p>
    <w:p>
      <w:pPr>
        <w:pStyle w:val="ListParagraph"/>
        <w:numPr>
          <w:ilvl w:val="0"/>
          <w:numId w:val="2"/>
        </w:numPr>
        <w:spacing w:after="60" w:before="60"/>
      </w:pPr>
      <w:r>
        <w:rPr>
          <w:rFonts w:ascii="Arial" w:cs="Arial" w:eastAsia="Arial" w:hAnsi="Arial"/>
          <w:sz w:val="22"/>
          <w:szCs w:val="22"/>
        </w:rPr>
        <w:t xml:space="preserve">CORS is configured to allow only approved origins (Lados web app domain and explicit allowlist).</w:t>
      </w:r>
    </w:p>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9. Security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/org/members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organisation members and their roles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/org/members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Invite a user to the organisation with a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PATCH /org/members/:userId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 a member's role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/org/members/:userId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a member from the organisation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/audit-log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Query the audit log (org_admin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/audit-log/export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audit log as CSV for a date range (org_admin only)</w:t>
            </w:r>
          </w:p>
        </w:tc>
      </w:tr>
    </w:tbl>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10 — Security Engine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Security Engine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10 — Security Engine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2026-06-27T15:27:33.730Z</dcterms:created>
  <dcterms:modified xsi:type="dcterms:W3CDTF">2026-06-27T15:27:33.730Z</dcterms:modified>
</cp:coreProperties>
</file>

<file path=docProps/custom.xml><?xml version="1.0" encoding="utf-8"?>
<Properties xmlns="http://schemas.openxmlformats.org/officeDocument/2006/custom-properties" xmlns:vt="http://schemas.openxmlformats.org/officeDocument/2006/docPropsVTypes"/>
</file>