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THE BLUE SILENCE</w:t>
      </w:r>
    </w:p>
    <w:p>
      <w:pPr>
        <w:jc w:val="center"/>
      </w:pPr>
      <w:r>
        <w:rPr>
          <w:rFonts w:ascii="Aptos Display" w:hAnsi="Aptos Display"/>
          <w:b/>
          <w:sz w:val="40"/>
        </w:rPr>
        <w:t>Fiction Disclaimer</w:t>
      </w:r>
    </w:p>
    <w:p>
      <w:pPr>
        <w:jc w:val="center"/>
      </w:pPr>
      <w:r>
        <w:rPr>
          <w:i/>
          <w:sz w:val="22"/>
        </w:rPr>
        <w:t>Front-matter disclaimer for the novel</w:t>
      </w:r>
    </w:p>
    <w:p/>
    <w:tbl>
      <w:tblPr>
        <w:tblW w:type="auto" w:w="0"/>
        <w:jc w:val="center"/>
        <w:tblLook w:firstColumn="1" w:firstRow="1" w:lastColumn="0" w:lastRow="0" w:noHBand="0" w:noVBand="1" w:val="04A0"/>
      </w:tblPr>
      <w:tblGrid>
        <w:gridCol w:w="4824"/>
        <w:gridCol w:w="4824"/>
      </w:tblGrid>
      <w:tr>
        <w:tc>
          <w:tcPr>
            <w:tcW w:type="dxa" w:w="4824"/>
          </w:tcPr>
          <w:p>
            <w:r>
              <w:rPr>
                <w:b/>
              </w:rPr>
              <w:t>Version</w:t>
            </w:r>
          </w:p>
        </w:tc>
        <w:tc>
          <w:tcPr>
            <w:tcW w:type="dxa" w:w="4824"/>
          </w:tcPr>
          <w:p>
            <w:r>
              <w:t>V1.0</w:t>
            </w:r>
          </w:p>
        </w:tc>
      </w:tr>
      <w:tr>
        <w:tc>
          <w:tcPr>
            <w:tcW w:type="dxa" w:w="4824"/>
          </w:tcPr>
          <w:p>
            <w:r>
              <w:rPr>
                <w:b/>
              </w:rPr>
              <w:t>Status</w:t>
            </w:r>
          </w:p>
        </w:tc>
        <w:tc>
          <w:tcPr>
            <w:tcW w:type="dxa" w:w="4824"/>
          </w:tcPr>
          <w:p>
            <w:r>
              <w:t>FRONT MATTER</w:t>
            </w:r>
          </w:p>
        </w:tc>
      </w:tr>
      <w:tr>
        <w:tc>
          <w:tcPr>
            <w:tcW w:type="dxa" w:w="4824"/>
          </w:tcPr>
          <w:p>
            <w:r>
              <w:rPr>
                <w:b/>
              </w:rPr>
              <w:t>Project</w:t>
            </w:r>
          </w:p>
        </w:tc>
        <w:tc>
          <w:tcPr>
            <w:tcW w:type="dxa" w:w="4824"/>
          </w:tcPr>
          <w:p>
            <w:r>
              <w:t>Fictional Malaysian crime / institutional thriller</w:t>
            </w:r>
          </w:p>
        </w:tc>
      </w:tr>
      <w:tr>
        <w:tc>
          <w:tcPr>
            <w:tcW w:type="dxa" w:w="4824"/>
          </w:tcPr>
          <w:p>
            <w:r>
              <w:rPr>
                <w:b/>
              </w:rPr>
              <w:t>Continuity</w:t>
            </w:r>
          </w:p>
        </w:tc>
        <w:tc>
          <w:tcPr>
            <w:tcW w:type="dxa" w:w="4824"/>
          </w:tcPr>
          <w:p>
            <w:r>
              <w:t>All persons, organisations and cases are fictional.</w:t>
            </w:r>
          </w:p>
        </w:tc>
      </w:tr>
    </w:tbl>
    <w:p/>
    <w:p>
      <w:pPr>
        <w:pStyle w:val="PullQuote"/>
        <w:jc w:val="center"/>
      </w:pPr>
      <w:r>
        <w:rPr>
          <w:b/>
        </w:rPr>
        <w:t>Bismillah.</w:t>
      </w:r>
    </w:p>
    <w:p>
      <w:r>
        <w:br w:type="page"/>
      </w:r>
    </w:p>
    <w:p>
      <w:pPr>
        <w:pStyle w:val="Heading1"/>
      </w:pPr>
      <w:r>
        <w:t>FICTION DISCLAIMER</w:t>
      </w:r>
    </w:p>
    <w:p>
      <w:r>
        <w:t>This is a work of fiction.</w:t>
      </w:r>
    </w:p>
    <w:p>
      <w:r>
        <w:t>All characters, organisations, institutions, places, events, investigations and incidents portrayed in this novel are fictional or have been substantially fictionalised for literary purposes.</w:t>
      </w:r>
    </w:p>
    <w:p>
      <w:r>
        <w:t>Any resemblance to actual persons, living or dead, organisations, police officers, government officials, criminal groups, investigations or real events is coincidental unless otherwise expressly stated in published acknowledgements or source notes.</w:t>
      </w:r>
    </w:p>
    <w:p>
      <w:r>
        <w:t>The novel does not portray the actual life or career of any particular police officer, nor does it claim to describe actual confidential police operations, classified material or undisclosed events.</w:t>
      </w:r>
    </w:p>
    <w:p>
      <w:r>
        <w:t>The story explores fictional characters and circumstances within broader themes of crime, law enforcement, institutional power, corruption, loyalty, accountability, integrity and the consequences of silence.</w:t>
      </w:r>
    </w:p>
    <w:p>
      <w:pPr>
        <w:pStyle w:val="Heading2"/>
      </w:pPr>
      <w:r>
        <w:t>Authorial Continuity Note</w:t>
      </w:r>
    </w:p>
    <w:p>
      <w:r>
        <w:t>The fictional status applies throughout THE BLUE SILENCE universe. Research may be used to support social, cultural, procedural and institutional plausibility, but characters and plotlines should not be constructed as one-to-one stand-ins for identifiable real people or unresolved real allegations.</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THE BLUE SILENCE  |  Fiction Disclaimer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160" w:after="160"/>
      <w:ind w:left="648" w:right="360"/>
    </w:pPr>
    <w:rPr>
      <w:rFonts w:ascii="Aptos" w:hAnsi="Aptos"/>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