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de test – Suivi Plan Stratégique MVP</w:t>
      </w:r>
    </w:p>
    <w:p>
      <w:r>
        <w:t>Date : 01/10/2026</w:t>
        <w:br/>
        <w:t>Application : Power Apps – Suivi Plan Stratégique MVP</w:t>
        <w:br/>
        <w:t>Type : tests fonctionnels manuels</w:t>
      </w:r>
    </w:p>
    <w:p>
      <w:pPr>
        <w:pStyle w:val="Heading1"/>
      </w:pPr>
      <w:r>
        <w:t>Synthèse</w:t>
      </w:r>
    </w:p>
    <w:p>
      <w:r>
        <w:t>27 cas testés : 24 OK, 2 KO, 1 partiel.</w:t>
      </w:r>
    </w:p>
    <w:p>
      <w:r>
        <w:t>Points à corriger :</w:t>
      </w:r>
    </w:p>
    <w:p>
      <w:pPr>
        <w:pStyle w:val="ListBullet"/>
      </w:pPr>
      <w:r>
        <w:t>🐞 Envoi de message impossible côté PMO (« Failed to create unit message »).</w:t>
      </w:r>
    </w:p>
    <w:p>
      <w:pPr>
        <w:pStyle w:val="ListBullet"/>
      </w:pPr>
      <w:r>
        <w:t>Filtre « Rejetés » du suivi mensuel vide alors que le compteur affiche 5.</w:t>
      </w:r>
    </w:p>
    <w:p>
      <w:pPr>
        <w:pStyle w:val="ListBullet"/>
      </w:pPr>
      <w:r>
        <w:t>Récapitulatif de création d'unité : ambassadeur saisi mais non repris après une erreur.</w:t>
      </w:r>
    </w:p>
    <w:p>
      <w:pPr>
        <w:pStyle w:val="ListBullet"/>
      </w:pPr>
      <w:r>
        <w:t>Rendre plus visible le nombre d'actions ignorées lors de l'envoi des rapports.</w:t>
      </w:r>
    </w:p>
    <w:p>
      <w:pPr>
        <w:pStyle w:val="Heading1"/>
      </w:pPr>
      <w:r>
        <w:t>Liste des 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Cas de test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Création d'une unité – étape 1 (Informations)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Création d'une unité – étape 2 (Ambassadeur)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Création d'une unité – étape 3 (Récapitulatif)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Création d'une unité avec un code existant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Export du plan stratégique consolidé – choix de l'année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Export du plan stratégique consolidé – résultat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Création d'un nouvel axe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Suivi mensuel – filtre « Rejetés »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Liste des unités – activation / désactivation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Échéance mensuelle – modification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Échéance mensuelle – motif obligatoire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Échéance mensuelle – historique mis à jour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13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Superviseurs – conversion de compte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14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Journal d'audit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15</w:t>
            </w:r>
          </w:p>
        </w:tc>
        <w:tc>
          <w:tcPr>
            <w:tcW w:type="dxa" w:w="2493"/>
          </w:tcPr>
          <w:p>
            <w:r>
              <w:t>Administrateur</w:t>
            </w:r>
          </w:p>
        </w:tc>
        <w:tc>
          <w:tcPr>
            <w:tcW w:type="dxa" w:w="2493"/>
          </w:tcPr>
          <w:p>
            <w:r>
              <w:t>Notifications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16</w:t>
            </w:r>
          </w:p>
        </w:tc>
        <w:tc>
          <w:tcPr>
            <w:tcW w:type="dxa" w:w="2493"/>
          </w:tcPr>
          <w:p>
            <w:r>
              <w:t>PMO</w:t>
            </w:r>
          </w:p>
        </w:tc>
        <w:tc>
          <w:tcPr>
            <w:tcW w:type="dxa" w:w="2493"/>
          </w:tcPr>
          <w:p>
            <w:r>
              <w:t>Demandes – réponse rapide</w:t>
            </w:r>
          </w:p>
        </w:tc>
        <w:tc>
          <w:tcPr>
            <w:tcW w:type="dxa" w:w="2493"/>
          </w:tcPr>
          <w:p>
            <w:r>
              <w:rPr>
                <w:b/>
                <w:color w:val="CF222E"/>
              </w:rPr>
              <w:t>KO</w:t>
            </w:r>
          </w:p>
        </w:tc>
      </w:tr>
      <w:tr>
        <w:tc>
          <w:tcPr>
            <w:tcW w:type="dxa" w:w="2493"/>
          </w:tcPr>
          <w:p>
            <w:r>
              <w:t>17</w:t>
            </w:r>
          </w:p>
        </w:tc>
        <w:tc>
          <w:tcPr>
            <w:tcW w:type="dxa" w:w="2493"/>
          </w:tcPr>
          <w:p>
            <w:r>
              <w:t>PMO</w:t>
            </w:r>
          </w:p>
        </w:tc>
        <w:tc>
          <w:tcPr>
            <w:tcW w:type="dxa" w:w="2493"/>
          </w:tcPr>
          <w:p>
            <w:r>
              <w:t>Demandes – liste des messages</w:t>
            </w:r>
          </w:p>
        </w:tc>
        <w:tc>
          <w:tcPr>
            <w:tcW w:type="dxa" w:w="2493"/>
          </w:tcPr>
          <w:p>
            <w:r>
              <w:rPr>
                <w:b/>
                <w:color w:val="CF222E"/>
              </w:rPr>
              <w:t>KO</w:t>
            </w:r>
          </w:p>
        </w:tc>
      </w:tr>
      <w:tr>
        <w:tc>
          <w:tcPr>
            <w:tcW w:type="dxa" w:w="2493"/>
          </w:tcPr>
          <w:p>
            <w:r>
              <w:t>18</w:t>
            </w:r>
          </w:p>
        </w:tc>
        <w:tc>
          <w:tcPr>
            <w:tcW w:type="dxa" w:w="2493"/>
          </w:tcPr>
          <w:p>
            <w:r>
              <w:t>PMO</w:t>
            </w:r>
          </w:p>
        </w:tc>
        <w:tc>
          <w:tcPr>
            <w:tcW w:type="dxa" w:w="2493"/>
          </w:tcPr>
          <w:p>
            <w:r>
              <w:t>Clôtures – sélection d'une action validée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19</w:t>
            </w:r>
          </w:p>
        </w:tc>
        <w:tc>
          <w:tcPr>
            <w:tcW w:type="dxa" w:w="2493"/>
          </w:tcPr>
          <w:p>
            <w:r>
              <w:t>PMO</w:t>
            </w:r>
          </w:p>
        </w:tc>
        <w:tc>
          <w:tcPr>
            <w:tcW w:type="dxa" w:w="2493"/>
          </w:tcPr>
          <w:p>
            <w:r>
              <w:t>Clôtures – réouverture d'une ligne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20</w:t>
            </w:r>
          </w:p>
        </w:tc>
        <w:tc>
          <w:tcPr>
            <w:tcW w:type="dxa" w:w="2493"/>
          </w:tcPr>
          <w:p>
            <w:r>
              <w:t>PMO</w:t>
            </w:r>
          </w:p>
        </w:tc>
        <w:tc>
          <w:tcPr>
            <w:tcW w:type="dxa" w:w="2493"/>
          </w:tcPr>
          <w:p>
            <w:r>
              <w:t>Clôtures – approbation d'une action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21</w:t>
            </w:r>
          </w:p>
        </w:tc>
        <w:tc>
          <w:tcPr>
            <w:tcW w:type="dxa" w:w="2493"/>
          </w:tcPr>
          <w:p>
            <w:r>
              <w:t>Ambassadeur</w:t>
            </w:r>
          </w:p>
        </w:tc>
        <w:tc>
          <w:tcPr>
            <w:tcW w:type="dxa" w:w="2493"/>
          </w:tcPr>
          <w:p>
            <w:r>
              <w:t>Mon suivi – saisie mensuelle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22</w:t>
            </w:r>
          </w:p>
        </w:tc>
        <w:tc>
          <w:tcPr>
            <w:tcW w:type="dxa" w:w="2493"/>
          </w:tcPr>
          <w:p>
            <w:r>
              <w:t>Ambassadeur</w:t>
            </w:r>
          </w:p>
        </w:tc>
        <w:tc>
          <w:tcPr>
            <w:tcW w:type="dxa" w:w="2493"/>
          </w:tcPr>
          <w:p>
            <w:r>
              <w:t>Mon suivi – envoi des rapports</w:t>
            </w:r>
          </w:p>
        </w:tc>
        <w:tc>
          <w:tcPr>
            <w:tcW w:type="dxa" w:w="2493"/>
          </w:tcPr>
          <w:p>
            <w:r>
              <w:rPr>
                <w:b/>
                <w:color w:val="9A6700"/>
              </w:rPr>
              <w:t>Partiel</w:t>
            </w:r>
          </w:p>
        </w:tc>
      </w:tr>
      <w:tr>
        <w:tc>
          <w:tcPr>
            <w:tcW w:type="dxa" w:w="2493"/>
          </w:tcPr>
          <w:p>
            <w:r>
              <w:t>23</w:t>
            </w:r>
          </w:p>
        </w:tc>
        <w:tc>
          <w:tcPr>
            <w:tcW w:type="dxa" w:w="2493"/>
          </w:tcPr>
          <w:p>
            <w:r>
              <w:t>Superviseur</w:t>
            </w:r>
          </w:p>
        </w:tc>
        <w:tc>
          <w:tcPr>
            <w:tcW w:type="dxa" w:w="2493"/>
          </w:tcPr>
          <w:p>
            <w:r>
              <w:t>Archives – feuilles de route par unité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24</w:t>
            </w:r>
          </w:p>
        </w:tc>
        <w:tc>
          <w:tcPr>
            <w:tcW w:type="dxa" w:w="2493"/>
          </w:tcPr>
          <w:p>
            <w:r>
              <w:t>Superviseur</w:t>
            </w:r>
          </w:p>
        </w:tc>
        <w:tc>
          <w:tcPr>
            <w:tcW w:type="dxa" w:w="2493"/>
          </w:tcPr>
          <w:p>
            <w:r>
              <w:t>Archives – feuille de route avec commentaire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25</w:t>
            </w:r>
          </w:p>
        </w:tc>
        <w:tc>
          <w:tcPr>
            <w:tcW w:type="dxa" w:w="2493"/>
          </w:tcPr>
          <w:p>
            <w:r>
              <w:t>Superviseur</w:t>
            </w:r>
          </w:p>
        </w:tc>
        <w:tc>
          <w:tcPr>
            <w:tcW w:type="dxa" w:w="2493"/>
          </w:tcPr>
          <w:p>
            <w:r>
              <w:t>Inbox – envoi d'un message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26</w:t>
            </w:r>
          </w:p>
        </w:tc>
        <w:tc>
          <w:tcPr>
            <w:tcW w:type="dxa" w:w="2493"/>
          </w:tcPr>
          <w:p>
            <w:r>
              <w:t>Superviseur</w:t>
            </w:r>
          </w:p>
        </w:tc>
        <w:tc>
          <w:tcPr>
            <w:tcW w:type="dxa" w:w="2493"/>
          </w:tcPr>
          <w:p>
            <w:r>
              <w:t>Inbox – modification d'un message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  <w:tr>
        <w:tc>
          <w:tcPr>
            <w:tcW w:type="dxa" w:w="2493"/>
          </w:tcPr>
          <w:p>
            <w:r>
              <w:t>27</w:t>
            </w:r>
          </w:p>
        </w:tc>
        <w:tc>
          <w:tcPr>
            <w:tcW w:type="dxa" w:w="2493"/>
          </w:tcPr>
          <w:p>
            <w:r>
              <w:t>Superviseur</w:t>
            </w:r>
          </w:p>
        </w:tc>
        <w:tc>
          <w:tcPr>
            <w:tcW w:type="dxa" w:w="2493"/>
          </w:tcPr>
          <w:p>
            <w:r>
              <w:t>Unités – liste du périmètre</w:t>
            </w:r>
          </w:p>
        </w:tc>
        <w:tc>
          <w:tcPr>
            <w:tcW w:type="dxa" w:w="2493"/>
          </w:tcPr>
          <w:p>
            <w:r>
              <w:rPr>
                <w:b/>
                <w:color w:val="1A7F37"/>
              </w:rPr>
              <w:t>OK</w:t>
            </w:r>
          </w:p>
        </w:tc>
      </w:tr>
    </w:tbl>
    <w:p>
      <w:r>
        <w:br w:type="page"/>
      </w:r>
    </w:p>
    <w:p>
      <w:pPr>
        <w:pStyle w:val="Heading1"/>
      </w:pPr>
      <w:r>
        <w:t>Détail avec captures</w:t>
      </w:r>
    </w:p>
    <w:p>
      <w:pPr>
        <w:pStyle w:val="Heading2"/>
      </w:pPr>
      <w:r>
        <w:t xml:space="preserve">1. Création d'une unité – étape 1 (Informations)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Saisie du code DSI, du nom « Hippodrome » et d'une description. Les champs obligatoires sont bien signalés par *.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Création d'une unité – étape 2 (Ambassadeur)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Affectation d'un ambassadeur par email et nom complet. L'assistant en 3 étapes est clair.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Création d'une unité – étape 3 (Récapitulatif)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Le récapitulatif reprend correctement l'unité et l'ambassadeur avant validation.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Création d'une unité avec un code existant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Message d'erreur « Une unité avec le code DSI existe déjà » : le contrôle de doublon fonctionne. ⚠ Remarque : le récapitulatif affiche « Aucun ambassadeur ne sera créé » alors qu'un ambassadeur avait été saisi à l'essai précédent.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Export du plan stratégique consolidé – choix de l'année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Fenêtre d'export simple, année 2026 pré-remplie.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 Export du plan stratégique consolidé – résultat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Fichier généré et téléchargé (6 unités, 2 actions).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 Création d'un nouvel axe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Formulaire de création d'axe (nom « Rentabilité », description). Faute de frappe à corriger dans la saisie : « measurer ».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8. Suivi mensuel – filtre « Rejetés »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Compteurs cohérents (4 soumis, 4 approuvés, 5 rejetés, 826 en préparation). Le filtre « Rejetés » sur 2026 n'affiche aucune ligne : à vérifier, car le compteur indique 5 rejetés.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9. Liste des unités – activation / désactivation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Les interrupteurs Actif/Inactif et le bouton « Réactiver » pour l'unité désactivée sont présents.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10. Échéance mensuelle – modification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Affichage de la prochaine échéance (28 octobre 2026 à 17:00 UTC) et formulaire de modification.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11. Échéance mensuelle – motif obligatoire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Le bouton Enregistrer reste bloqué tant que le motif fait moins de 10 caractères. L'historique des changements s'affiche.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12. Échéance mensuelle – historique mis à jour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La nouvelle échéance apparaît bien en tête de l'historique.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13. Superviseurs – conversion de compte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Options « Convertir en PMO » et « Convertir en ambassadeur » (avec choix de l'unité) disponibles.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14. Journal d'audit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17 événements tracés avec horodatage, acteur, action et entité. Filtres et export disponibles.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15. Notifications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Administrateur</w:t>
      </w:r>
    </w:p>
    <w:p>
      <w:r>
        <w:rPr>
          <w:b/>
        </w:rPr>
        <w:t xml:space="preserve">Commentaire : </w:t>
      </w:r>
      <w:r>
        <w:t>Le panneau des notifications s'ouvre et liste les transmissions des états du mois.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16. Demandes – réponse rapide </w:t>
      </w:r>
      <w:r>
        <w:rPr>
          <w:color w:val="CF222E"/>
        </w:rPr>
        <w:t>[KO]</w:t>
      </w:r>
    </w:p>
    <w:p>
      <w:r>
        <w:rPr>
          <w:b/>
        </w:rPr>
        <w:t xml:space="preserve">Profil : </w:t>
      </w:r>
      <w:r>
        <w:t>PMO</w:t>
      </w:r>
    </w:p>
    <w:p>
      <w:r>
        <w:rPr>
          <w:b/>
        </w:rPr>
        <w:t xml:space="preserve">Commentaire : </w:t>
      </w:r>
      <w:r>
        <w:t>Erreur « Échec de l'envoi du message – Failed to create unit message » à l'envoi d'une réponse. 🐞 Anomalie à corriger.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17. Demandes – liste des messages </w:t>
      </w:r>
      <w:r>
        <w:rPr>
          <w:color w:val="CF222E"/>
        </w:rPr>
        <w:t>[KO]</w:t>
      </w:r>
    </w:p>
    <w:p>
      <w:r>
        <w:rPr>
          <w:b/>
        </w:rPr>
        <w:t xml:space="preserve">Profil : </w:t>
      </w:r>
      <w:r>
        <w:t>PMO</w:t>
      </w:r>
    </w:p>
    <w:p>
      <w:r>
        <w:rPr>
          <w:b/>
        </w:rPr>
        <w:t xml:space="preserve">Commentaire : </w:t>
      </w:r>
      <w:r>
        <w:t>Même erreur d'envoi de message côté PMO (Failed to create unit message).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18. Clôtures – sélection d'une action validée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PMO</w:t>
      </w:r>
    </w:p>
    <w:p>
      <w:r>
        <w:rPr>
          <w:b/>
        </w:rPr>
        <w:t xml:space="preserve">Commentaire : </w:t>
      </w:r>
      <w:r>
        <w:t>La barre d'actions groupées (Approuver tout / Rejeter tout / Rouvrir la sélection) apparaît après sélection.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19. Clôtures – réouverture d'une ligne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PMO</w:t>
      </w:r>
    </w:p>
    <w:p>
      <w:r>
        <w:rPr>
          <w:b/>
        </w:rPr>
        <w:t xml:space="preserve">Commentaire : </w:t>
      </w:r>
      <w:r>
        <w:t>Une fenêtre demande un motif de réouverture (10 caractères minimum) : bon garde-fou.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20. Clôtures – approbation d'une action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PMO</w:t>
      </w:r>
    </w:p>
    <w:p>
      <w:r>
        <w:rPr>
          <w:b/>
        </w:rPr>
        <w:t xml:space="preserve">Commentaire : </w:t>
      </w:r>
      <w:r>
        <w:t>Boutons Approuver / Rejeter par ligne et commentaire de décision groupé.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21. Mon suivi – saisie mensuelle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Ambassadeur</w:t>
      </w:r>
    </w:p>
    <w:p>
      <w:r>
        <w:rPr>
          <w:b/>
        </w:rPr>
        <w:t xml:space="preserve">Commentaire : </w:t>
      </w:r>
      <w:r>
        <w:t>Saisie du statut et des faits marquants par action ; enregistrement automatique du brouillon. Boutons « Aperçu PDF » et « Envoyer ».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22. Mon suivi – envoi des rapports </w:t>
      </w:r>
      <w:r>
        <w:rPr>
          <w:color w:val="9A6700"/>
        </w:rPr>
        <w:t>[Partiel]</w:t>
      </w:r>
    </w:p>
    <w:p>
      <w:r>
        <w:rPr>
          <w:b/>
        </w:rPr>
        <w:t xml:space="preserve">Profil : </w:t>
      </w:r>
      <w:r>
        <w:t>Ambassadeur</w:t>
      </w:r>
    </w:p>
    <w:p>
      <w:r>
        <w:rPr>
          <w:b/>
        </w:rPr>
        <w:t xml:space="preserve">Commentaire : </w:t>
      </w:r>
      <w:r>
        <w:t>« 4 rapports soumis, 73 actions ignorées (manque statut ou commentaire) ». L'envoi fonctionne mais le message pourrait être plus visible pour l'utilisateur.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23. Archives – feuilles de route par unité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Superviseur</w:t>
      </w:r>
    </w:p>
    <w:p>
      <w:r>
        <w:rPr>
          <w:b/>
        </w:rPr>
        <w:t xml:space="preserve">Commentaire : </w:t>
      </w:r>
      <w:r>
        <w:t>Liste des unités du périmètre et feuilles de route validées (DCE).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24. Archives – feuille de route avec commentaire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Superviseur</w:t>
      </w:r>
    </w:p>
    <w:p>
      <w:r>
        <w:rPr>
          <w:b/>
        </w:rPr>
        <w:t xml:space="preserve">Commentaire : </w:t>
      </w:r>
      <w:r>
        <w:t>Le commentaire de validation (« à recommencer, il faut rajuster ») est bien affiché.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25. Inbox – envoi d'un message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Superviseur</w:t>
      </w:r>
    </w:p>
    <w:p>
      <w:r>
        <w:rPr>
          <w:b/>
        </w:rPr>
        <w:t xml:space="preserve">Commentaire : </w:t>
      </w:r>
      <w:r>
        <w:t>Message envoyé avec succès (notification « Message envoyé »).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26. Inbox – modification d'un message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Superviseur</w:t>
      </w:r>
    </w:p>
    <w:p>
      <w:r>
        <w:rPr>
          <w:b/>
        </w:rPr>
        <w:t xml:space="preserve">Commentaire : </w:t>
      </w:r>
      <w:r>
        <w:t>Message modifié avec succès ; options Modifier / Supprimer disponibles.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27. Unités – liste du périmètre </w:t>
      </w:r>
      <w:r>
        <w:rPr>
          <w:color w:val="1A7F37"/>
        </w:rPr>
        <w:t>[OK]</w:t>
      </w:r>
    </w:p>
    <w:p>
      <w:r>
        <w:rPr>
          <w:b/>
        </w:rPr>
        <w:t xml:space="preserve">Profil : </w:t>
      </w:r>
      <w:r>
        <w:t>Superviseur</w:t>
      </w:r>
    </w:p>
    <w:p>
      <w:r>
        <w:rPr>
          <w:b/>
        </w:rPr>
        <w:t xml:space="preserve">Commentaire : </w:t>
      </w:r>
      <w:r>
        <w:t>Liste des unités avec ambassadeur, statut (Brouillon / Sur les rails). Les unités sans ambassadeur sont « Vacant ».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