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F58A" w14:textId="77777777" w:rsidR="0083494B" w:rsidRPr="0083494B" w:rsidRDefault="0083494B" w:rsidP="0083494B">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83494B">
        <w:rPr>
          <w:rFonts w:ascii="Times New Roman" w:eastAsia="Times New Roman" w:hAnsi="Times New Roman" w:cs="Times New Roman"/>
          <w:b/>
          <w:bCs/>
          <w:kern w:val="0"/>
          <w:sz w:val="36"/>
          <w:szCs w:val="36"/>
          <w:lang w:eastAsia="en-CA"/>
          <w14:ligatures w14:val="none"/>
        </w:rPr>
        <w:t>Third-Party Continuous Monitoring Program Simulation</w:t>
      </w:r>
    </w:p>
    <w:p w14:paraId="01A195A4" w14:textId="0C0B58F0" w:rsidR="0083494B" w:rsidRPr="0083494B" w:rsidRDefault="0083494B" w:rsidP="0083494B">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3494B">
        <w:rPr>
          <w:rFonts w:ascii="Times New Roman" w:eastAsia="Times New Roman" w:hAnsi="Times New Roman" w:cs="Times New Roman"/>
          <w:b/>
          <w:bCs/>
          <w:kern w:val="0"/>
          <w:sz w:val="27"/>
          <w:szCs w:val="27"/>
          <w:lang w:eastAsia="en-CA"/>
          <w14:ligatures w14:val="none"/>
        </w:rPr>
        <w:t>Objective</w:t>
      </w:r>
    </w:p>
    <w:p w14:paraId="0242C229" w14:textId="5D74764B" w:rsidR="0083494B" w:rsidRPr="000128EA" w:rsidRDefault="003F7919" w:rsidP="00EB2B54">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0128EA">
        <w:rPr>
          <w:rFonts w:ascii="Times New Roman" w:eastAsia="Times New Roman" w:hAnsi="Times New Roman" w:cs="Times New Roman"/>
          <w:kern w:val="0"/>
          <w:lang w:eastAsia="en-CA"/>
          <w14:ligatures w14:val="none"/>
        </w:rPr>
        <w:t>To</w:t>
      </w:r>
      <w:r w:rsidR="0083494B" w:rsidRPr="000128EA">
        <w:rPr>
          <w:rFonts w:ascii="Times New Roman" w:eastAsia="Times New Roman" w:hAnsi="Times New Roman" w:cs="Times New Roman"/>
          <w:kern w:val="0"/>
          <w:lang w:eastAsia="en-CA"/>
          <w14:ligatures w14:val="none"/>
        </w:rPr>
        <w:t xml:space="preserve"> design a lightweight, scalable program for ongoing monitoring of third-party risk post-onboarding — focusing on risk indicators, automation triggers, periodic reassessment, and escalation thresholds.</w:t>
      </w:r>
    </w:p>
    <w:p w14:paraId="0C9EFC09" w14:textId="05DCCA1F" w:rsidR="006F4EA0" w:rsidRPr="000128EA" w:rsidRDefault="0083494B">
      <w:pPr>
        <w:rPr>
          <w:rFonts w:ascii="Times New Roman" w:eastAsia="Times New Roman" w:hAnsi="Times New Roman" w:cs="Times New Roman"/>
          <w:b/>
          <w:bCs/>
          <w:kern w:val="0"/>
          <w:sz w:val="27"/>
          <w:szCs w:val="27"/>
          <w:lang w:eastAsia="en-CA"/>
          <w14:ligatures w14:val="none"/>
        </w:rPr>
      </w:pPr>
      <w:r w:rsidRPr="000128EA">
        <w:rPr>
          <w:rFonts w:ascii="Times New Roman" w:eastAsia="Times New Roman" w:hAnsi="Times New Roman" w:cs="Times New Roman"/>
          <w:b/>
          <w:bCs/>
          <w:kern w:val="0"/>
          <w:sz w:val="27"/>
          <w:szCs w:val="27"/>
          <w:lang w:eastAsia="en-CA"/>
          <w14:ligatures w14:val="none"/>
        </w:rPr>
        <w:t>KRI-to-Risk Tier Mapping Table</w:t>
      </w:r>
    </w:p>
    <w:p w14:paraId="185EA78D" w14:textId="5B2F8F13" w:rsidR="0083494B" w:rsidRPr="000128EA" w:rsidRDefault="00EF73AC" w:rsidP="00EB2B54">
      <w:pPr>
        <w:jc w:val="both"/>
        <w:rPr>
          <w:rFonts w:ascii="Times New Roman" w:hAnsi="Times New Roman" w:cs="Times New Roman"/>
        </w:rPr>
      </w:pPr>
      <w:r>
        <w:rPr>
          <w:rFonts w:ascii="Times New Roman" w:hAnsi="Times New Roman" w:cs="Times New Roman"/>
        </w:rPr>
        <w:t>This shows</w:t>
      </w:r>
      <w:r w:rsidR="0083494B" w:rsidRPr="000128EA">
        <w:rPr>
          <w:rFonts w:ascii="Times New Roman" w:hAnsi="Times New Roman" w:cs="Times New Roman"/>
        </w:rPr>
        <w:t xml:space="preserve"> which Key Risk Indicators (KRIs) should apply to each Risk Tier (High, Medium, Low). This ensures </w:t>
      </w:r>
      <w:r>
        <w:rPr>
          <w:rFonts w:ascii="Times New Roman" w:hAnsi="Times New Roman" w:cs="Times New Roman"/>
        </w:rPr>
        <w:t>the ongoing</w:t>
      </w:r>
      <w:r w:rsidR="0083494B" w:rsidRPr="000128EA">
        <w:rPr>
          <w:rFonts w:ascii="Times New Roman" w:hAnsi="Times New Roman" w:cs="Times New Roman"/>
        </w:rPr>
        <w:t xml:space="preserve"> monitoring is proportional to vendor risk and aligns with best practices.</w:t>
      </w:r>
    </w:p>
    <w:p w14:paraId="1378E310" w14:textId="4A90C49D" w:rsidR="0083494B" w:rsidRPr="00EF73AC" w:rsidRDefault="0083494B" w:rsidP="00EB0457">
      <w:pPr>
        <w:spacing w:after="0" w:line="240" w:lineRule="auto"/>
        <w:outlineLvl w:val="2"/>
        <w:rPr>
          <w:rFonts w:ascii="Times New Roman" w:eastAsia="Times New Roman" w:hAnsi="Times New Roman" w:cs="Times New Roman"/>
          <w:b/>
          <w:bCs/>
          <w:kern w:val="0"/>
          <w:lang w:eastAsia="en-CA"/>
          <w14:ligatures w14:val="none"/>
        </w:rPr>
      </w:pPr>
      <w:r w:rsidRPr="00EF73AC">
        <w:rPr>
          <w:rFonts w:ascii="Times New Roman" w:eastAsia="Times New Roman" w:hAnsi="Times New Roman" w:cs="Times New Roman"/>
          <w:b/>
          <w:bCs/>
          <w:kern w:val="0"/>
          <w:lang w:eastAsia="en-CA"/>
          <w14:ligatures w14:val="none"/>
        </w:rPr>
        <w:t>Criticality Tiers Explained</w:t>
      </w:r>
    </w:p>
    <w:tbl>
      <w:tblPr>
        <w:tblW w:w="10272" w:type="dxa"/>
        <w:tblCellSpacing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168"/>
        <w:gridCol w:w="6335"/>
        <w:gridCol w:w="2769"/>
      </w:tblGrid>
      <w:tr w:rsidR="0083494B" w:rsidRPr="0083494B" w14:paraId="7568865A" w14:textId="77777777" w:rsidTr="00EB2B54">
        <w:trPr>
          <w:tblHeader/>
          <w:tblCellSpacing w:w="15" w:type="dxa"/>
        </w:trPr>
        <w:tc>
          <w:tcPr>
            <w:tcW w:w="0" w:type="auto"/>
            <w:vAlign w:val="center"/>
            <w:hideMark/>
          </w:tcPr>
          <w:p w14:paraId="1FAB8DD1" w14:textId="77777777" w:rsidR="0083494B" w:rsidRPr="00EB0457" w:rsidRDefault="0083494B" w:rsidP="0083494B">
            <w:pPr>
              <w:spacing w:after="0" w:line="240" w:lineRule="auto"/>
              <w:jc w:val="center"/>
              <w:rPr>
                <w:rFonts w:ascii="Times New Roman" w:eastAsia="Times New Roman" w:hAnsi="Times New Roman" w:cs="Times New Roman"/>
                <w:b/>
                <w:bCs/>
                <w:kern w:val="0"/>
                <w:sz w:val="22"/>
                <w:szCs w:val="22"/>
                <w:lang w:eastAsia="en-CA"/>
                <w14:ligatures w14:val="none"/>
              </w:rPr>
            </w:pPr>
            <w:r w:rsidRPr="00EB0457">
              <w:rPr>
                <w:rFonts w:ascii="Times New Roman" w:eastAsia="Times New Roman" w:hAnsi="Times New Roman" w:cs="Times New Roman"/>
                <w:b/>
                <w:bCs/>
                <w:kern w:val="0"/>
                <w:sz w:val="22"/>
                <w:szCs w:val="22"/>
                <w:lang w:eastAsia="en-CA"/>
                <w14:ligatures w14:val="none"/>
              </w:rPr>
              <w:t>Criticality</w:t>
            </w:r>
          </w:p>
        </w:tc>
        <w:tc>
          <w:tcPr>
            <w:tcW w:w="6305" w:type="dxa"/>
            <w:vAlign w:val="center"/>
            <w:hideMark/>
          </w:tcPr>
          <w:p w14:paraId="136C5CD3" w14:textId="77777777" w:rsidR="0083494B" w:rsidRPr="00EB0457" w:rsidRDefault="0083494B" w:rsidP="0083494B">
            <w:pPr>
              <w:spacing w:after="0" w:line="240" w:lineRule="auto"/>
              <w:jc w:val="center"/>
              <w:rPr>
                <w:rFonts w:ascii="Times New Roman" w:eastAsia="Times New Roman" w:hAnsi="Times New Roman" w:cs="Times New Roman"/>
                <w:b/>
                <w:bCs/>
                <w:kern w:val="0"/>
                <w:sz w:val="22"/>
                <w:szCs w:val="22"/>
                <w:lang w:eastAsia="en-CA"/>
                <w14:ligatures w14:val="none"/>
              </w:rPr>
            </w:pPr>
            <w:r w:rsidRPr="00EB0457">
              <w:rPr>
                <w:rFonts w:ascii="Times New Roman" w:eastAsia="Times New Roman" w:hAnsi="Times New Roman" w:cs="Times New Roman"/>
                <w:b/>
                <w:bCs/>
                <w:kern w:val="0"/>
                <w:sz w:val="22"/>
                <w:szCs w:val="22"/>
                <w:lang w:eastAsia="en-CA"/>
                <w14:ligatures w14:val="none"/>
              </w:rPr>
              <w:t>What It Means</w:t>
            </w:r>
          </w:p>
        </w:tc>
        <w:tc>
          <w:tcPr>
            <w:tcW w:w="2724" w:type="dxa"/>
            <w:vAlign w:val="center"/>
            <w:hideMark/>
          </w:tcPr>
          <w:p w14:paraId="3F31D295" w14:textId="77777777" w:rsidR="0083494B" w:rsidRPr="00EB0457" w:rsidRDefault="0083494B" w:rsidP="0083494B">
            <w:pPr>
              <w:spacing w:after="0" w:line="240" w:lineRule="auto"/>
              <w:jc w:val="center"/>
              <w:rPr>
                <w:rFonts w:ascii="Times New Roman" w:eastAsia="Times New Roman" w:hAnsi="Times New Roman" w:cs="Times New Roman"/>
                <w:b/>
                <w:bCs/>
                <w:kern w:val="0"/>
                <w:sz w:val="22"/>
                <w:szCs w:val="22"/>
                <w:lang w:eastAsia="en-CA"/>
                <w14:ligatures w14:val="none"/>
              </w:rPr>
            </w:pPr>
            <w:r w:rsidRPr="00EB0457">
              <w:rPr>
                <w:rFonts w:ascii="Times New Roman" w:eastAsia="Times New Roman" w:hAnsi="Times New Roman" w:cs="Times New Roman"/>
                <w:b/>
                <w:bCs/>
                <w:kern w:val="0"/>
                <w:sz w:val="22"/>
                <w:szCs w:val="22"/>
                <w:lang w:eastAsia="en-CA"/>
                <w14:ligatures w14:val="none"/>
              </w:rPr>
              <w:t>Examples</w:t>
            </w:r>
          </w:p>
        </w:tc>
      </w:tr>
      <w:tr w:rsidR="0083494B" w:rsidRPr="0083494B" w14:paraId="131162CC" w14:textId="77777777" w:rsidTr="00EB2B54">
        <w:trPr>
          <w:tblCellSpacing w:w="15" w:type="dxa"/>
        </w:trPr>
        <w:tc>
          <w:tcPr>
            <w:tcW w:w="0" w:type="auto"/>
            <w:vAlign w:val="center"/>
            <w:hideMark/>
          </w:tcPr>
          <w:p w14:paraId="45F71DEF" w14:textId="77777777" w:rsidR="0083494B" w:rsidRPr="00EB0457" w:rsidRDefault="0083494B" w:rsidP="0083494B">
            <w:pPr>
              <w:spacing w:after="0" w:line="240" w:lineRule="auto"/>
              <w:rPr>
                <w:rFonts w:ascii="Times New Roman" w:eastAsia="Times New Roman" w:hAnsi="Times New Roman" w:cs="Times New Roman"/>
                <w:kern w:val="0"/>
                <w:sz w:val="22"/>
                <w:szCs w:val="22"/>
                <w:lang w:eastAsia="en-CA"/>
                <w14:ligatures w14:val="none"/>
              </w:rPr>
            </w:pPr>
            <w:r w:rsidRPr="00EB0457">
              <w:rPr>
                <w:rFonts w:ascii="Times New Roman" w:eastAsia="Times New Roman" w:hAnsi="Times New Roman" w:cs="Times New Roman"/>
                <w:b/>
                <w:bCs/>
                <w:kern w:val="0"/>
                <w:sz w:val="22"/>
                <w:szCs w:val="22"/>
                <w:lang w:eastAsia="en-CA"/>
                <w14:ligatures w14:val="none"/>
              </w:rPr>
              <w:t>Critical</w:t>
            </w:r>
          </w:p>
        </w:tc>
        <w:tc>
          <w:tcPr>
            <w:tcW w:w="6305" w:type="dxa"/>
            <w:vAlign w:val="center"/>
            <w:hideMark/>
          </w:tcPr>
          <w:p w14:paraId="344441C0" w14:textId="77777777" w:rsidR="0083494B" w:rsidRPr="00EB0457" w:rsidRDefault="0083494B" w:rsidP="0083494B">
            <w:pPr>
              <w:spacing w:after="0" w:line="240" w:lineRule="auto"/>
              <w:rPr>
                <w:rFonts w:ascii="Times New Roman" w:eastAsia="Times New Roman" w:hAnsi="Times New Roman" w:cs="Times New Roman"/>
                <w:kern w:val="0"/>
                <w:sz w:val="22"/>
                <w:szCs w:val="22"/>
                <w:lang w:eastAsia="en-CA"/>
                <w14:ligatures w14:val="none"/>
              </w:rPr>
            </w:pPr>
            <w:r w:rsidRPr="00EB0457">
              <w:rPr>
                <w:rFonts w:ascii="Times New Roman" w:eastAsia="Times New Roman" w:hAnsi="Times New Roman" w:cs="Times New Roman"/>
                <w:kern w:val="0"/>
                <w:sz w:val="22"/>
                <w:szCs w:val="22"/>
                <w:lang w:eastAsia="en-CA"/>
                <w14:ligatures w14:val="none"/>
              </w:rPr>
              <w:t>Business cannot operate without the vendor; disruption = high risk or downtime</w:t>
            </w:r>
          </w:p>
        </w:tc>
        <w:tc>
          <w:tcPr>
            <w:tcW w:w="2724" w:type="dxa"/>
            <w:vAlign w:val="center"/>
            <w:hideMark/>
          </w:tcPr>
          <w:p w14:paraId="399B3A1E" w14:textId="77777777" w:rsidR="0083494B" w:rsidRPr="00EB0457" w:rsidRDefault="0083494B" w:rsidP="0083494B">
            <w:pPr>
              <w:spacing w:after="0" w:line="240" w:lineRule="auto"/>
              <w:rPr>
                <w:rFonts w:ascii="Times New Roman" w:eastAsia="Times New Roman" w:hAnsi="Times New Roman" w:cs="Times New Roman"/>
                <w:kern w:val="0"/>
                <w:sz w:val="22"/>
                <w:szCs w:val="22"/>
                <w:lang w:eastAsia="en-CA"/>
                <w14:ligatures w14:val="none"/>
              </w:rPr>
            </w:pPr>
            <w:r w:rsidRPr="00EB0457">
              <w:rPr>
                <w:rFonts w:ascii="Times New Roman" w:eastAsia="Times New Roman" w:hAnsi="Times New Roman" w:cs="Times New Roman"/>
                <w:kern w:val="0"/>
                <w:sz w:val="22"/>
                <w:szCs w:val="22"/>
                <w:lang w:eastAsia="en-CA"/>
                <w14:ligatures w14:val="none"/>
              </w:rPr>
              <w:t>Cloud provider, identity platform</w:t>
            </w:r>
          </w:p>
        </w:tc>
      </w:tr>
      <w:tr w:rsidR="0083494B" w:rsidRPr="0083494B" w14:paraId="630550E2" w14:textId="77777777" w:rsidTr="00EB2B54">
        <w:trPr>
          <w:tblCellSpacing w:w="15" w:type="dxa"/>
        </w:trPr>
        <w:tc>
          <w:tcPr>
            <w:tcW w:w="0" w:type="auto"/>
            <w:vAlign w:val="center"/>
            <w:hideMark/>
          </w:tcPr>
          <w:p w14:paraId="1D07F40B" w14:textId="77777777" w:rsidR="0083494B" w:rsidRPr="00EB0457" w:rsidRDefault="0083494B" w:rsidP="0083494B">
            <w:pPr>
              <w:spacing w:after="0" w:line="240" w:lineRule="auto"/>
              <w:rPr>
                <w:rFonts w:ascii="Times New Roman" w:eastAsia="Times New Roman" w:hAnsi="Times New Roman" w:cs="Times New Roman"/>
                <w:kern w:val="0"/>
                <w:sz w:val="22"/>
                <w:szCs w:val="22"/>
                <w:lang w:eastAsia="en-CA"/>
                <w14:ligatures w14:val="none"/>
              </w:rPr>
            </w:pPr>
            <w:r w:rsidRPr="00EB0457">
              <w:rPr>
                <w:rFonts w:ascii="Times New Roman" w:eastAsia="Times New Roman" w:hAnsi="Times New Roman" w:cs="Times New Roman"/>
                <w:b/>
                <w:bCs/>
                <w:kern w:val="0"/>
                <w:sz w:val="22"/>
                <w:szCs w:val="22"/>
                <w:lang w:eastAsia="en-CA"/>
                <w14:ligatures w14:val="none"/>
              </w:rPr>
              <w:t>High</w:t>
            </w:r>
          </w:p>
        </w:tc>
        <w:tc>
          <w:tcPr>
            <w:tcW w:w="6305" w:type="dxa"/>
            <w:vAlign w:val="center"/>
            <w:hideMark/>
          </w:tcPr>
          <w:p w14:paraId="552A0BDB" w14:textId="77777777" w:rsidR="0083494B" w:rsidRPr="00EB0457" w:rsidRDefault="0083494B" w:rsidP="0083494B">
            <w:pPr>
              <w:spacing w:after="0" w:line="240" w:lineRule="auto"/>
              <w:rPr>
                <w:rFonts w:ascii="Times New Roman" w:eastAsia="Times New Roman" w:hAnsi="Times New Roman" w:cs="Times New Roman"/>
                <w:kern w:val="0"/>
                <w:sz w:val="22"/>
                <w:szCs w:val="22"/>
                <w:lang w:eastAsia="en-CA"/>
                <w14:ligatures w14:val="none"/>
              </w:rPr>
            </w:pPr>
            <w:r w:rsidRPr="00EB0457">
              <w:rPr>
                <w:rFonts w:ascii="Times New Roman" w:eastAsia="Times New Roman" w:hAnsi="Times New Roman" w:cs="Times New Roman"/>
                <w:kern w:val="0"/>
                <w:sz w:val="22"/>
                <w:szCs w:val="22"/>
                <w:lang w:eastAsia="en-CA"/>
                <w14:ligatures w14:val="none"/>
              </w:rPr>
              <w:t>Significant operational or compliance impact; may handle sensitive/confidential data</w:t>
            </w:r>
          </w:p>
        </w:tc>
        <w:tc>
          <w:tcPr>
            <w:tcW w:w="2724" w:type="dxa"/>
            <w:vAlign w:val="center"/>
            <w:hideMark/>
          </w:tcPr>
          <w:p w14:paraId="4915C3CC" w14:textId="77777777" w:rsidR="0083494B" w:rsidRPr="00EB0457" w:rsidRDefault="0083494B" w:rsidP="0083494B">
            <w:pPr>
              <w:spacing w:after="0" w:line="240" w:lineRule="auto"/>
              <w:rPr>
                <w:rFonts w:ascii="Times New Roman" w:eastAsia="Times New Roman" w:hAnsi="Times New Roman" w:cs="Times New Roman"/>
                <w:kern w:val="0"/>
                <w:sz w:val="22"/>
                <w:szCs w:val="22"/>
                <w:lang w:eastAsia="en-CA"/>
                <w14:ligatures w14:val="none"/>
              </w:rPr>
            </w:pPr>
            <w:r w:rsidRPr="00EB0457">
              <w:rPr>
                <w:rFonts w:ascii="Times New Roman" w:eastAsia="Times New Roman" w:hAnsi="Times New Roman" w:cs="Times New Roman"/>
                <w:kern w:val="0"/>
                <w:sz w:val="22"/>
                <w:szCs w:val="22"/>
                <w:lang w:eastAsia="en-CA"/>
                <w14:ligatures w14:val="none"/>
              </w:rPr>
              <w:t>Payroll processor, claims platform</w:t>
            </w:r>
          </w:p>
        </w:tc>
      </w:tr>
      <w:tr w:rsidR="0083494B" w:rsidRPr="0083494B" w14:paraId="064C36B9" w14:textId="77777777" w:rsidTr="00EB2B54">
        <w:trPr>
          <w:tblCellSpacing w:w="15" w:type="dxa"/>
        </w:trPr>
        <w:tc>
          <w:tcPr>
            <w:tcW w:w="0" w:type="auto"/>
            <w:vAlign w:val="center"/>
            <w:hideMark/>
          </w:tcPr>
          <w:p w14:paraId="5DFCDDE5" w14:textId="77777777" w:rsidR="0083494B" w:rsidRPr="00EB0457" w:rsidRDefault="0083494B" w:rsidP="0083494B">
            <w:pPr>
              <w:spacing w:after="0" w:line="240" w:lineRule="auto"/>
              <w:rPr>
                <w:rFonts w:ascii="Times New Roman" w:eastAsia="Times New Roman" w:hAnsi="Times New Roman" w:cs="Times New Roman"/>
                <w:kern w:val="0"/>
                <w:sz w:val="22"/>
                <w:szCs w:val="22"/>
                <w:lang w:eastAsia="en-CA"/>
                <w14:ligatures w14:val="none"/>
              </w:rPr>
            </w:pPr>
            <w:r w:rsidRPr="00EB0457">
              <w:rPr>
                <w:rFonts w:ascii="Times New Roman" w:eastAsia="Times New Roman" w:hAnsi="Times New Roman" w:cs="Times New Roman"/>
                <w:b/>
                <w:bCs/>
                <w:kern w:val="0"/>
                <w:sz w:val="22"/>
                <w:szCs w:val="22"/>
                <w:lang w:eastAsia="en-CA"/>
                <w14:ligatures w14:val="none"/>
              </w:rPr>
              <w:t>Medium</w:t>
            </w:r>
          </w:p>
        </w:tc>
        <w:tc>
          <w:tcPr>
            <w:tcW w:w="6305" w:type="dxa"/>
            <w:vAlign w:val="center"/>
            <w:hideMark/>
          </w:tcPr>
          <w:p w14:paraId="48D97454" w14:textId="77777777" w:rsidR="0083494B" w:rsidRPr="00EB0457" w:rsidRDefault="0083494B" w:rsidP="0083494B">
            <w:pPr>
              <w:spacing w:after="0" w:line="240" w:lineRule="auto"/>
              <w:rPr>
                <w:rFonts w:ascii="Times New Roman" w:eastAsia="Times New Roman" w:hAnsi="Times New Roman" w:cs="Times New Roman"/>
                <w:kern w:val="0"/>
                <w:sz w:val="22"/>
                <w:szCs w:val="22"/>
                <w:lang w:eastAsia="en-CA"/>
                <w14:ligatures w14:val="none"/>
              </w:rPr>
            </w:pPr>
            <w:r w:rsidRPr="00EB0457">
              <w:rPr>
                <w:rFonts w:ascii="Times New Roman" w:eastAsia="Times New Roman" w:hAnsi="Times New Roman" w:cs="Times New Roman"/>
                <w:kern w:val="0"/>
                <w:sz w:val="22"/>
                <w:szCs w:val="22"/>
                <w:lang w:eastAsia="en-CA"/>
                <w14:ligatures w14:val="none"/>
              </w:rPr>
              <w:t>Important but not mission-critical; may affect team workflows or data indirectly</w:t>
            </w:r>
          </w:p>
        </w:tc>
        <w:tc>
          <w:tcPr>
            <w:tcW w:w="2724" w:type="dxa"/>
            <w:vAlign w:val="center"/>
            <w:hideMark/>
          </w:tcPr>
          <w:p w14:paraId="5950A80F" w14:textId="77777777" w:rsidR="0083494B" w:rsidRPr="00EB0457" w:rsidRDefault="0083494B" w:rsidP="0083494B">
            <w:pPr>
              <w:spacing w:after="0" w:line="240" w:lineRule="auto"/>
              <w:rPr>
                <w:rFonts w:ascii="Times New Roman" w:eastAsia="Times New Roman" w:hAnsi="Times New Roman" w:cs="Times New Roman"/>
                <w:kern w:val="0"/>
                <w:sz w:val="22"/>
                <w:szCs w:val="22"/>
                <w:lang w:eastAsia="en-CA"/>
                <w14:ligatures w14:val="none"/>
              </w:rPr>
            </w:pPr>
            <w:r w:rsidRPr="00EB0457">
              <w:rPr>
                <w:rFonts w:ascii="Times New Roman" w:eastAsia="Times New Roman" w:hAnsi="Times New Roman" w:cs="Times New Roman"/>
                <w:kern w:val="0"/>
                <w:sz w:val="22"/>
                <w:szCs w:val="22"/>
                <w:lang w:eastAsia="en-CA"/>
                <w14:ligatures w14:val="none"/>
              </w:rPr>
              <w:t>Document e-sign, analytics tools</w:t>
            </w:r>
          </w:p>
        </w:tc>
      </w:tr>
      <w:tr w:rsidR="0083494B" w:rsidRPr="0083494B" w14:paraId="0BD0DDCC" w14:textId="77777777" w:rsidTr="00EB2B54">
        <w:trPr>
          <w:tblCellSpacing w:w="15" w:type="dxa"/>
        </w:trPr>
        <w:tc>
          <w:tcPr>
            <w:tcW w:w="0" w:type="auto"/>
            <w:vAlign w:val="center"/>
            <w:hideMark/>
          </w:tcPr>
          <w:p w14:paraId="34DC0092" w14:textId="77777777" w:rsidR="0083494B" w:rsidRPr="00EB0457" w:rsidRDefault="0083494B" w:rsidP="0083494B">
            <w:pPr>
              <w:spacing w:after="0" w:line="240" w:lineRule="auto"/>
              <w:rPr>
                <w:rFonts w:ascii="Times New Roman" w:eastAsia="Times New Roman" w:hAnsi="Times New Roman" w:cs="Times New Roman"/>
                <w:kern w:val="0"/>
                <w:sz w:val="22"/>
                <w:szCs w:val="22"/>
                <w:lang w:eastAsia="en-CA"/>
                <w14:ligatures w14:val="none"/>
              </w:rPr>
            </w:pPr>
            <w:r w:rsidRPr="00EB0457">
              <w:rPr>
                <w:rFonts w:ascii="Times New Roman" w:eastAsia="Times New Roman" w:hAnsi="Times New Roman" w:cs="Times New Roman"/>
                <w:b/>
                <w:bCs/>
                <w:kern w:val="0"/>
                <w:sz w:val="22"/>
                <w:szCs w:val="22"/>
                <w:lang w:eastAsia="en-CA"/>
                <w14:ligatures w14:val="none"/>
              </w:rPr>
              <w:t>Low</w:t>
            </w:r>
          </w:p>
        </w:tc>
        <w:tc>
          <w:tcPr>
            <w:tcW w:w="6305" w:type="dxa"/>
            <w:vAlign w:val="center"/>
            <w:hideMark/>
          </w:tcPr>
          <w:p w14:paraId="770E9EB4" w14:textId="77777777" w:rsidR="0083494B" w:rsidRPr="00EB0457" w:rsidRDefault="0083494B" w:rsidP="0083494B">
            <w:pPr>
              <w:spacing w:after="0" w:line="240" w:lineRule="auto"/>
              <w:rPr>
                <w:rFonts w:ascii="Times New Roman" w:eastAsia="Times New Roman" w:hAnsi="Times New Roman" w:cs="Times New Roman"/>
                <w:kern w:val="0"/>
                <w:sz w:val="22"/>
                <w:szCs w:val="22"/>
                <w:lang w:eastAsia="en-CA"/>
                <w14:ligatures w14:val="none"/>
              </w:rPr>
            </w:pPr>
            <w:r w:rsidRPr="00EB0457">
              <w:rPr>
                <w:rFonts w:ascii="Times New Roman" w:eastAsia="Times New Roman" w:hAnsi="Times New Roman" w:cs="Times New Roman"/>
                <w:kern w:val="0"/>
                <w:sz w:val="22"/>
                <w:szCs w:val="22"/>
                <w:lang w:eastAsia="en-CA"/>
                <w14:ligatures w14:val="none"/>
              </w:rPr>
              <w:t>Limited impact; often replaceable; doesn’t handle sensitive data</w:t>
            </w:r>
          </w:p>
        </w:tc>
        <w:tc>
          <w:tcPr>
            <w:tcW w:w="2724" w:type="dxa"/>
            <w:vAlign w:val="center"/>
            <w:hideMark/>
          </w:tcPr>
          <w:p w14:paraId="06EB4C0A" w14:textId="77777777" w:rsidR="0083494B" w:rsidRPr="00EB0457" w:rsidRDefault="0083494B" w:rsidP="0083494B">
            <w:pPr>
              <w:spacing w:after="0" w:line="240" w:lineRule="auto"/>
              <w:rPr>
                <w:rFonts w:ascii="Times New Roman" w:eastAsia="Times New Roman" w:hAnsi="Times New Roman" w:cs="Times New Roman"/>
                <w:kern w:val="0"/>
                <w:sz w:val="22"/>
                <w:szCs w:val="22"/>
                <w:lang w:eastAsia="en-CA"/>
                <w14:ligatures w14:val="none"/>
              </w:rPr>
            </w:pPr>
            <w:r w:rsidRPr="00EB0457">
              <w:rPr>
                <w:rFonts w:ascii="Times New Roman" w:eastAsia="Times New Roman" w:hAnsi="Times New Roman" w:cs="Times New Roman"/>
                <w:kern w:val="0"/>
                <w:sz w:val="22"/>
                <w:szCs w:val="22"/>
                <w:lang w:eastAsia="en-CA"/>
                <w14:ligatures w14:val="none"/>
              </w:rPr>
              <w:t>Marketing, hardware vendors</w:t>
            </w:r>
          </w:p>
        </w:tc>
      </w:tr>
    </w:tbl>
    <w:p w14:paraId="0F0363C5" w14:textId="77777777" w:rsidR="00587B64" w:rsidRDefault="00587B64"/>
    <w:p w14:paraId="537DA555" w14:textId="77777777" w:rsidR="00587B64" w:rsidRPr="00EB2B54" w:rsidRDefault="00587B64" w:rsidP="00EB0457">
      <w:pPr>
        <w:spacing w:after="0" w:line="240" w:lineRule="auto"/>
        <w:rPr>
          <w:rFonts w:ascii="Times New Roman" w:eastAsia="Times New Roman" w:hAnsi="Times New Roman" w:cs="Times New Roman"/>
          <w:b/>
          <w:bCs/>
          <w:kern w:val="0"/>
          <w:lang w:eastAsia="en-CA"/>
          <w14:ligatures w14:val="none"/>
        </w:rPr>
      </w:pPr>
      <w:r w:rsidRPr="00EB2B54">
        <w:rPr>
          <w:rFonts w:ascii="Times New Roman" w:eastAsia="Times New Roman" w:hAnsi="Times New Roman" w:cs="Times New Roman"/>
          <w:b/>
          <w:bCs/>
          <w:kern w:val="0"/>
          <w:lang w:eastAsia="en-CA"/>
          <w14:ligatures w14:val="none"/>
        </w:rPr>
        <w:t>KRI Explanations – Function and Logic</w:t>
      </w:r>
    </w:p>
    <w:tbl>
      <w:tblPr>
        <w:tblW w:w="10051" w:type="dxa"/>
        <w:tblCellSpacing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602"/>
        <w:gridCol w:w="3023"/>
        <w:gridCol w:w="1667"/>
        <w:gridCol w:w="1611"/>
        <w:gridCol w:w="2148"/>
      </w:tblGrid>
      <w:tr w:rsidR="00587B64" w:rsidRPr="00587B64" w14:paraId="67CD2F12" w14:textId="77777777" w:rsidTr="00EB2B54">
        <w:trPr>
          <w:tblHeader/>
          <w:tblCellSpacing w:w="15" w:type="dxa"/>
        </w:trPr>
        <w:tc>
          <w:tcPr>
            <w:tcW w:w="0" w:type="auto"/>
            <w:vAlign w:val="center"/>
            <w:hideMark/>
          </w:tcPr>
          <w:p w14:paraId="163C7D88" w14:textId="77777777" w:rsidR="00587B64" w:rsidRPr="00EB2B54" w:rsidRDefault="00587B64" w:rsidP="00587B64">
            <w:pPr>
              <w:rPr>
                <w:rFonts w:ascii="Times New Roman" w:hAnsi="Times New Roman" w:cs="Times New Roman"/>
                <w:b/>
                <w:bCs/>
                <w:sz w:val="22"/>
                <w:szCs w:val="22"/>
              </w:rPr>
            </w:pPr>
            <w:r w:rsidRPr="00EB2B54">
              <w:rPr>
                <w:rFonts w:ascii="Times New Roman" w:hAnsi="Times New Roman" w:cs="Times New Roman"/>
                <w:b/>
                <w:bCs/>
                <w:sz w:val="22"/>
                <w:szCs w:val="22"/>
              </w:rPr>
              <w:t>KRI</w:t>
            </w:r>
          </w:p>
        </w:tc>
        <w:tc>
          <w:tcPr>
            <w:tcW w:w="2993" w:type="dxa"/>
            <w:vAlign w:val="center"/>
            <w:hideMark/>
          </w:tcPr>
          <w:p w14:paraId="29A8811B" w14:textId="77777777" w:rsidR="00587B64" w:rsidRPr="00EB2B54" w:rsidRDefault="00587B64" w:rsidP="00587B64">
            <w:pPr>
              <w:rPr>
                <w:rFonts w:ascii="Times New Roman" w:hAnsi="Times New Roman" w:cs="Times New Roman"/>
                <w:b/>
                <w:bCs/>
                <w:sz w:val="22"/>
                <w:szCs w:val="22"/>
              </w:rPr>
            </w:pPr>
            <w:r w:rsidRPr="00EB2B54">
              <w:rPr>
                <w:rFonts w:ascii="Times New Roman" w:hAnsi="Times New Roman" w:cs="Times New Roman"/>
                <w:b/>
                <w:bCs/>
                <w:sz w:val="22"/>
                <w:szCs w:val="22"/>
              </w:rPr>
              <w:t>What It Measures</w:t>
            </w:r>
          </w:p>
        </w:tc>
        <w:tc>
          <w:tcPr>
            <w:tcW w:w="1637" w:type="dxa"/>
            <w:vAlign w:val="center"/>
            <w:hideMark/>
          </w:tcPr>
          <w:p w14:paraId="406DB336" w14:textId="77777777" w:rsidR="00587B64" w:rsidRPr="00EB2B54" w:rsidRDefault="00587B64" w:rsidP="00587B64">
            <w:pPr>
              <w:rPr>
                <w:rFonts w:ascii="Times New Roman" w:hAnsi="Times New Roman" w:cs="Times New Roman"/>
                <w:b/>
                <w:bCs/>
                <w:sz w:val="22"/>
                <w:szCs w:val="22"/>
              </w:rPr>
            </w:pPr>
            <w:r w:rsidRPr="00EB2B54">
              <w:rPr>
                <w:rFonts w:ascii="Times New Roman" w:hAnsi="Times New Roman" w:cs="Times New Roman"/>
                <w:b/>
                <w:bCs/>
                <w:sz w:val="22"/>
                <w:szCs w:val="22"/>
              </w:rPr>
              <w:t>How It Works</w:t>
            </w:r>
          </w:p>
        </w:tc>
        <w:tc>
          <w:tcPr>
            <w:tcW w:w="0" w:type="auto"/>
            <w:vAlign w:val="center"/>
            <w:hideMark/>
          </w:tcPr>
          <w:p w14:paraId="4B81069E" w14:textId="77777777" w:rsidR="00587B64" w:rsidRPr="00EB2B54" w:rsidRDefault="00587B64" w:rsidP="00587B64">
            <w:pPr>
              <w:rPr>
                <w:rFonts w:ascii="Times New Roman" w:hAnsi="Times New Roman" w:cs="Times New Roman"/>
                <w:b/>
                <w:bCs/>
                <w:sz w:val="22"/>
                <w:szCs w:val="22"/>
              </w:rPr>
            </w:pPr>
            <w:r w:rsidRPr="00EB2B54">
              <w:rPr>
                <w:rFonts w:ascii="Times New Roman" w:hAnsi="Times New Roman" w:cs="Times New Roman"/>
                <w:b/>
                <w:bCs/>
                <w:sz w:val="22"/>
                <w:szCs w:val="22"/>
              </w:rPr>
              <w:t>Trigger / Threshold</w:t>
            </w:r>
          </w:p>
        </w:tc>
        <w:tc>
          <w:tcPr>
            <w:tcW w:w="2103" w:type="dxa"/>
            <w:vAlign w:val="center"/>
            <w:hideMark/>
          </w:tcPr>
          <w:p w14:paraId="2FE7B9BC" w14:textId="77777777" w:rsidR="00587B64" w:rsidRPr="00EB2B54" w:rsidRDefault="00587B64" w:rsidP="00587B64">
            <w:pPr>
              <w:rPr>
                <w:rFonts w:ascii="Times New Roman" w:hAnsi="Times New Roman" w:cs="Times New Roman"/>
                <w:b/>
                <w:bCs/>
                <w:sz w:val="22"/>
                <w:szCs w:val="22"/>
              </w:rPr>
            </w:pPr>
            <w:r w:rsidRPr="00EB2B54">
              <w:rPr>
                <w:rFonts w:ascii="Times New Roman" w:hAnsi="Times New Roman" w:cs="Times New Roman"/>
                <w:b/>
                <w:bCs/>
                <w:sz w:val="22"/>
                <w:szCs w:val="22"/>
              </w:rPr>
              <w:t>Why It Matters</w:t>
            </w:r>
          </w:p>
        </w:tc>
      </w:tr>
      <w:tr w:rsidR="00587B64" w:rsidRPr="00587B64" w14:paraId="440C7CCA" w14:textId="77777777" w:rsidTr="00EB2B54">
        <w:trPr>
          <w:tblCellSpacing w:w="15" w:type="dxa"/>
        </w:trPr>
        <w:tc>
          <w:tcPr>
            <w:tcW w:w="0" w:type="auto"/>
            <w:vAlign w:val="center"/>
            <w:hideMark/>
          </w:tcPr>
          <w:p w14:paraId="4593B435" w14:textId="71B6F3E4"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Outstanding Risk Remediation</w:t>
            </w:r>
          </w:p>
        </w:tc>
        <w:tc>
          <w:tcPr>
            <w:tcW w:w="2993" w:type="dxa"/>
            <w:vAlign w:val="center"/>
            <w:hideMark/>
          </w:tcPr>
          <w:p w14:paraId="4E7539F5" w14:textId="2048898E" w:rsidR="00587B64" w:rsidRPr="00EB2B54" w:rsidRDefault="00EB2B5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T</w:t>
            </w:r>
            <w:r w:rsidR="00587B64" w:rsidRPr="00EB2B54">
              <w:rPr>
                <w:rFonts w:ascii="Times New Roman" w:hAnsi="Times New Roman" w:cs="Times New Roman"/>
                <w:sz w:val="22"/>
                <w:szCs w:val="22"/>
              </w:rPr>
              <w:t>racks open residual risks with accepted remediation timelines from the onboarding phase or periodic reassessments. Triggers when remediation deadlines are missed or repeatedly extended without justification.</w:t>
            </w:r>
          </w:p>
        </w:tc>
        <w:tc>
          <w:tcPr>
            <w:tcW w:w="1637" w:type="dxa"/>
            <w:vAlign w:val="center"/>
            <w:hideMark/>
          </w:tcPr>
          <w:p w14:paraId="023D4AA4" w14:textId="77777777"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Track open findings (from risk assessments, audits, or questionnaires) and flag if not remediated within a set number of days</w:t>
            </w:r>
          </w:p>
        </w:tc>
        <w:tc>
          <w:tcPr>
            <w:tcW w:w="0" w:type="auto"/>
            <w:vAlign w:val="center"/>
            <w:hideMark/>
          </w:tcPr>
          <w:p w14:paraId="046538DE" w14:textId="19D1D3C5"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 xml:space="preserve"> &gt; 60 days without closure or mitigation plan</w:t>
            </w:r>
          </w:p>
        </w:tc>
        <w:tc>
          <w:tcPr>
            <w:tcW w:w="2103" w:type="dxa"/>
            <w:vAlign w:val="center"/>
            <w:hideMark/>
          </w:tcPr>
          <w:p w14:paraId="3A435479" w14:textId="77777777"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Indicates that the vendor may not be prioritizing risk management or compliance</w:t>
            </w:r>
          </w:p>
        </w:tc>
      </w:tr>
      <w:tr w:rsidR="00587B64" w:rsidRPr="00587B64" w14:paraId="68164BE1" w14:textId="77777777" w:rsidTr="00EB2B54">
        <w:trPr>
          <w:trHeight w:val="1424"/>
          <w:tblCellSpacing w:w="15" w:type="dxa"/>
        </w:trPr>
        <w:tc>
          <w:tcPr>
            <w:tcW w:w="0" w:type="auto"/>
            <w:vAlign w:val="center"/>
            <w:hideMark/>
          </w:tcPr>
          <w:p w14:paraId="2E1C2FF2" w14:textId="058807DE"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Policy/Cert Expiry</w:t>
            </w:r>
          </w:p>
        </w:tc>
        <w:tc>
          <w:tcPr>
            <w:tcW w:w="2993" w:type="dxa"/>
            <w:vAlign w:val="center"/>
            <w:hideMark/>
          </w:tcPr>
          <w:p w14:paraId="0A68133C" w14:textId="77777777"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Tracks if vendor’s key certifications (e.g., SOC 2, ISO 27001) or security policies are current</w:t>
            </w:r>
          </w:p>
        </w:tc>
        <w:tc>
          <w:tcPr>
            <w:tcW w:w="1637" w:type="dxa"/>
            <w:vAlign w:val="center"/>
            <w:hideMark/>
          </w:tcPr>
          <w:p w14:paraId="55B6A0BD" w14:textId="77777777"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Log the expiration dates of certs/docs; alert 30–45 days before expiry</w:t>
            </w:r>
          </w:p>
        </w:tc>
        <w:tc>
          <w:tcPr>
            <w:tcW w:w="0" w:type="auto"/>
            <w:vAlign w:val="center"/>
            <w:hideMark/>
          </w:tcPr>
          <w:p w14:paraId="5A41587D" w14:textId="0BBE0947"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Expiring within 30 days or already expired</w:t>
            </w:r>
          </w:p>
        </w:tc>
        <w:tc>
          <w:tcPr>
            <w:tcW w:w="2103" w:type="dxa"/>
            <w:vAlign w:val="center"/>
            <w:hideMark/>
          </w:tcPr>
          <w:p w14:paraId="17EC877C" w14:textId="77777777"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Expired or missing certifications = stale security posture and increased regulatory risk</w:t>
            </w:r>
          </w:p>
        </w:tc>
      </w:tr>
      <w:tr w:rsidR="00587B64" w:rsidRPr="00587B64" w14:paraId="1C378094" w14:textId="77777777" w:rsidTr="00EB2B54">
        <w:trPr>
          <w:tblCellSpacing w:w="15" w:type="dxa"/>
        </w:trPr>
        <w:tc>
          <w:tcPr>
            <w:tcW w:w="0" w:type="auto"/>
            <w:vAlign w:val="center"/>
            <w:hideMark/>
          </w:tcPr>
          <w:p w14:paraId="3A69DA8B" w14:textId="352AC474"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lastRenderedPageBreak/>
              <w:t>SLA/Uptime Breach</w:t>
            </w:r>
          </w:p>
        </w:tc>
        <w:tc>
          <w:tcPr>
            <w:tcW w:w="2993" w:type="dxa"/>
            <w:vAlign w:val="center"/>
            <w:hideMark/>
          </w:tcPr>
          <w:p w14:paraId="09F1DE3E" w14:textId="77777777"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Detects violations in service-level agreements (availability, uptime, response times)</w:t>
            </w:r>
          </w:p>
        </w:tc>
        <w:tc>
          <w:tcPr>
            <w:tcW w:w="1637" w:type="dxa"/>
            <w:vAlign w:val="center"/>
            <w:hideMark/>
          </w:tcPr>
          <w:p w14:paraId="1EE7988A" w14:textId="77777777"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Pull reports or auto-monitor uptime against agreed SLAs (e.g., 99.9%)</w:t>
            </w:r>
          </w:p>
        </w:tc>
        <w:tc>
          <w:tcPr>
            <w:tcW w:w="0" w:type="auto"/>
            <w:vAlign w:val="center"/>
            <w:hideMark/>
          </w:tcPr>
          <w:p w14:paraId="35D39976" w14:textId="282FF3E4"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&gt;1 SLA breach in a quarter</w:t>
            </w:r>
          </w:p>
        </w:tc>
        <w:tc>
          <w:tcPr>
            <w:tcW w:w="2103" w:type="dxa"/>
            <w:vAlign w:val="center"/>
            <w:hideMark/>
          </w:tcPr>
          <w:p w14:paraId="11B3079B" w14:textId="77777777"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Poor reliability signals operational risk, possible service disruption</w:t>
            </w:r>
          </w:p>
        </w:tc>
      </w:tr>
      <w:tr w:rsidR="00587B64" w:rsidRPr="00587B64" w14:paraId="6C3C33F0" w14:textId="77777777" w:rsidTr="00EB2B54">
        <w:trPr>
          <w:tblCellSpacing w:w="15" w:type="dxa"/>
        </w:trPr>
        <w:tc>
          <w:tcPr>
            <w:tcW w:w="0" w:type="auto"/>
            <w:vAlign w:val="center"/>
            <w:hideMark/>
          </w:tcPr>
          <w:p w14:paraId="184C7B3F" w14:textId="7B49AF1E"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Negative OSINT / Breach Alert</w:t>
            </w:r>
          </w:p>
        </w:tc>
        <w:tc>
          <w:tcPr>
            <w:tcW w:w="2993" w:type="dxa"/>
            <w:vAlign w:val="center"/>
            <w:hideMark/>
          </w:tcPr>
          <w:p w14:paraId="4920CC52" w14:textId="77777777"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Flags publicly available negative news about the vendor (e.g., breach, regulatory fine, data leak)</w:t>
            </w:r>
          </w:p>
        </w:tc>
        <w:tc>
          <w:tcPr>
            <w:tcW w:w="1637" w:type="dxa"/>
            <w:vAlign w:val="center"/>
            <w:hideMark/>
          </w:tcPr>
          <w:p w14:paraId="0A4B349E" w14:textId="77777777"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Monitor threat intel, news feeds, or security advisories for vendor mentions</w:t>
            </w:r>
          </w:p>
        </w:tc>
        <w:tc>
          <w:tcPr>
            <w:tcW w:w="0" w:type="auto"/>
            <w:vAlign w:val="center"/>
            <w:hideMark/>
          </w:tcPr>
          <w:p w14:paraId="022E482D" w14:textId="4AF1DC9C"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Any confirmed adverse cyber event or legal action</w:t>
            </w:r>
          </w:p>
        </w:tc>
        <w:tc>
          <w:tcPr>
            <w:tcW w:w="2103" w:type="dxa"/>
            <w:vAlign w:val="center"/>
            <w:hideMark/>
          </w:tcPr>
          <w:p w14:paraId="4493915B" w14:textId="77777777"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Uncovers reputational or security risk not reported directly by the vendor</w:t>
            </w:r>
          </w:p>
        </w:tc>
      </w:tr>
      <w:tr w:rsidR="00587B64" w:rsidRPr="00587B64" w14:paraId="725BA80C" w14:textId="77777777" w:rsidTr="00EB2B54">
        <w:trPr>
          <w:tblCellSpacing w:w="15" w:type="dxa"/>
        </w:trPr>
        <w:tc>
          <w:tcPr>
            <w:tcW w:w="0" w:type="auto"/>
            <w:vAlign w:val="center"/>
            <w:hideMark/>
          </w:tcPr>
          <w:p w14:paraId="5CA173E6" w14:textId="62E3E503"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Overdue Questionnaire / Risk Response</w:t>
            </w:r>
          </w:p>
        </w:tc>
        <w:tc>
          <w:tcPr>
            <w:tcW w:w="2993" w:type="dxa"/>
            <w:vAlign w:val="center"/>
            <w:hideMark/>
          </w:tcPr>
          <w:p w14:paraId="38E8262E" w14:textId="77777777"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Monitors vendor responsiveness to periodic reassessments or follow-ups</w:t>
            </w:r>
          </w:p>
        </w:tc>
        <w:tc>
          <w:tcPr>
            <w:tcW w:w="1637" w:type="dxa"/>
            <w:vAlign w:val="center"/>
            <w:hideMark/>
          </w:tcPr>
          <w:p w14:paraId="3D0D9491" w14:textId="77777777"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Track due dates of annual risk questionnaires or issue responses</w:t>
            </w:r>
          </w:p>
        </w:tc>
        <w:tc>
          <w:tcPr>
            <w:tcW w:w="0" w:type="auto"/>
            <w:vAlign w:val="center"/>
            <w:hideMark/>
          </w:tcPr>
          <w:p w14:paraId="4D09610E" w14:textId="28E53E48"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&gt; 2 unanswered requests or 30+ days overdue</w:t>
            </w:r>
          </w:p>
        </w:tc>
        <w:tc>
          <w:tcPr>
            <w:tcW w:w="2103" w:type="dxa"/>
            <w:vAlign w:val="center"/>
            <w:hideMark/>
          </w:tcPr>
          <w:p w14:paraId="7BDD42E1" w14:textId="77777777"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Lack of responsiveness may signal disengagement, immaturity, or risk evasion</w:t>
            </w:r>
          </w:p>
        </w:tc>
      </w:tr>
      <w:tr w:rsidR="00587B64" w:rsidRPr="00587B64" w14:paraId="0A711274" w14:textId="77777777" w:rsidTr="00EB2B54">
        <w:trPr>
          <w:tblCellSpacing w:w="15" w:type="dxa"/>
        </w:trPr>
        <w:tc>
          <w:tcPr>
            <w:tcW w:w="0" w:type="auto"/>
            <w:vAlign w:val="center"/>
            <w:hideMark/>
          </w:tcPr>
          <w:p w14:paraId="414ACD5E" w14:textId="0DB13C00"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Personnel Offboarding Lag</w:t>
            </w:r>
          </w:p>
        </w:tc>
        <w:tc>
          <w:tcPr>
            <w:tcW w:w="2993" w:type="dxa"/>
            <w:vAlign w:val="center"/>
            <w:hideMark/>
          </w:tcPr>
          <w:p w14:paraId="6DB57679" w14:textId="7B981A4C"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Checks whether vendors are promptly revoking access for offboarded personnel. Ask this in the annual or periodic vendor risk questionnaire. If the vendor fails to comply (e.g., access still active after separation), log that as a KRI trigger</w:t>
            </w:r>
          </w:p>
        </w:tc>
        <w:tc>
          <w:tcPr>
            <w:tcW w:w="1637" w:type="dxa"/>
            <w:vAlign w:val="center"/>
            <w:hideMark/>
          </w:tcPr>
          <w:p w14:paraId="658EEC4D" w14:textId="77777777"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Compare termination dates to actual access revocation dates (manual or system-fed)</w:t>
            </w:r>
          </w:p>
        </w:tc>
        <w:tc>
          <w:tcPr>
            <w:tcW w:w="0" w:type="auto"/>
            <w:vAlign w:val="center"/>
            <w:hideMark/>
          </w:tcPr>
          <w:p w14:paraId="370C38FD" w14:textId="2D6F0C41"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&gt;5 business days between termination and access removal</w:t>
            </w:r>
          </w:p>
        </w:tc>
        <w:tc>
          <w:tcPr>
            <w:tcW w:w="2103" w:type="dxa"/>
            <w:vAlign w:val="center"/>
            <w:hideMark/>
          </w:tcPr>
          <w:p w14:paraId="6AF314C7" w14:textId="77777777"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Delayed access removal is a direct control failure, exposing your systems/data</w:t>
            </w:r>
          </w:p>
        </w:tc>
      </w:tr>
      <w:tr w:rsidR="00587B64" w:rsidRPr="00587B64" w14:paraId="49262537" w14:textId="77777777" w:rsidTr="00EB2B54">
        <w:trPr>
          <w:tblCellSpacing w:w="15" w:type="dxa"/>
        </w:trPr>
        <w:tc>
          <w:tcPr>
            <w:tcW w:w="0" w:type="auto"/>
            <w:vAlign w:val="center"/>
            <w:hideMark/>
          </w:tcPr>
          <w:p w14:paraId="2EDD9EDE" w14:textId="66DB110E"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Change in Service / Subcontractors</w:t>
            </w:r>
          </w:p>
        </w:tc>
        <w:tc>
          <w:tcPr>
            <w:tcW w:w="2993" w:type="dxa"/>
            <w:vAlign w:val="center"/>
            <w:hideMark/>
          </w:tcPr>
          <w:p w14:paraId="0724835E" w14:textId="77777777"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Detects major shifts in vendor environment (ownership, hosting, 4th-party use)</w:t>
            </w:r>
          </w:p>
        </w:tc>
        <w:tc>
          <w:tcPr>
            <w:tcW w:w="1637" w:type="dxa"/>
            <w:vAlign w:val="center"/>
            <w:hideMark/>
          </w:tcPr>
          <w:p w14:paraId="1ED06306" w14:textId="77777777"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Log self-reported changes, procurement updates, or service change notices</w:t>
            </w:r>
          </w:p>
        </w:tc>
        <w:tc>
          <w:tcPr>
            <w:tcW w:w="0" w:type="auto"/>
            <w:vAlign w:val="center"/>
            <w:hideMark/>
          </w:tcPr>
          <w:p w14:paraId="3B73A7A9" w14:textId="56C3B9FD"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Any material change in systems, 3rd/4th parties, or data flows</w:t>
            </w:r>
          </w:p>
        </w:tc>
        <w:tc>
          <w:tcPr>
            <w:tcW w:w="2103" w:type="dxa"/>
            <w:vAlign w:val="center"/>
            <w:hideMark/>
          </w:tcPr>
          <w:p w14:paraId="5EF3C700" w14:textId="77777777"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Changes may invalidate prior risk assessments or bypass contractual controls</w:t>
            </w:r>
          </w:p>
        </w:tc>
      </w:tr>
      <w:tr w:rsidR="00587B64" w:rsidRPr="00587B64" w14:paraId="2D961204" w14:textId="77777777" w:rsidTr="00EB2B54">
        <w:trPr>
          <w:tblCellSpacing w:w="15" w:type="dxa"/>
        </w:trPr>
        <w:tc>
          <w:tcPr>
            <w:tcW w:w="0" w:type="auto"/>
            <w:vAlign w:val="center"/>
            <w:hideMark/>
          </w:tcPr>
          <w:p w14:paraId="576E7D21" w14:textId="496FFF9F"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Unreviewed Contract &gt; 24 Months</w:t>
            </w:r>
          </w:p>
        </w:tc>
        <w:tc>
          <w:tcPr>
            <w:tcW w:w="2993" w:type="dxa"/>
            <w:vAlign w:val="center"/>
            <w:hideMark/>
          </w:tcPr>
          <w:p w14:paraId="44C34623" w14:textId="77777777"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Tracks whether vendor contracts have had any recent security/legal review</w:t>
            </w:r>
          </w:p>
        </w:tc>
        <w:tc>
          <w:tcPr>
            <w:tcW w:w="1637" w:type="dxa"/>
            <w:vAlign w:val="center"/>
            <w:hideMark/>
          </w:tcPr>
          <w:p w14:paraId="12667CD1" w14:textId="286A9ECC"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Timestamp last review; trigger if over 24 months old</w:t>
            </w:r>
          </w:p>
        </w:tc>
        <w:tc>
          <w:tcPr>
            <w:tcW w:w="0" w:type="auto"/>
            <w:vAlign w:val="center"/>
            <w:hideMark/>
          </w:tcPr>
          <w:p w14:paraId="00CF1813" w14:textId="042B808A"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&gt;24months since last security/legal review</w:t>
            </w:r>
          </w:p>
        </w:tc>
        <w:tc>
          <w:tcPr>
            <w:tcW w:w="2103" w:type="dxa"/>
            <w:vAlign w:val="center"/>
            <w:hideMark/>
          </w:tcPr>
          <w:p w14:paraId="23DB4295" w14:textId="77777777" w:rsidR="00587B64" w:rsidRPr="00EB2B54" w:rsidRDefault="00587B64" w:rsidP="00EB2B54">
            <w:pPr>
              <w:spacing w:after="0" w:line="240" w:lineRule="auto"/>
              <w:rPr>
                <w:rFonts w:ascii="Times New Roman" w:hAnsi="Times New Roman" w:cs="Times New Roman"/>
                <w:sz w:val="22"/>
                <w:szCs w:val="22"/>
              </w:rPr>
            </w:pPr>
            <w:r w:rsidRPr="00EB2B54">
              <w:rPr>
                <w:rFonts w:ascii="Times New Roman" w:hAnsi="Times New Roman" w:cs="Times New Roman"/>
                <w:sz w:val="22"/>
                <w:szCs w:val="22"/>
              </w:rPr>
              <w:t>Prevents stale clauses, missing regulatory updates, or outdated risk allocations</w:t>
            </w:r>
          </w:p>
        </w:tc>
      </w:tr>
    </w:tbl>
    <w:p w14:paraId="63111962" w14:textId="77777777" w:rsidR="00587B64" w:rsidRDefault="00587B64"/>
    <w:p w14:paraId="2A554850" w14:textId="253F0C4F" w:rsidR="00A30485" w:rsidRPr="005F089F" w:rsidRDefault="00A30485">
      <w:pPr>
        <w:rPr>
          <w:rFonts w:ascii="Times New Roman" w:hAnsi="Times New Roman" w:cs="Times New Roman"/>
          <w:b/>
          <w:bCs/>
        </w:rPr>
      </w:pPr>
      <w:r w:rsidRPr="005F089F">
        <w:rPr>
          <w:rFonts w:ascii="Times New Roman" w:hAnsi="Times New Roman" w:cs="Times New Roman"/>
          <w:b/>
          <w:bCs/>
        </w:rPr>
        <w:t>Monitoring Workflow</w:t>
      </w:r>
    </w:p>
    <w:p w14:paraId="2B6530B6" w14:textId="12593666" w:rsidR="00A30485" w:rsidRPr="005F089F" w:rsidRDefault="00A30485">
      <w:pPr>
        <w:rPr>
          <w:rFonts w:ascii="Times New Roman" w:hAnsi="Times New Roman" w:cs="Times New Roman"/>
        </w:rPr>
      </w:pPr>
      <w:r w:rsidRPr="005F089F">
        <w:rPr>
          <w:rFonts w:ascii="Times New Roman" w:hAnsi="Times New Roman" w:cs="Times New Roman"/>
        </w:rPr>
        <w:t>New KRI Trigger → Check against Thresholds → Log in Risk Register → Notify Stakeholders → Require Vendor Action → Escalate if Unresolved</w:t>
      </w:r>
    </w:p>
    <w:p w14:paraId="01D8A015" w14:textId="77777777" w:rsidR="00E258DD" w:rsidRDefault="00E258DD"/>
    <w:sectPr w:rsidR="00E258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D78D2"/>
    <w:multiLevelType w:val="multilevel"/>
    <w:tmpl w:val="C00E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61F1D"/>
    <w:multiLevelType w:val="multilevel"/>
    <w:tmpl w:val="81C2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D12EC6"/>
    <w:multiLevelType w:val="multilevel"/>
    <w:tmpl w:val="5EA8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711090"/>
    <w:multiLevelType w:val="multilevel"/>
    <w:tmpl w:val="43C6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DF6625"/>
    <w:multiLevelType w:val="multilevel"/>
    <w:tmpl w:val="BDDA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1B483C"/>
    <w:multiLevelType w:val="multilevel"/>
    <w:tmpl w:val="ED12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FB160F"/>
    <w:multiLevelType w:val="multilevel"/>
    <w:tmpl w:val="E752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9838004">
    <w:abstractNumId w:val="5"/>
  </w:num>
  <w:num w:numId="2" w16cid:durableId="1491368527">
    <w:abstractNumId w:val="3"/>
  </w:num>
  <w:num w:numId="3" w16cid:durableId="783380955">
    <w:abstractNumId w:val="6"/>
  </w:num>
  <w:num w:numId="4" w16cid:durableId="1921787659">
    <w:abstractNumId w:val="4"/>
  </w:num>
  <w:num w:numId="5" w16cid:durableId="1387266262">
    <w:abstractNumId w:val="0"/>
  </w:num>
  <w:num w:numId="6" w16cid:durableId="1282302287">
    <w:abstractNumId w:val="1"/>
  </w:num>
  <w:num w:numId="7" w16cid:durableId="946083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94B"/>
    <w:rsid w:val="000128EA"/>
    <w:rsid w:val="00032475"/>
    <w:rsid w:val="00062B1F"/>
    <w:rsid w:val="001F116C"/>
    <w:rsid w:val="00385DE3"/>
    <w:rsid w:val="003A6977"/>
    <w:rsid w:val="003F7919"/>
    <w:rsid w:val="00587B64"/>
    <w:rsid w:val="005F089F"/>
    <w:rsid w:val="00675DEA"/>
    <w:rsid w:val="006F4EA0"/>
    <w:rsid w:val="0083494B"/>
    <w:rsid w:val="00A30485"/>
    <w:rsid w:val="00A467F4"/>
    <w:rsid w:val="00B91B5A"/>
    <w:rsid w:val="00D332A9"/>
    <w:rsid w:val="00DB38A6"/>
    <w:rsid w:val="00E258DD"/>
    <w:rsid w:val="00EB0457"/>
    <w:rsid w:val="00EB2B54"/>
    <w:rsid w:val="00EF73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00220B7"/>
  <w15:chartTrackingRefBased/>
  <w15:docId w15:val="{27E6EAAC-5556-4ADC-BFEB-A41757FD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9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9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9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9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9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9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9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9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9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9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94B"/>
    <w:rPr>
      <w:rFonts w:eastAsiaTheme="majorEastAsia" w:cstheme="majorBidi"/>
      <w:color w:val="272727" w:themeColor="text1" w:themeTint="D8"/>
    </w:rPr>
  </w:style>
  <w:style w:type="paragraph" w:styleId="Title">
    <w:name w:val="Title"/>
    <w:basedOn w:val="Normal"/>
    <w:next w:val="Normal"/>
    <w:link w:val="TitleChar"/>
    <w:uiPriority w:val="10"/>
    <w:qFormat/>
    <w:rsid w:val="00834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94B"/>
    <w:pPr>
      <w:spacing w:before="160"/>
      <w:jc w:val="center"/>
    </w:pPr>
    <w:rPr>
      <w:i/>
      <w:iCs/>
      <w:color w:val="404040" w:themeColor="text1" w:themeTint="BF"/>
    </w:rPr>
  </w:style>
  <w:style w:type="character" w:customStyle="1" w:styleId="QuoteChar">
    <w:name w:val="Quote Char"/>
    <w:basedOn w:val="DefaultParagraphFont"/>
    <w:link w:val="Quote"/>
    <w:uiPriority w:val="29"/>
    <w:rsid w:val="0083494B"/>
    <w:rPr>
      <w:i/>
      <w:iCs/>
      <w:color w:val="404040" w:themeColor="text1" w:themeTint="BF"/>
    </w:rPr>
  </w:style>
  <w:style w:type="paragraph" w:styleId="ListParagraph">
    <w:name w:val="List Paragraph"/>
    <w:basedOn w:val="Normal"/>
    <w:uiPriority w:val="34"/>
    <w:qFormat/>
    <w:rsid w:val="0083494B"/>
    <w:pPr>
      <w:ind w:left="720"/>
      <w:contextualSpacing/>
    </w:pPr>
  </w:style>
  <w:style w:type="character" w:styleId="IntenseEmphasis">
    <w:name w:val="Intense Emphasis"/>
    <w:basedOn w:val="DefaultParagraphFont"/>
    <w:uiPriority w:val="21"/>
    <w:qFormat/>
    <w:rsid w:val="0083494B"/>
    <w:rPr>
      <w:i/>
      <w:iCs/>
      <w:color w:val="0F4761" w:themeColor="accent1" w:themeShade="BF"/>
    </w:rPr>
  </w:style>
  <w:style w:type="paragraph" w:styleId="IntenseQuote">
    <w:name w:val="Intense Quote"/>
    <w:basedOn w:val="Normal"/>
    <w:next w:val="Normal"/>
    <w:link w:val="IntenseQuoteChar"/>
    <w:uiPriority w:val="30"/>
    <w:qFormat/>
    <w:rsid w:val="008349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94B"/>
    <w:rPr>
      <w:i/>
      <w:iCs/>
      <w:color w:val="0F4761" w:themeColor="accent1" w:themeShade="BF"/>
    </w:rPr>
  </w:style>
  <w:style w:type="character" w:styleId="IntenseReference">
    <w:name w:val="Intense Reference"/>
    <w:basedOn w:val="DefaultParagraphFont"/>
    <w:uiPriority w:val="32"/>
    <w:qFormat/>
    <w:rsid w:val="008349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978530">
      <w:bodyDiv w:val="1"/>
      <w:marLeft w:val="0"/>
      <w:marRight w:val="0"/>
      <w:marTop w:val="0"/>
      <w:marBottom w:val="0"/>
      <w:divBdr>
        <w:top w:val="none" w:sz="0" w:space="0" w:color="auto"/>
        <w:left w:val="none" w:sz="0" w:space="0" w:color="auto"/>
        <w:bottom w:val="none" w:sz="0" w:space="0" w:color="auto"/>
        <w:right w:val="none" w:sz="0" w:space="0" w:color="auto"/>
      </w:divBdr>
    </w:div>
    <w:div w:id="422529938">
      <w:bodyDiv w:val="1"/>
      <w:marLeft w:val="0"/>
      <w:marRight w:val="0"/>
      <w:marTop w:val="0"/>
      <w:marBottom w:val="0"/>
      <w:divBdr>
        <w:top w:val="none" w:sz="0" w:space="0" w:color="auto"/>
        <w:left w:val="none" w:sz="0" w:space="0" w:color="auto"/>
        <w:bottom w:val="none" w:sz="0" w:space="0" w:color="auto"/>
        <w:right w:val="none" w:sz="0" w:space="0" w:color="auto"/>
      </w:divBdr>
    </w:div>
    <w:div w:id="572932703">
      <w:bodyDiv w:val="1"/>
      <w:marLeft w:val="0"/>
      <w:marRight w:val="0"/>
      <w:marTop w:val="0"/>
      <w:marBottom w:val="0"/>
      <w:divBdr>
        <w:top w:val="none" w:sz="0" w:space="0" w:color="auto"/>
        <w:left w:val="none" w:sz="0" w:space="0" w:color="auto"/>
        <w:bottom w:val="none" w:sz="0" w:space="0" w:color="auto"/>
        <w:right w:val="none" w:sz="0" w:space="0" w:color="auto"/>
      </w:divBdr>
    </w:div>
    <w:div w:id="590166741">
      <w:bodyDiv w:val="1"/>
      <w:marLeft w:val="0"/>
      <w:marRight w:val="0"/>
      <w:marTop w:val="0"/>
      <w:marBottom w:val="0"/>
      <w:divBdr>
        <w:top w:val="none" w:sz="0" w:space="0" w:color="auto"/>
        <w:left w:val="none" w:sz="0" w:space="0" w:color="auto"/>
        <w:bottom w:val="none" w:sz="0" w:space="0" w:color="auto"/>
        <w:right w:val="none" w:sz="0" w:space="0" w:color="auto"/>
      </w:divBdr>
    </w:div>
    <w:div w:id="857429531">
      <w:bodyDiv w:val="1"/>
      <w:marLeft w:val="0"/>
      <w:marRight w:val="0"/>
      <w:marTop w:val="0"/>
      <w:marBottom w:val="0"/>
      <w:divBdr>
        <w:top w:val="none" w:sz="0" w:space="0" w:color="auto"/>
        <w:left w:val="none" w:sz="0" w:space="0" w:color="auto"/>
        <w:bottom w:val="none" w:sz="0" w:space="0" w:color="auto"/>
        <w:right w:val="none" w:sz="0" w:space="0" w:color="auto"/>
      </w:divBdr>
      <w:divsChild>
        <w:div w:id="1970933122">
          <w:marLeft w:val="0"/>
          <w:marRight w:val="0"/>
          <w:marTop w:val="0"/>
          <w:marBottom w:val="0"/>
          <w:divBdr>
            <w:top w:val="none" w:sz="0" w:space="0" w:color="auto"/>
            <w:left w:val="none" w:sz="0" w:space="0" w:color="auto"/>
            <w:bottom w:val="none" w:sz="0" w:space="0" w:color="auto"/>
            <w:right w:val="none" w:sz="0" w:space="0" w:color="auto"/>
          </w:divBdr>
        </w:div>
      </w:divsChild>
    </w:div>
    <w:div w:id="901214222">
      <w:bodyDiv w:val="1"/>
      <w:marLeft w:val="0"/>
      <w:marRight w:val="0"/>
      <w:marTop w:val="0"/>
      <w:marBottom w:val="0"/>
      <w:divBdr>
        <w:top w:val="none" w:sz="0" w:space="0" w:color="auto"/>
        <w:left w:val="none" w:sz="0" w:space="0" w:color="auto"/>
        <w:bottom w:val="none" w:sz="0" w:space="0" w:color="auto"/>
        <w:right w:val="none" w:sz="0" w:space="0" w:color="auto"/>
      </w:divBdr>
    </w:div>
    <w:div w:id="1007055309">
      <w:bodyDiv w:val="1"/>
      <w:marLeft w:val="0"/>
      <w:marRight w:val="0"/>
      <w:marTop w:val="0"/>
      <w:marBottom w:val="0"/>
      <w:divBdr>
        <w:top w:val="none" w:sz="0" w:space="0" w:color="auto"/>
        <w:left w:val="none" w:sz="0" w:space="0" w:color="auto"/>
        <w:bottom w:val="none" w:sz="0" w:space="0" w:color="auto"/>
        <w:right w:val="none" w:sz="0" w:space="0" w:color="auto"/>
      </w:divBdr>
    </w:div>
    <w:div w:id="1121530886">
      <w:bodyDiv w:val="1"/>
      <w:marLeft w:val="0"/>
      <w:marRight w:val="0"/>
      <w:marTop w:val="0"/>
      <w:marBottom w:val="0"/>
      <w:divBdr>
        <w:top w:val="none" w:sz="0" w:space="0" w:color="auto"/>
        <w:left w:val="none" w:sz="0" w:space="0" w:color="auto"/>
        <w:bottom w:val="none" w:sz="0" w:space="0" w:color="auto"/>
        <w:right w:val="none" w:sz="0" w:space="0" w:color="auto"/>
      </w:divBdr>
      <w:divsChild>
        <w:div w:id="1145045114">
          <w:marLeft w:val="0"/>
          <w:marRight w:val="0"/>
          <w:marTop w:val="0"/>
          <w:marBottom w:val="0"/>
          <w:divBdr>
            <w:top w:val="none" w:sz="0" w:space="0" w:color="auto"/>
            <w:left w:val="none" w:sz="0" w:space="0" w:color="auto"/>
            <w:bottom w:val="none" w:sz="0" w:space="0" w:color="auto"/>
            <w:right w:val="none" w:sz="0" w:space="0" w:color="auto"/>
          </w:divBdr>
        </w:div>
      </w:divsChild>
    </w:div>
    <w:div w:id="1293172705">
      <w:bodyDiv w:val="1"/>
      <w:marLeft w:val="0"/>
      <w:marRight w:val="0"/>
      <w:marTop w:val="0"/>
      <w:marBottom w:val="0"/>
      <w:divBdr>
        <w:top w:val="none" w:sz="0" w:space="0" w:color="auto"/>
        <w:left w:val="none" w:sz="0" w:space="0" w:color="auto"/>
        <w:bottom w:val="none" w:sz="0" w:space="0" w:color="auto"/>
        <w:right w:val="none" w:sz="0" w:space="0" w:color="auto"/>
      </w:divBdr>
      <w:divsChild>
        <w:div w:id="1388189483">
          <w:marLeft w:val="0"/>
          <w:marRight w:val="0"/>
          <w:marTop w:val="0"/>
          <w:marBottom w:val="0"/>
          <w:divBdr>
            <w:top w:val="none" w:sz="0" w:space="0" w:color="auto"/>
            <w:left w:val="none" w:sz="0" w:space="0" w:color="auto"/>
            <w:bottom w:val="none" w:sz="0" w:space="0" w:color="auto"/>
            <w:right w:val="none" w:sz="0" w:space="0" w:color="auto"/>
          </w:divBdr>
        </w:div>
      </w:divsChild>
    </w:div>
    <w:div w:id="1834682022">
      <w:bodyDiv w:val="1"/>
      <w:marLeft w:val="0"/>
      <w:marRight w:val="0"/>
      <w:marTop w:val="0"/>
      <w:marBottom w:val="0"/>
      <w:divBdr>
        <w:top w:val="none" w:sz="0" w:space="0" w:color="auto"/>
        <w:left w:val="none" w:sz="0" w:space="0" w:color="auto"/>
        <w:bottom w:val="none" w:sz="0" w:space="0" w:color="auto"/>
        <w:right w:val="none" w:sz="0" w:space="0" w:color="auto"/>
      </w:divBdr>
    </w:div>
    <w:div w:id="1929077465">
      <w:bodyDiv w:val="1"/>
      <w:marLeft w:val="0"/>
      <w:marRight w:val="0"/>
      <w:marTop w:val="0"/>
      <w:marBottom w:val="0"/>
      <w:divBdr>
        <w:top w:val="none" w:sz="0" w:space="0" w:color="auto"/>
        <w:left w:val="none" w:sz="0" w:space="0" w:color="auto"/>
        <w:bottom w:val="none" w:sz="0" w:space="0" w:color="auto"/>
        <w:right w:val="none" w:sz="0" w:space="0" w:color="auto"/>
      </w:divBdr>
    </w:div>
    <w:div w:id="196438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348</TotalTime>
  <Pages>2</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Efundola Osibamowo</dc:creator>
  <cp:keywords/>
  <dc:description/>
  <cp:lastModifiedBy>Efundola Osibamowo</cp:lastModifiedBy>
  <cp:revision>8</cp:revision>
  <dcterms:created xsi:type="dcterms:W3CDTF">2025-04-05T21:31:00Z</dcterms:created>
  <dcterms:modified xsi:type="dcterms:W3CDTF">2025-04-05T23:12:00Z</dcterms:modified>
</cp:coreProperties>
</file>