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40"/>
      </w:pPr>
    </w:p>
    <w:p>
      <w:pPr>
        <w:spacing w:after="360"/>
        <w:jc w:val="center"/>
      </w:pPr>
      <w:r>
        <w:rPr>
          <w:rFonts w:ascii="Arial Unicode MS" w:hAnsi="Arial Unicode MS" w:eastAsia="Arial Unicode MS"/>
          <w:b/>
          <w:color w:val="2E74B5"/>
          <w:sz w:val="22"/>
        </w:rPr>
        <w:t>实施计划 · 天津上线版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0B2545"/>
          <w:sz w:val="60"/>
        </w:rPr>
        <w:t>康伴 RAG 医疗 Agent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b/>
          <w:color w:val="2E74B5"/>
          <w:sz w:val="50"/>
        </w:rPr>
        <w:t>完整落地计划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5B6573"/>
          <w:sz w:val="27"/>
        </w:rPr>
        <w:t>架构、公共与家庭知识库、受控工具、天津医生推荐、安全评测与发布</w:t>
      </w:r>
    </w:p>
    <w:p>
      <w:pPr>
        <w:spacing w:before="0" w:after="680"/>
      </w:pPr>
    </w:p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版本  </w:t>
      </w:r>
      <w:r>
        <w:rPr>
          <w:rFonts w:ascii="Arial Unicode MS" w:hAnsi="Arial Unicode MS" w:eastAsia="Arial Unicode MS"/>
          <w:color w:val="5B6573"/>
          <w:sz w:val="21"/>
        </w:rPr>
        <w:t>1.1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日期  </w:t>
      </w:r>
      <w:r>
        <w:rPr>
          <w:rFonts w:ascii="Arial Unicode MS" w:hAnsi="Arial Unicode MS" w:eastAsia="Arial Unicode MS"/>
          <w:color w:val="5B6573"/>
          <w:sz w:val="21"/>
        </w:rPr>
        <w:t>2026 年 8 月 12 日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状态  </w:t>
      </w:r>
      <w:r>
        <w:rPr>
          <w:rFonts w:ascii="Arial Unicode MS" w:hAnsi="Arial Unicode MS" w:eastAsia="Arial Unicode MS"/>
          <w:color w:val="5B6573"/>
          <w:sz w:val="21"/>
        </w:rPr>
        <w:t>架构修订 · 待实施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覆盖范围  </w:t>
      </w:r>
      <w:r>
        <w:rPr>
          <w:rFonts w:ascii="Arial Unicode MS" w:hAnsi="Arial Unicode MS" w:eastAsia="Arial Unicode MS"/>
          <w:color w:val="5B6573"/>
          <w:sz w:val="21"/>
        </w:rPr>
        <w:t>天津市 · 面向真实用户上线</w:t>
      </w:r>
    </w:p>
    <w:p>
      <w:pPr>
        <w:spacing w:before="0" w:after="920"/>
      </w:pPr>
    </w:p>
    <w:p>
      <w:pPr>
        <w:spacing w:before="100" w:after="160" w:line="283" w:lineRule="auto"/>
        <w:ind w:left="173" w:right="115"/>
        <w:shd w:fill="FFF8E8"/>
        <w:pBdr>
          <w:left w:val="single" w:sz="18" w:space="8" w:color="7A5A00"/>
        </w:pBdr>
      </w:pPr>
      <w:r>
        <w:rPr>
          <w:rFonts w:ascii="Arial Unicode MS" w:hAnsi="Arial Unicode MS" w:eastAsia="Arial Unicode MS"/>
          <w:b/>
          <w:color w:val="7A5A00"/>
          <w:sz w:val="21"/>
        </w:rPr>
        <w:t xml:space="preserve">产品边界  </w:t>
      </w:r>
      <w:r>
        <w:rPr>
          <w:rFonts w:ascii="Arial Unicode MS" w:hAnsi="Arial Unicode MS" w:eastAsia="Arial Unicode MS"/>
          <w:color w:val="0B2545"/>
          <w:sz w:val="21"/>
        </w:rPr>
        <w:t>本产品定位为健康信息辅助工具，不替代医生诊断；不得由人工智能自动开具处方或自行决定药品剂量。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spacing w:before="100" w:after="160" w:line="283" w:lineRule="auto"/>
        <w:ind w:left="173" w:right="115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最终建议  </w:t>
      </w:r>
      <w:r>
        <w:rPr>
          <w:rFonts w:ascii="Arial Unicode MS" w:hAnsi="Arial Unicode MS" w:eastAsia="Arial Unicode MS"/>
          <w:color w:val="0B2545"/>
          <w:sz w:val="21"/>
        </w:rPr>
        <w:t>保留并增强 kangban-server 作为唯一康伴业务应用服务与安全边界；不接入或部署独立 agent-service，在 kangban-server 内部建设康伴医疗 Agent 编排与 RAG 模块；新建 PostgreSQL + pgvector 独立向量数据库；前端继续使用既有 /consultation 接口。</w:t>
      </w:r>
    </w:p>
    <w:p>
      <w:r>
        <w:rPr>
          <w:rFonts w:ascii="Arial Unicode MS" w:hAnsi="Arial Unicode MS" w:eastAsia="Arial Unicode MS"/>
        </w:rPr>
        <w:t>本计划将康伴从当前的单次 AI 问诊调用升级为可上线的医疗辅助 Agent。它由公共医学知识、家庭私有病历、实时结构化健康数据、受控业务工具和天津医院医生目录共同组成。RAG 负责提供可追溯证据，工具负责读取或执行真实业务，模型只负责理解、规划和解释。</w:t>
      </w:r>
    </w:p>
    <w:p>
      <w:pPr>
        <w:pStyle w:val="Heading2"/>
      </w:pPr>
      <w:r>
        <w:t>1.1 已锁定决策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决策项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定稿内容</w:t>
            </w:r>
          </w:p>
        </w:tc>
      </w:tr>
      <w:tr>
        <w:tc>
          <w:tcPr>
            <w:tcW w:type="dxa" w:w="235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产品定位</w:t>
            </w:r>
          </w:p>
        </w:tc>
        <w:tc>
          <w:tcPr>
            <w:tcW w:type="dxa" w:w="701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健康信息辅助 Agent，不自动诊断、开方或决定剂量</w:t>
            </w:r>
          </w:p>
        </w:tc>
      </w:tr>
      <w:tr>
        <w:tc>
          <w:tcPr>
            <w:tcW w:type="dxa" w:w="235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外部入口</w:t>
            </w:r>
          </w:p>
        </w:tc>
        <w:tc>
          <w:tcPr>
            <w:tcW w:type="dxa" w:w="701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kangban-web 继续调用 kangban-server /consultation</w:t>
            </w:r>
          </w:p>
        </w:tc>
      </w:tr>
      <w:tr>
        <w:tc>
          <w:tcPr>
            <w:tcW w:type="dxa" w:w="235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Agent 形态</w:t>
            </w:r>
          </w:p>
        </w:tc>
        <w:tc>
          <w:tcPr>
            <w:tcW w:type="dxa" w:w="701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复用现有康伴调用链，在 kangban-server 内置医疗 Agent；不部署独立 agent-service</w:t>
            </w:r>
          </w:p>
        </w:tc>
      </w:tr>
      <w:tr>
        <w:tc>
          <w:tcPr>
            <w:tcW w:type="dxa" w:w="235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向量数据库</w:t>
            </w:r>
          </w:p>
        </w:tc>
        <w:tc>
          <w:tcPr>
            <w:tcW w:type="dxa" w:w="701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新建独立 PostgreSQL + pgvector</w:t>
            </w:r>
          </w:p>
        </w:tc>
      </w:tr>
      <w:tr>
        <w:tc>
          <w:tcPr>
            <w:tcW w:type="dxa" w:w="235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公共知识</w:t>
            </w:r>
          </w:p>
        </w:tc>
        <w:tc>
          <w:tcPr>
            <w:tcW w:type="dxa" w:w="701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官方或合法授权资料，必须审核后发布</w:t>
            </w:r>
          </w:p>
        </w:tc>
      </w:tr>
      <w:tr>
        <w:tc>
          <w:tcPr>
            <w:tcW w:type="dxa" w:w="235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家庭知识</w:t>
            </w:r>
          </w:p>
        </w:tc>
        <w:tc>
          <w:tcPr>
            <w:tcW w:type="dxa" w:w="701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病历 OCR 完成后事件驱动索引，按家庭权限实时过滤</w:t>
            </w:r>
          </w:p>
        </w:tc>
      </w:tr>
      <w:tr>
        <w:tc>
          <w:tcPr>
            <w:tcW w:type="dxa" w:w="235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健康与用药事实</w:t>
            </w:r>
          </w:p>
        </w:tc>
        <w:tc>
          <w:tcPr>
            <w:tcW w:type="dxa" w:w="701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从 MySQL 工具实时读取，不作为向量事实副本</w:t>
            </w:r>
          </w:p>
        </w:tc>
      </w:tr>
      <w:tr>
        <w:tc>
          <w:tcPr>
            <w:tcW w:type="dxa" w:w="235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医院医生范围</w:t>
            </w:r>
          </w:p>
        </w:tc>
        <w:tc>
          <w:tcPr>
            <w:tcW w:type="dxa" w:w="701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仅天津；科室匹配 60%、医院级别 25%、职称 15%</w:t>
            </w:r>
          </w:p>
        </w:tc>
      </w:tr>
      <w:tr>
        <w:tc>
          <w:tcPr>
            <w:tcW w:type="dxa" w:w="235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写入动作</w:t>
            </w:r>
          </w:p>
        </w:tc>
        <w:tc>
          <w:tcPr>
            <w:tcW w:type="dxa" w:w="701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先产生草案，用户明确确认后由 kangban-server 执行</w:t>
            </w:r>
          </w:p>
        </w:tc>
      </w:tr>
      <w:tr>
        <w:tc>
          <w:tcPr>
            <w:tcW w:type="dxa" w:w="235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管理后台</w:t>
            </w:r>
          </w:p>
        </w:tc>
        <w:tc>
          <w:tcPr>
            <w:tcW w:type="dxa" w:w="701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首期建设上传、审核、发布、撤回、重建与数据纠错</w:t>
            </w:r>
          </w:p>
        </w:tc>
      </w:tr>
    </w:tbl>
    <w:p>
      <w:pPr>
        <w:spacing w:after="40"/>
      </w:pPr>
    </w:p>
    <w:p>
      <w:pPr>
        <w:pStyle w:val="Heading2"/>
      </w:pPr>
      <w:r>
        <w:t>1.2 明确不做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不让模型或 Agent 编排层直接操作康伴 MySQL/Mapper；只能调用受控业务 Service。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不允许仅凭一句“好的”执行健康或用药写入。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不建设无限制网页爬虫，不把普通互联网搜索结果直接放入医学回答。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不把模型生成的聊天答案自动写回知识库。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不宣称“全市最好医生”或使用付费、流量、无法验证评价参与排序。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没有正式数据接口前，不承诺实时号源、挂号成功或医生即时出诊状态。</w:t>
      </w:r>
    </w:p>
    <w:p>
      <w:pPr>
        <w:pStyle w:val="Heading1"/>
      </w:pPr>
      <w:r>
        <w:t>2. 目标架构与职责边界</w:t>
      </w:r>
    </w:p>
    <w:p>
      <w:pPr>
        <w:pStyle w:val="CodeBlock"/>
        <w:spacing w:before="80" w:after="200"/>
        <w:ind w:left="259" w:right="173"/>
        <w:shd w:fill="F2F4F7"/>
        <w:pBdr>
          <w:left w:val="single" w:sz="12" w:space="8" w:color="CCD5DF"/>
        </w:pBdr>
      </w:pPr>
      <w:r>
        <w:rPr>
          <w:rFonts w:ascii="Arial Unicode MS" w:hAnsi="Arial Unicode MS" w:eastAsia="Arial Unicode MS"/>
          <w:color w:val="0B2545"/>
          <w:sz w:val="18"/>
        </w:rPr>
        <w:t>kangban-web</w:t>
        <w:br/>
      </w:r>
      <w:r>
        <w:rPr>
          <w:rFonts w:ascii="Arial Unicode MS" w:hAnsi="Arial Unicode MS" w:eastAsia="Arial Unicode MS"/>
          <w:color w:val="0B2545"/>
          <w:sz w:val="18"/>
        </w:rPr>
        <w:t xml:space="preserve">  ↓  /consultation</w:t>
        <w:br/>
      </w:r>
      <w:r>
        <w:rPr>
          <w:rFonts w:ascii="Arial Unicode MS" w:hAnsi="Arial Unicode MS" w:eastAsia="Arial Unicode MS"/>
          <w:color w:val="0B2545"/>
          <w:sz w:val="18"/>
        </w:rPr>
        <w:t>kangban-server 〔JWT / 家庭权限 / 会话 / SSE / 业务写入 / 审计〕</w:t>
        <w:br/>
      </w:r>
      <w:r>
        <w:rPr>
          <w:rFonts w:ascii="Arial Unicode MS" w:hAnsi="Arial Unicode MS" w:eastAsia="Arial Unicode MS"/>
          <w:color w:val="0B2545"/>
          <w:sz w:val="18"/>
        </w:rPr>
        <w:t xml:space="preserve">  ├─ 内置康伴医疗 Agent 〔意图路由 / RAG / 工具规划 / 模型 / 安全策略〕</w:t>
        <w:br/>
      </w:r>
      <w:r>
        <w:rPr>
          <w:rFonts w:ascii="Arial Unicode MS" w:hAnsi="Arial Unicode MS" w:eastAsia="Arial Unicode MS"/>
          <w:color w:val="0B2545"/>
          <w:sz w:val="18"/>
        </w:rPr>
        <w:t xml:space="preserve">  │  ├─ PostgreSQL + pgvector 〔知识、向量、医院、医生、入库任务〕</w:t>
        <w:br/>
      </w:r>
      <w:r>
        <w:rPr>
          <w:rFonts w:ascii="Arial Unicode MS" w:hAnsi="Arial Unicode MS" w:eastAsia="Arial Unicode MS"/>
          <w:color w:val="0B2545"/>
          <w:sz w:val="18"/>
        </w:rPr>
        <w:t xml:space="preserve">  │  ├─ MinIO 〔原始文档〕</w:t>
        <w:br/>
      </w:r>
      <w:r>
        <w:rPr>
          <w:rFonts w:ascii="Arial Unicode MS" w:hAnsi="Arial Unicode MS" w:eastAsia="Arial Unicode MS"/>
          <w:color w:val="0B2545"/>
          <w:sz w:val="18"/>
        </w:rPr>
        <w:t xml:space="preserve">  │  └─ Embedding / Rerank / Chat Model</w:t>
        <w:br/>
      </w:r>
      <w:r>
        <w:rPr>
          <w:rFonts w:ascii="Arial Unicode MS" w:hAnsi="Arial Unicode MS" w:eastAsia="Arial Unicode MS"/>
          <w:color w:val="0B2545"/>
          <w:sz w:val="18"/>
        </w:rPr>
        <w:t xml:space="preserve">  ├─ MySQL 〔用户、家庭、病历、健康、用药〕</w:t>
        <w:br/>
      </w:r>
      <w:r>
        <w:rPr>
          <w:rFonts w:ascii="Arial Unicode MS" w:hAnsi="Arial Unicode MS" w:eastAsia="Arial Unicode MS"/>
          <w:color w:val="0B2545"/>
          <w:sz w:val="18"/>
        </w:rPr>
        <w:t xml:space="preserve">  └─ Redis 〔Outbox、缓存、限流、幂等和后台任务〕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900"/>
        <w:gridCol w:w="3830"/>
        <w:gridCol w:w="363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负责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不负责</w:t>
            </w:r>
          </w:p>
        </w:tc>
      </w:tr>
      <w:tr>
        <w:tc>
          <w:tcPr>
            <w:tcW w:type="dxa" w:w="19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kangban-web</w:t>
            </w:r>
          </w:p>
        </w:tc>
        <w:tc>
          <w:tcPr>
            <w:tcW w:type="dxa" w:w="383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聊天、引用、操作确认卡、医院医生卡、管理后台</w:t>
            </w:r>
          </w:p>
        </w:tc>
        <w:tc>
          <w:tcPr>
            <w:tcW w:type="dxa" w:w="363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不直接访问模型、向量库或业务 Service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kangban-server</w:t>
            </w:r>
          </w:p>
        </w:tc>
        <w:tc>
          <w:tcPr>
            <w:tcW w:type="dxa" w:w="383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身份、家庭授权、会话、SSE、内置 Agent、RAG 编排、业务校验、写入和审计</w:t>
            </w:r>
          </w:p>
        </w:tc>
        <w:tc>
          <w:tcPr>
            <w:tcW w:type="dxa" w:w="363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不允许模型直接访问 Mapper 或绕过确认流程</w:t>
            </w:r>
          </w:p>
        </w:tc>
      </w:tr>
      <w:tr>
        <w:tc>
          <w:tcPr>
            <w:tcW w:type="dxa" w:w="19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kangban-server 内置 Agent</w:t>
            </w:r>
          </w:p>
        </w:tc>
        <w:tc>
          <w:tcPr>
            <w:tcW w:type="dxa" w:w="383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意图、RAG、上下文、工具规划、模型调用、引用和风险策略</w:t>
            </w:r>
          </w:p>
        </w:tc>
        <w:tc>
          <w:tcPr>
            <w:tcW w:type="dxa" w:w="363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不直接操作业务 Mapper，不绕过业务 Service 和权限校验</w:t>
            </w:r>
          </w:p>
        </w:tc>
      </w:tr>
      <w:tr>
        <w:tc>
          <w:tcPr>
            <w:tcW w:type="dxa" w:w="19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RAG PostgreSQL + pgvector</w:t>
            </w:r>
          </w:p>
        </w:tc>
        <w:tc>
          <w:tcPr>
            <w:tcW w:type="dxa" w:w="383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知识生命周期、Chunk、向量、医院医生目录、入库任务</w:t>
            </w:r>
          </w:p>
        </w:tc>
        <w:tc>
          <w:tcPr>
            <w:tcW w:type="dxa" w:w="363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不成为健康和用药事实源</w:t>
            </w:r>
          </w:p>
        </w:tc>
      </w:tr>
      <w:tr>
        <w:tc>
          <w:tcPr>
            <w:tcW w:type="dxa" w:w="19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MinIO / Redis</w:t>
            </w:r>
          </w:p>
        </w:tc>
        <w:tc>
          <w:tcPr>
            <w:tcW w:type="dxa" w:w="383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原文件；事件、缓存、限流和幂等</w:t>
            </w:r>
          </w:p>
        </w:tc>
        <w:tc>
          <w:tcPr>
            <w:tcW w:type="dxa" w:w="363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不得存储明文密钥或无限期敏感日志</w:t>
            </w:r>
          </w:p>
        </w:tc>
      </w:tr>
    </w:tbl>
    <w:p>
      <w:pPr>
        <w:spacing w:after="40"/>
      </w:pPr>
    </w:p>
    <w:p>
      <w:pPr>
        <w:pStyle w:val="Heading2"/>
      </w:pPr>
      <w:r>
        <w:t>2.1 当前代码接入点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kangban-server 当前在 ConsultationService 中通过 AiConsultationClient.consult(sessionId, userContent, patientData) 获取回复；目标是在保持该 Provider 接口和 /consultation 契约的前提下，引入 KangbanMedicalAgent，输出流式事件、引用和动作草案。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ConsultationService 继续负责会话归属、家庭权限、保存用户消息和最终回复。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PatientHealthContextService 继续生成最近 30 天健康指标、当前用药和最近病历的结构化上下文。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HealthService、MedicationService 和药物相互作用能力作为受控工具的最终执行入口。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MedicalRecordService 在 OCR 成功、删除和权限变化时写入 Outbox 事件，驱动家庭知识索引。</w:t>
      </w:r>
    </w:p>
    <w:p>
      <w:pPr>
        <w:pStyle w:val="Heading1"/>
      </w:pPr>
      <w:r>
        <w:t>3. 容量目标与上线指标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2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用户规模</w:t>
            </w:r>
          </w:p>
        </w:tc>
        <w:tc>
          <w:tcPr>
            <w:tcW w:type="dxa" w:w="33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50,000 注册用户；5,000 日活</w:t>
            </w:r>
          </w:p>
        </w:tc>
        <w:tc>
          <w:tcPr>
            <w:tcW w:type="dxa" w:w="38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天津首期容量设计，不是业务预测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Agent 并发</w:t>
            </w:r>
          </w:p>
        </w:tc>
        <w:tc>
          <w:tcPr>
            <w:tcW w:type="dxa" w:w="33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峰值 80 条同时进行的 SSE 会话</w:t>
            </w:r>
          </w:p>
        </w:tc>
        <w:tc>
          <w:tcPr>
            <w:tcW w:type="dxa" w:w="38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压测按混合问答与工具场景执行</w:t>
            </w:r>
          </w:p>
        </w:tc>
      </w:tr>
      <w:tr>
        <w:tc>
          <w:tcPr>
            <w:tcW w:type="dxa" w:w="22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公共知识</w:t>
            </w:r>
          </w:p>
        </w:tc>
        <w:tc>
          <w:tcPr>
            <w:tcW w:type="dxa" w:w="33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≤ 5,000 份文档；约 400,000 Chunk</w:t>
            </w:r>
          </w:p>
        </w:tc>
        <w:tc>
          <w:tcPr>
            <w:tcW w:type="dxa" w:w="38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全部已审核且可追溯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家庭病历</w:t>
            </w:r>
          </w:p>
        </w:tc>
        <w:tc>
          <w:tcPr>
            <w:tcW w:type="dxa" w:w="33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≤ 200,000 份；约 1,600,000 Chunk</w:t>
            </w:r>
          </w:p>
        </w:tc>
        <w:tc>
          <w:tcPr>
            <w:tcW w:type="dxa" w:w="38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按家庭授权实时过滤</w:t>
            </w:r>
          </w:p>
        </w:tc>
      </w:tr>
      <w:tr>
        <w:tc>
          <w:tcPr>
            <w:tcW w:type="dxa" w:w="22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总向量</w:t>
            </w:r>
          </w:p>
        </w:tc>
        <w:tc>
          <w:tcPr>
            <w:tcW w:type="dxa" w:w="33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≤ 2,000,000</w:t>
            </w:r>
          </w:p>
        </w:tc>
        <w:tc>
          <w:tcPr>
            <w:tcW w:type="dxa" w:w="38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超出前重新评估索引和向量引擎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医院医生</w:t>
            </w:r>
          </w:p>
        </w:tc>
        <w:tc>
          <w:tcPr>
            <w:tcW w:type="dxa" w:w="33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≤ 1,500 家机构；≤ 50,000 名医生</w:t>
            </w:r>
          </w:p>
        </w:tc>
        <w:tc>
          <w:tcPr>
            <w:tcW w:type="dxa" w:w="38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仅天津且必须有来源</w:t>
            </w:r>
          </w:p>
        </w:tc>
      </w:tr>
      <w:tr>
        <w:tc>
          <w:tcPr>
            <w:tcW w:type="dxa" w:w="22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检索延迟</w:t>
            </w:r>
          </w:p>
        </w:tc>
        <w:tc>
          <w:tcPr>
            <w:tcW w:type="dxa" w:w="33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80 并发下 p95 ≤ 700ms</w:t>
            </w:r>
          </w:p>
        </w:tc>
        <w:tc>
          <w:tcPr>
            <w:tcW w:type="dxa" w:w="38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不含模型生成时间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流式体验</w:t>
            </w:r>
          </w:p>
        </w:tc>
        <w:tc>
          <w:tcPr>
            <w:tcW w:type="dxa" w:w="33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首个状态事件 p95 ≤ 1s；首个有效 Token p95 ≤ 5s</w:t>
            </w:r>
          </w:p>
        </w:tc>
        <w:tc>
          <w:tcPr>
            <w:tcW w:type="dxa" w:w="38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模型故障需给出降级状态</w:t>
            </w:r>
          </w:p>
        </w:tc>
      </w:tr>
      <w:tr>
        <w:tc>
          <w:tcPr>
            <w:tcW w:type="dxa" w:w="22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可用性</w:t>
            </w:r>
          </w:p>
        </w:tc>
        <w:tc>
          <w:tcPr>
            <w:tcW w:type="dxa" w:w="33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公开 API 月可用性 ≥ 99.9%</w:t>
            </w:r>
          </w:p>
        </w:tc>
        <w:tc>
          <w:tcPr>
            <w:tcW w:type="dxa" w:w="38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RPO 15 分钟；RTO 2 小时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安全底线</w:t>
            </w:r>
          </w:p>
        </w:tc>
        <w:tc>
          <w:tcPr>
            <w:tcW w:type="dxa" w:w="33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跨家庭泄漏 0；未确认写入 0</w:t>
            </w:r>
          </w:p>
        </w:tc>
        <w:tc>
          <w:tcPr>
            <w:tcW w:type="dxa" w:w="38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任何一次命中即阻止上线</w:t>
            </w:r>
          </w:p>
        </w:tc>
      </w:tr>
    </w:tbl>
    <w:p>
      <w:pPr>
        <w:spacing w:after="40"/>
      </w:pPr>
    </w:p>
    <w:p>
      <w:pPr>
        <w:pStyle w:val="Heading1"/>
      </w:pPr>
      <w:r>
        <w:t>4. 数据来源与更新策略</w:t>
      </w:r>
    </w:p>
    <w:p>
      <w:pPr>
        <w:pStyle w:val="Heading2"/>
      </w:pPr>
      <w:r>
        <w:t>4.1 公共医学知识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国家及天津卫生健康部门公开发布的健康科普、指南和政策。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合法取得的临床指南、专家共识、疾病资料和急症分诊资料。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官方药品说明书、禁忌、不良反应和药物相互作用资料。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检验指标、体检项目和常见检查解读资料。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管理员上传的内部内容；必须由医学审核员审核后发布。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白名单网页只做定期更新检查，抓取结果默认进入草稿，不能自动发布。</w:t>
      </w:r>
    </w:p>
    <w:p>
      <w:pPr>
        <w:spacing w:before="100" w:after="160" w:line="283" w:lineRule="auto"/>
        <w:ind w:left="173" w:right="115"/>
        <w:shd w:fill="FFF8E8"/>
        <w:pBdr>
          <w:left w:val="single" w:sz="18" w:space="8" w:color="7A5A00"/>
        </w:pBdr>
      </w:pPr>
      <w:r>
        <w:rPr>
          <w:rFonts w:ascii="Arial Unicode MS" w:hAnsi="Arial Unicode MS" w:eastAsia="Arial Unicode MS"/>
          <w:b/>
          <w:color w:val="7A5A00"/>
          <w:sz w:val="21"/>
        </w:rPr>
        <w:t xml:space="preserve">数据纪律  </w:t>
      </w:r>
      <w:r>
        <w:rPr>
          <w:rFonts w:ascii="Arial Unicode MS" w:hAnsi="Arial Unicode MS" w:eastAsia="Arial Unicode MS"/>
          <w:color w:val="0B2545"/>
          <w:sz w:val="21"/>
        </w:rPr>
        <w:t>不纳入无来源公众号文章、未授权商业医学网站、普通互联网搜索结果、未审核自动抓取内容或模型自行生成的答案。</w:t>
      </w:r>
    </w:p>
    <w:p>
      <w:pPr>
        <w:pStyle w:val="Heading2"/>
      </w:pPr>
      <w:r>
        <w:t>4.2 家庭私有知识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新病历上传并完成 OCR 后，通过事件自动建立私有索引。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对现有历史病历执行一次性补建，支持暂停、恢复和幂等重跑。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删除病历时先写检索墓碑，60 秒内停止召回，随后清理文件、Chunk、向量和缓存。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家庭权限取消后，下一次查询立即失去访问权，不等待异步向量删除。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用户可以查看本次回答使用了哪些公共资料和家庭资料。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血压、血糖、体温、健康趋势和用药计划从 MySQL 工具实时读取。</w:t>
      </w:r>
    </w:p>
    <w:p>
      <w:pPr>
        <w:pStyle w:val="Heading2"/>
      </w:pPr>
      <w:r>
        <w:t>4.3 天津医院和医生目录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医院基础信息优先采用天津市卫健委公开医院目录。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医保定点属性采用天津医保局发布的季度 XLSX。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科室、医生、职称和擅长方向来自医院官网，并经后台人工审核。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本次未确认到统一、稳定且已明确授权的天津医生开放 API，因此首期不依赖该假设。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医院信息每周检查；医保名单跟随官方发布；医生信息每 30 天重新验证。</w:t>
      </w:r>
    </w:p>
    <w:p>
      <w:pPr>
        <w:spacing w:before="100" w:after="160" w:line="283" w:lineRule="auto"/>
        <w:ind w:left="173" w:right="115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医生匹配公式  </w:t>
      </w:r>
      <w:r>
        <w:rPr>
          <w:rFonts w:ascii="Arial Unicode MS" w:hAnsi="Arial Unicode MS" w:eastAsia="Arial Unicode MS"/>
          <w:color w:val="0B2545"/>
          <w:sz w:val="21"/>
        </w:rPr>
        <w:t>总分 = 科室匹配度 × 60% + 医院级别 × 25% + 医生职称 × 15%。科室不匹配时不得仅凭职称进入结果；排序由确定性代码计算，LLM 只解释。</w:t>
      </w:r>
    </w:p>
    <w:p>
      <w:pPr>
        <w:pStyle w:val="Heading1"/>
      </w:pPr>
      <w:r>
        <w:t>5. 完整 RAG 技术规格</w:t>
      </w:r>
    </w:p>
    <w:p>
      <w:pPr>
        <w:pStyle w:val="Heading2"/>
      </w:pPr>
      <w:r>
        <w:t>5.1 入库流水线</w:t>
      </w:r>
    </w:p>
    <w:p>
      <w:pPr>
        <w:pStyle w:val="CodeBlock"/>
        <w:spacing w:before="80" w:after="200"/>
        <w:ind w:left="259" w:right="173"/>
        <w:shd w:fill="F2F4F7"/>
        <w:pBdr>
          <w:left w:val="single" w:sz="12" w:space="8" w:color="CCD5DF"/>
        </w:pBdr>
      </w:pPr>
      <w:r>
        <w:rPr>
          <w:rFonts w:ascii="Arial Unicode MS" w:hAnsi="Arial Unicode MS" w:eastAsia="Arial Unicode MS"/>
          <w:color w:val="0B2545"/>
          <w:sz w:val="18"/>
        </w:rPr>
        <w:t>上传或同步 → MIME/病毒检查 → 解析或 OCR → 文本清洗 → 标题与段落感知切片</w:t>
        <w:br/>
        <w:t>→ Embedding → 入库 → 抽样检查 → 医学审核 → 发布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支持 PDF、DOCX、Markdown、TXT、HTML、PNG 和 JPG。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Chunk 初始范围 500～800 Token，重叠 80～120 Token。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保留标题、章节、页码、表格说明、原始文档 ID、来源 URL 和有效期。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通过 SHA-256 去重；修改生成新版本，不覆盖历史版本。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只允许已发布、未过期、未撤回版本参与检索。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Embedding 模型、维度和生成时间写入版本元数据。</w:t>
      </w:r>
    </w:p>
    <w:p>
      <w:pPr>
        <w:pStyle w:val="Heading2"/>
      </w:pPr>
      <w:r>
        <w:t>5.2 检索与生成</w:t>
      </w:r>
    </w:p>
    <w:p>
      <w:pPr>
        <w:pStyle w:val="CodeBlock"/>
        <w:spacing w:before="80" w:after="200"/>
        <w:ind w:left="259" w:right="173"/>
        <w:shd w:fill="F2F4F7"/>
        <w:pBdr>
          <w:left w:val="single" w:sz="12" w:space="8" w:color="CCD5DF"/>
        </w:pBdr>
      </w:pPr>
      <w:r>
        <w:rPr>
          <w:rFonts w:ascii="Arial Unicode MS" w:hAnsi="Arial Unicode MS" w:eastAsia="Arial Unicode MS"/>
          <w:color w:val="0B2545"/>
          <w:sz w:val="18"/>
        </w:rPr>
        <w:t>问题规范化 → 授权范围计算 → 向量 Top 30 + 标题/关键词 Top 20</w:t>
        <w:br/>
        <w:t>→ RRF 合并 → Rerank → Top 5～8 → 6,000 Token 上下文 → 带引用生成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公共知识与家庭知识分别检索，再统一重排。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家庭权限必须在检索阶段生效，禁止先全库搜索后过滤。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证据不足时明确说明当前知识库没有足够依据。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资料冲突时展示冲突，并优先使用更新且可信等级更高的来源。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引用至少包含文档名、版本、页码或章节、来源和更新时间。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首选 1024 维 text-embedding-v4 和 qwen3-rerank；家庭数据上线前必须通过第三方处理合规评审，否则统一改用私有部署 BGE-M3 并重建向量。</w:t>
      </w:r>
    </w:p>
    <w:p>
      <w:pPr>
        <w:pStyle w:val="Heading1"/>
      </w:pPr>
      <w:r>
        <w:t>6. 分阶段实施清单</w:t>
      </w:r>
    </w:p>
    <w:p>
      <w:pPr>
        <w:pStyle w:val="Heading2"/>
      </w:pPr>
      <w:r>
        <w:t>6.1 阶段 0：产品、安全与数据基线</w:t>
      </w:r>
    </w:p>
    <w:p>
      <w:pPr>
        <w:spacing w:before="100" w:after="160" w:line="283" w:lineRule="auto"/>
        <w:ind w:left="173" w:right="115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阶段目标  </w:t>
      </w:r>
      <w:r>
        <w:rPr>
          <w:rFonts w:ascii="Arial Unicode MS" w:hAnsi="Arial Unicode MS" w:eastAsia="Arial Unicode MS"/>
          <w:color w:val="0B2545"/>
          <w:sz w:val="21"/>
        </w:rPr>
        <w:t>先固定医疗边界、来源授权、权限矩阵、接口协议和可量化评测集，避免边做边改。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P0-001  </w:t>
      </w:r>
      <w:r>
        <w:rPr>
          <w:rFonts w:ascii="Arial Unicode MS" w:hAnsi="Arial Unicode MS" w:eastAsia="Arial Unicode MS"/>
          <w:sz w:val="21"/>
        </w:rPr>
        <w:t>固定产品文案为健康信息辅助，禁止 AI 医生、自动诊断、自动开方等表述。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P0-002  </w:t>
      </w:r>
      <w:r>
        <w:rPr>
          <w:rFonts w:ascii="Arial Unicode MS" w:hAnsi="Arial Unicode MS" w:eastAsia="Arial Unicode MS"/>
          <w:sz w:val="21"/>
        </w:rPr>
        <w:t>编写医学回答边界、急症提示、拒答和人工就医规则。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P0-003  </w:t>
      </w:r>
      <w:r>
        <w:rPr>
          <w:rFonts w:ascii="Arial Unicode MS" w:hAnsi="Arial Unicode MS" w:eastAsia="Arial Unicode MS"/>
          <w:sz w:val="21"/>
        </w:rPr>
        <w:t>明确公共资料授权、转载、更新和医学审核责任人。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P0-004  </w:t>
      </w:r>
      <w:r>
        <w:rPr>
          <w:rFonts w:ascii="Arial Unicode MS" w:hAnsi="Arial Unicode MS" w:eastAsia="Arial Unicode MS"/>
          <w:sz w:val="21"/>
        </w:rPr>
        <w:t>设计家庭病历索引的单独同意、撤回和删除流程。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P0-005  </w:t>
      </w:r>
      <w:r>
        <w:rPr>
          <w:rFonts w:ascii="Arial Unicode MS" w:hAnsi="Arial Unicode MS" w:eastAsia="Arial Unicode MS"/>
          <w:sz w:val="21"/>
        </w:rPr>
        <w:t>建立系统管理员与医学审核员两个后台角色。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P0-006  </w:t>
      </w:r>
      <w:r>
        <w:rPr>
          <w:rFonts w:ascii="Arial Unicode MS" w:hAnsi="Arial Unicode MS" w:eastAsia="Arial Unicode MS"/>
          <w:sz w:val="21"/>
        </w:rPr>
        <w:t>建立至少 300 条医学检索黄金问题。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P0-007  </w:t>
      </w:r>
      <w:r>
        <w:rPr>
          <w:rFonts w:ascii="Arial Unicode MS" w:hAnsi="Arial Unicode MS" w:eastAsia="Arial Unicode MS"/>
          <w:sz w:val="21"/>
        </w:rPr>
        <w:t>建立 100 条工具调用和参数提取用例。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P0-008  </w:t>
      </w:r>
      <w:r>
        <w:rPr>
          <w:rFonts w:ascii="Arial Unicode MS" w:hAnsi="Arial Unicode MS" w:eastAsia="Arial Unicode MS"/>
          <w:sz w:val="21"/>
        </w:rPr>
        <w:t>建立 100 条提示词注入、越权和恶意文档用例。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P0-009  </w:t>
      </w:r>
      <w:r>
        <w:rPr>
          <w:rFonts w:ascii="Arial Unicode MS" w:hAnsi="Arial Unicode MS" w:eastAsia="Arial Unicode MS"/>
          <w:sz w:val="21"/>
        </w:rPr>
        <w:t>固定 /consultation 外部 API、内部 Java Agent 接口和 SSE 事件协议。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P0-010  </w:t>
      </w:r>
      <w:r>
        <w:rPr>
          <w:rFonts w:ascii="Arial Unicode MS" w:hAnsi="Arial Unicode MS" w:eastAsia="Arial Unicode MS"/>
          <w:sz w:val="21"/>
        </w:rPr>
        <w:t>明确 agent/agent-service 不纳入生产调用链；仅评审并迁移可复用的工具注册、调用循环和模型适配逻辑。</w:t>
      </w:r>
    </w:p>
    <w:p>
      <w:pPr>
        <w:spacing w:before="100" w:after="160" w:line="283" w:lineRule="auto"/>
        <w:ind w:left="173" w:right="115"/>
        <w:shd w:fill="EDF7F1"/>
        <w:pBdr>
          <w:left w:val="single" w:sz="18" w:space="8" w:color="276749"/>
        </w:pBdr>
      </w:pPr>
      <w:r>
        <w:rPr>
          <w:rFonts w:ascii="Arial Unicode MS" w:hAnsi="Arial Unicode MS" w:eastAsia="Arial Unicode MS"/>
          <w:b/>
          <w:color w:val="276749"/>
          <w:sz w:val="21"/>
        </w:rPr>
        <w:t xml:space="preserve">退出门禁  </w:t>
      </w:r>
      <w:r>
        <w:rPr>
          <w:rFonts w:ascii="Arial Unicode MS" w:hAnsi="Arial Unicode MS" w:eastAsia="Arial Unicode MS"/>
          <w:color w:val="0B2545"/>
          <w:sz w:val="21"/>
        </w:rPr>
        <w:t>产品边界、数据授权、权限矩阵、接口协议和评测集全部评审通过。</w:t>
      </w:r>
    </w:p>
    <w:p>
      <w:pPr>
        <w:pStyle w:val="Heading2"/>
      </w:pPr>
      <w:r>
        <w:t>6.2 阶段 1：Agent 内置模块与基础设施</w:t>
      </w:r>
    </w:p>
    <w:p>
      <w:pPr>
        <w:spacing w:before="100" w:after="160" w:line="283" w:lineRule="auto"/>
        <w:ind w:left="173" w:right="115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阶段目标  </w:t>
      </w:r>
      <w:r>
        <w:rPr>
          <w:rFonts w:ascii="Arial Unicode MS" w:hAnsi="Arial Unicode MS" w:eastAsia="Arial Unicode MS"/>
          <w:color w:val="0B2545"/>
          <w:sz w:val="21"/>
        </w:rPr>
        <w:t>在 kangban-server 内建立可观测的 Agent 内置模块和独立向量数据库，不新增 Agent 应用服务。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INF-001  </w:t>
      </w:r>
      <w:r>
        <w:rPr>
          <w:rFonts w:ascii="Arial Unicode MS" w:hAnsi="Arial Unicode MS" w:eastAsia="Arial Unicode MS"/>
          <w:sz w:val="21"/>
        </w:rPr>
        <w:t>在 kangban-server 新增 com.kangban.agent 和 com.kangban.rag 模块，不接入独立 agent-service。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INF-002  </w:t>
      </w:r>
      <w:r>
        <w:rPr>
          <w:rFonts w:ascii="Arial Unicode MS" w:hAnsi="Arial Unicode MS" w:eastAsia="Arial Unicode MS"/>
          <w:sz w:val="21"/>
        </w:rPr>
        <w:t>复用 kangban-server 的 Java 17、Spring Boot 3.5.x、配置和发布体系。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INF-003  </w:t>
      </w:r>
      <w:r>
        <w:rPr>
          <w:rFonts w:ascii="Arial Unicode MS" w:hAnsi="Arial Unicode MS" w:eastAsia="Arial Unicode MS"/>
          <w:sz w:val="21"/>
        </w:rPr>
        <w:t>建立 AgentRequest、AgentEvent、Citation 和 ActionProposal 类型。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INF-004  </w:t>
      </w:r>
      <w:r>
        <w:rPr>
          <w:rFonts w:ascii="Arial Unicode MS" w:hAnsi="Arial Unicode MS" w:eastAsia="Arial Unicode MS"/>
          <w:sz w:val="21"/>
        </w:rPr>
        <w:t>建立 AgentExecutionContext，携带 actor、subject、family scope、sessionId 和 runId；上下文只由服务端构造。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INF-005  </w:t>
      </w:r>
      <w:r>
        <w:rPr>
          <w:rFonts w:ascii="Arial Unicode MS" w:hAnsi="Arial Unicode MS" w:eastAsia="Arial Unicode MS"/>
          <w:sz w:val="21"/>
        </w:rPr>
        <w:t>新建 PostgreSQL + pgvector 实例、最小权限用户和独立数据库。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INF-006  </w:t>
      </w:r>
      <w:r>
        <w:rPr>
          <w:rFonts w:ascii="Arial Unicode MS" w:hAnsi="Arial Unicode MS" w:eastAsia="Arial Unicode MS"/>
          <w:sz w:val="21"/>
        </w:rPr>
        <w:t>使用 Flyway 管理 RAG 向量数据库，禁止生产环境启动时自动改表。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INF-007  </w:t>
      </w:r>
      <w:r>
        <w:rPr>
          <w:rFonts w:ascii="Arial Unicode MS" w:hAnsi="Arial Unicode MS" w:eastAsia="Arial Unicode MS"/>
          <w:sz w:val="21"/>
        </w:rPr>
        <w:t>Redis 增加 RAG/Agent 独立命名空间、限流、幂等和事件消费。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INF-008  </w:t>
      </w:r>
      <w:r>
        <w:rPr>
          <w:rFonts w:ascii="Arial Unicode MS" w:hAnsi="Arial Unicode MS" w:eastAsia="Arial Unicode MS"/>
          <w:sz w:val="21"/>
        </w:rPr>
        <w:t>为 Agent/RAG 配置独立线程池、连接池、超时、限流和熔断，避免阻塞主业务请求。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INF-009  </w:t>
      </w:r>
      <w:r>
        <w:rPr>
          <w:rFonts w:ascii="Arial Unicode MS" w:hAnsi="Arial Unicode MS" w:eastAsia="Arial Unicode MS"/>
          <w:sz w:val="21"/>
        </w:rPr>
        <w:t>打通 traceId、runId 和 sessionId 在控制器、Agent、检索和工具之间的传播。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INF-010  </w:t>
      </w:r>
      <w:r>
        <w:rPr>
          <w:rFonts w:ascii="Arial Unicode MS" w:hAnsi="Arial Unicode MS" w:eastAsia="Arial Unicode MS"/>
          <w:sz w:val="21"/>
        </w:rPr>
        <w:t>建立开发、测试、预发布和生产四套配置。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INF-011  </w:t>
      </w:r>
      <w:r>
        <w:rPr>
          <w:rFonts w:ascii="Arial Unicode MS" w:hAnsi="Arial Unicode MS" w:eastAsia="Arial Unicode MS"/>
          <w:sz w:val="21"/>
        </w:rPr>
        <w:t>接入密钥管理，日志和异常不得输出提示词正文、病历或凭据。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INF-012  </w:t>
      </w:r>
      <w:r>
        <w:rPr>
          <w:rFonts w:ascii="Arial Unicode MS" w:hAnsi="Arial Unicode MS" w:eastAsia="Arial Unicode MS"/>
          <w:sz w:val="21"/>
        </w:rPr>
        <w:t>建立数据库备份、恢复和向量索引重建脚本。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INF-013  </w:t>
      </w:r>
      <w:r>
        <w:rPr>
          <w:rFonts w:ascii="Arial Unicode MS" w:hAnsi="Arial Unicode MS" w:eastAsia="Arial Unicode MS"/>
          <w:sz w:val="21"/>
        </w:rPr>
        <w:t>增加 kangban-server Agent 模块、PostgreSQL、Embedding 和模型服务健康检查。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INF-014  </w:t>
      </w:r>
      <w:r>
        <w:rPr>
          <w:rFonts w:ascii="Arial Unicode MS" w:hAnsi="Arial Unicode MS" w:eastAsia="Arial Unicode MS"/>
          <w:sz w:val="21"/>
        </w:rPr>
        <w:t>扩展 kangban-server 现有构建、镜像、安全扫描和部署流水线，不新增 Agent 部署单元。</w:t>
      </w:r>
    </w:p>
    <w:p>
      <w:pPr>
        <w:spacing w:before="100" w:after="160" w:line="283" w:lineRule="auto"/>
        <w:ind w:left="173" w:right="115"/>
        <w:shd w:fill="EDF7F1"/>
        <w:pBdr>
          <w:left w:val="single" w:sz="18" w:space="8" w:color="276749"/>
        </w:pBdr>
      </w:pPr>
      <w:r>
        <w:rPr>
          <w:rFonts w:ascii="Arial Unicode MS" w:hAnsi="Arial Unicode MS" w:eastAsia="Arial Unicode MS"/>
          <w:b/>
          <w:color w:val="276749"/>
          <w:sz w:val="21"/>
        </w:rPr>
        <w:t xml:space="preserve">退出门禁  </w:t>
      </w:r>
      <w:r>
        <w:rPr>
          <w:rFonts w:ascii="Arial Unicode MS" w:hAnsi="Arial Unicode MS" w:eastAsia="Arial Unicode MS"/>
          <w:color w:val="0B2545"/>
          <w:sz w:val="21"/>
        </w:rPr>
        <w:t>kangban-server 内置 Agent 可稳定完成检索、工具编排和模型调用；迁移、备份、恢复和健康检查全部通过。</w:t>
      </w:r>
    </w:p>
    <w:p>
      <w:pPr>
        <w:pStyle w:val="Heading2"/>
      </w:pPr>
      <w:r>
        <w:t>6.3 阶段 2：公共知识库与管理后台</w:t>
      </w:r>
    </w:p>
    <w:p>
      <w:pPr>
        <w:spacing w:before="100" w:after="160" w:line="283" w:lineRule="auto"/>
        <w:ind w:left="173" w:right="115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阶段目标  </w:t>
      </w:r>
      <w:r>
        <w:rPr>
          <w:rFonts w:ascii="Arial Unicode MS" w:hAnsi="Arial Unicode MS" w:eastAsia="Arial Unicode MS"/>
          <w:color w:val="0B2545"/>
          <w:sz w:val="21"/>
        </w:rPr>
        <w:t>实现从资料进入系统到审核发布、检索引用、撤回重建的完整生命周期。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KB-001  </w:t>
      </w:r>
      <w:r>
        <w:rPr>
          <w:rFonts w:ascii="Arial Unicode MS" w:hAnsi="Arial Unicode MS" w:eastAsia="Arial Unicode MS"/>
          <w:sz w:val="21"/>
        </w:rPr>
        <w:t>建立知识库、来源、文档、版本、Chunk、任务和审核记录模型。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KB-002  </w:t>
      </w:r>
      <w:r>
        <w:rPr>
          <w:rFonts w:ascii="Arial Unicode MS" w:hAnsi="Arial Unicode MS" w:eastAsia="Arial Unicode MS"/>
          <w:sz w:val="21"/>
        </w:rPr>
        <w:t>支持 PDF、DOCX、Markdown、TXT、HTML、PNG 和 JPG。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KB-003  </w:t>
      </w:r>
      <w:r>
        <w:rPr>
          <w:rFonts w:ascii="Arial Unicode MS" w:hAnsi="Arial Unicode MS" w:eastAsia="Arial Unicode MS"/>
          <w:sz w:val="21"/>
        </w:rPr>
        <w:t>扫描件复用现有 OCR 能力，并保留页码映射。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KB-004  </w:t>
      </w:r>
      <w:r>
        <w:rPr>
          <w:rFonts w:ascii="Arial Unicode MS" w:hAnsi="Arial Unicode MS" w:eastAsia="Arial Unicode MS"/>
          <w:sz w:val="21"/>
        </w:rPr>
        <w:t>实现校验、去重、解析、切片、Embedding 和索引任务。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KB-005  </w:t>
      </w:r>
      <w:r>
        <w:rPr>
          <w:rFonts w:ascii="Arial Unicode MS" w:hAnsi="Arial Unicode MS" w:eastAsia="Arial Unicode MS"/>
          <w:sz w:val="21"/>
        </w:rPr>
        <w:t>实现失败重试、断点续跑、取消和重新索引。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KB-006  </w:t>
      </w:r>
      <w:r>
        <w:rPr>
          <w:rFonts w:ascii="Arial Unicode MS" w:hAnsi="Arial Unicode MS" w:eastAsia="Arial Unicode MS"/>
          <w:sz w:val="21"/>
        </w:rPr>
        <w:t>实现来源白名单同步器，所有同步结果默认进入草稿。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KB-007  </w:t>
      </w:r>
      <w:r>
        <w:rPr>
          <w:rFonts w:ascii="Arial Unicode MS" w:hAnsi="Arial Unicode MS" w:eastAsia="Arial Unicode MS"/>
          <w:sz w:val="21"/>
        </w:rPr>
        <w:t>实现草稿、待审核、已发布、已撤回、已过期状态机。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KB-008  </w:t>
      </w:r>
      <w:r>
        <w:rPr>
          <w:rFonts w:ascii="Arial Unicode MS" w:hAnsi="Arial Unicode MS" w:eastAsia="Arial Unicode MS"/>
          <w:sz w:val="21"/>
        </w:rPr>
        <w:t>实现文档版本比较和回滚。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KB-009  </w:t>
      </w:r>
      <w:r>
        <w:rPr>
          <w:rFonts w:ascii="Arial Unicode MS" w:hAnsi="Arial Unicode MS" w:eastAsia="Arial Unicode MS"/>
          <w:sz w:val="21"/>
        </w:rPr>
        <w:t>实现向量召回、关键词召回、融合与重排。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KB-010  </w:t>
      </w:r>
      <w:r>
        <w:rPr>
          <w:rFonts w:ascii="Arial Unicode MS" w:hAnsi="Arial Unicode MS" w:eastAsia="Arial Unicode MS"/>
          <w:sz w:val="21"/>
        </w:rPr>
        <w:t>实现引用编号、版本和原文位置定位。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KB-011  </w:t>
      </w:r>
      <w:r>
        <w:rPr>
          <w:rFonts w:ascii="Arial Unicode MS" w:hAnsi="Arial Unicode MS" w:eastAsia="Arial Unicode MS"/>
          <w:sz w:val="21"/>
        </w:rPr>
        <w:t>建设上传、批量导入、解析预览和 Chunk 预览页面。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KB-012  </w:t>
      </w:r>
      <w:r>
        <w:rPr>
          <w:rFonts w:ascii="Arial Unicode MS" w:hAnsi="Arial Unicode MS" w:eastAsia="Arial Unicode MS"/>
          <w:sz w:val="21"/>
        </w:rPr>
        <w:t>建设医学审核、发布、撤回和重新索引页面。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KB-013  </w:t>
      </w:r>
      <w:r>
        <w:rPr>
          <w:rFonts w:ascii="Arial Unicode MS" w:hAnsi="Arial Unicode MS" w:eastAsia="Arial Unicode MS"/>
          <w:sz w:val="21"/>
        </w:rPr>
        <w:t>建设任务失败、数据来源、更新时间和质量看板。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KB-014  </w:t>
      </w:r>
      <w:r>
        <w:rPr>
          <w:rFonts w:ascii="Arial Unicode MS" w:hAnsi="Arial Unicode MS" w:eastAsia="Arial Unicode MS"/>
          <w:sz w:val="21"/>
        </w:rPr>
        <w:t>导入首批官方医学资料并完成抽样审核。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KB-015  </w:t>
      </w:r>
      <w:r>
        <w:rPr>
          <w:rFonts w:ascii="Arial Unicode MS" w:hAnsi="Arial Unicode MS" w:eastAsia="Arial Unicode MS"/>
          <w:sz w:val="21"/>
        </w:rPr>
        <w:t>所有后台操作强制记录审计日志。</w:t>
      </w:r>
    </w:p>
    <w:p>
      <w:pPr>
        <w:spacing w:before="100" w:after="160" w:line="283" w:lineRule="auto"/>
        <w:ind w:left="173" w:right="115"/>
        <w:shd w:fill="EDF7F1"/>
        <w:pBdr>
          <w:left w:val="single" w:sz="18" w:space="8" w:color="276749"/>
        </w:pBdr>
      </w:pPr>
      <w:r>
        <w:rPr>
          <w:rFonts w:ascii="Arial Unicode MS" w:hAnsi="Arial Unicode MS" w:eastAsia="Arial Unicode MS"/>
          <w:b/>
          <w:color w:val="276749"/>
          <w:sz w:val="21"/>
        </w:rPr>
        <w:t xml:space="preserve">退出门禁  </w:t>
      </w:r>
      <w:r>
        <w:rPr>
          <w:rFonts w:ascii="Arial Unicode MS" w:hAnsi="Arial Unicode MS" w:eastAsia="Arial Unicode MS"/>
          <w:color w:val="0B2545"/>
          <w:sz w:val="21"/>
        </w:rPr>
        <w:t>上传文档可完整追踪至引用答案；撤回后 60 秒内不再召回。</w:t>
      </w:r>
    </w:p>
    <w:p>
      <w:pPr>
        <w:pStyle w:val="Heading2"/>
      </w:pPr>
      <w:r>
        <w:t>6.4 阶段 3：家庭私有 RAG</w:t>
      </w:r>
    </w:p>
    <w:p>
      <w:pPr>
        <w:spacing w:before="100" w:after="160" w:line="283" w:lineRule="auto"/>
        <w:ind w:left="173" w:right="115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阶段目标  </w:t>
      </w:r>
      <w:r>
        <w:rPr>
          <w:rFonts w:ascii="Arial Unicode MS" w:hAnsi="Arial Unicode MS" w:eastAsia="Arial Unicode MS"/>
          <w:color w:val="0B2545"/>
          <w:sz w:val="21"/>
        </w:rPr>
        <w:t>将病历 OCR 结果安全地转化为家庭私有知识，并保证撤权和删除立即生效。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PRIV-001  </w:t>
      </w:r>
      <w:r>
        <w:rPr>
          <w:rFonts w:ascii="Arial Unicode MS" w:hAnsi="Arial Unicode MS" w:eastAsia="Arial Unicode MS"/>
          <w:sz w:val="21"/>
        </w:rPr>
        <w:t>在 OCR 成功、修改、删除和权限变化处写入 MySQL Outbox 事件。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PRIV-002  </w:t>
      </w:r>
      <w:r>
        <w:rPr>
          <w:rFonts w:ascii="Arial Unicode MS" w:hAnsi="Arial Unicode MS" w:eastAsia="Arial Unicode MS"/>
          <w:sz w:val="21"/>
        </w:rPr>
        <w:t>kangban-server 后台消费者幂等处理事件并创建或更新私有索引。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PRIV-003  </w:t>
      </w:r>
      <w:r>
        <w:rPr>
          <w:rFonts w:ascii="Arial Unicode MS" w:hAnsi="Arial Unicode MS" w:eastAsia="Arial Unicode MS"/>
          <w:sz w:val="21"/>
        </w:rPr>
        <w:t>为历史病历实现可暂停、可恢复的补建任务。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PRIV-004  </w:t>
      </w:r>
      <w:r>
        <w:rPr>
          <w:rFonts w:ascii="Arial Unicode MS" w:hAnsi="Arial Unicode MS" w:eastAsia="Arial Unicode MS"/>
          <w:sz w:val="21"/>
        </w:rPr>
        <w:t>Chunk 保存 ownerUserId、subjectUserId、familyId、memberId 和 visibility。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PRIV-005  </w:t>
      </w:r>
      <w:r>
        <w:rPr>
          <w:rFonts w:ascii="Arial Unicode MS" w:hAnsi="Arial Unicode MS" w:eastAsia="Arial Unicode MS"/>
          <w:sz w:val="21"/>
        </w:rPr>
        <w:t>每次查询由 kangban-server 实时计算授权范围。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PRIV-006  </w:t>
      </w:r>
      <w:r>
        <w:rPr>
          <w:rFonts w:ascii="Arial Unicode MS" w:hAnsi="Arial Unicode MS" w:eastAsia="Arial Unicode MS"/>
          <w:sz w:val="21"/>
        </w:rPr>
        <w:t>复用并扩展 FamilyAccessService 权限语义。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PRIV-007  </w:t>
      </w:r>
      <w:r>
        <w:rPr>
          <w:rFonts w:ascii="Arial Unicode MS" w:hAnsi="Arial Unicode MS" w:eastAsia="Arial Unicode MS"/>
          <w:sz w:val="21"/>
        </w:rPr>
        <w:t>撤权后立即阻断检索，不依赖异步向量删除完成。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PRIV-008  </w:t>
      </w:r>
      <w:r>
        <w:rPr>
          <w:rFonts w:ascii="Arial Unicode MS" w:hAnsi="Arial Unicode MS" w:eastAsia="Arial Unicode MS"/>
          <w:sz w:val="21"/>
        </w:rPr>
        <w:t>删除资料时先写墓碑，再清理文件、Chunk、向量和缓存。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PRIV-009  </w:t>
      </w:r>
      <w:r>
        <w:rPr>
          <w:rFonts w:ascii="Arial Unicode MS" w:hAnsi="Arial Unicode MS" w:eastAsia="Arial Unicode MS"/>
          <w:sz w:val="21"/>
        </w:rPr>
        <w:t>回答中区分公共医学资料与家庭私有资料引用。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PRIV-010  </w:t>
      </w:r>
      <w:r>
        <w:rPr>
          <w:rFonts w:ascii="Arial Unicode MS" w:hAnsi="Arial Unicode MS" w:eastAsia="Arial Unicode MS"/>
          <w:sz w:val="21"/>
        </w:rPr>
        <w:t>提供本次使用了哪些个人资料的可见说明。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PRIV-011  </w:t>
      </w:r>
      <w:r>
        <w:rPr>
          <w:rFonts w:ascii="Arial Unicode MS" w:hAnsi="Arial Unicode MS" w:eastAsia="Arial Unicode MS"/>
          <w:sz w:val="21"/>
        </w:rPr>
        <w:t>禁止将聊天答案自动写回家庭知识库。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PRIV-012  </w:t>
      </w:r>
      <w:r>
        <w:rPr>
          <w:rFonts w:ascii="Arial Unicode MS" w:hAnsi="Arial Unicode MS" w:eastAsia="Arial Unicode MS"/>
          <w:sz w:val="21"/>
        </w:rPr>
        <w:t>完成跨用户、跨家庭、撤权、删除和缓存竞态测试。</w:t>
      </w:r>
    </w:p>
    <w:p>
      <w:pPr>
        <w:spacing w:before="100" w:after="160" w:line="283" w:lineRule="auto"/>
        <w:ind w:left="173" w:right="115"/>
        <w:shd w:fill="EDF7F1"/>
        <w:pBdr>
          <w:left w:val="single" w:sz="18" w:space="8" w:color="276749"/>
        </w:pBdr>
      </w:pPr>
      <w:r>
        <w:rPr>
          <w:rFonts w:ascii="Arial Unicode MS" w:hAnsi="Arial Unicode MS" w:eastAsia="Arial Unicode MS"/>
          <w:b/>
          <w:color w:val="276749"/>
          <w:sz w:val="21"/>
        </w:rPr>
        <w:t xml:space="preserve">退出门禁  </w:t>
      </w:r>
      <w:r>
        <w:rPr>
          <w:rFonts w:ascii="Arial Unicode MS" w:hAnsi="Arial Unicode MS" w:eastAsia="Arial Unicode MS"/>
          <w:color w:val="0B2545"/>
          <w:sz w:val="21"/>
        </w:rPr>
        <w:t>任何未授权身份都无法通过检索、缓存、引用或错误消息获得家庭资料。</w:t>
      </w:r>
    </w:p>
    <w:p>
      <w:pPr>
        <w:pStyle w:val="Heading2"/>
      </w:pPr>
      <w:r>
        <w:t>6.5 阶段 4：Agent 编排与真实流式对话</w:t>
      </w:r>
    </w:p>
    <w:p>
      <w:pPr>
        <w:spacing w:before="100" w:after="160" w:line="283" w:lineRule="auto"/>
        <w:ind w:left="173" w:right="115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阶段目标  </w:t>
      </w:r>
      <w:r>
        <w:rPr>
          <w:rFonts w:ascii="Arial Unicode MS" w:hAnsi="Arial Unicode MS" w:eastAsia="Arial Unicode MS"/>
          <w:color w:val="0B2545"/>
          <w:sz w:val="21"/>
        </w:rPr>
        <w:t>用确定性路由约束医疗场景，在保持前端接口稳定的同时提供 RAG、工具和真实流式事件。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AGT-001  </w:t>
      </w:r>
      <w:r>
        <w:rPr>
          <w:rFonts w:ascii="Arial Unicode MS" w:hAnsi="Arial Unicode MS" w:eastAsia="Arial Unicode MS"/>
          <w:sz w:val="21"/>
        </w:rPr>
        <w:t>分类医学问答、个性化健康、医院查询、医生推荐、用药计划、健康记录和高风险急症。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AGT-002  </w:t>
      </w:r>
      <w:r>
        <w:rPr>
          <w:rFonts w:ascii="Arial Unicode MS" w:hAnsi="Arial Unicode MS" w:eastAsia="Arial Unicode MS"/>
          <w:sz w:val="21"/>
        </w:rPr>
        <w:t>医学问题默认强制检索，不由模型自行决定是否使用知识库。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AGT-003  </w:t>
      </w:r>
      <w:r>
        <w:rPr>
          <w:rFonts w:ascii="Arial Unicode MS" w:hAnsi="Arial Unicode MS" w:eastAsia="Arial Unicode MS"/>
          <w:sz w:val="21"/>
        </w:rPr>
        <w:t>个性化问题组合公共 RAG、家庭 RAG 和结构化患者上下文。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AGT-004  </w:t>
      </w:r>
      <w:r>
        <w:rPr>
          <w:rFonts w:ascii="Arial Unicode MS" w:hAnsi="Arial Unicode MS" w:eastAsia="Arial Unicode MS"/>
          <w:sz w:val="21"/>
        </w:rPr>
        <w:t>限制最多 5 次工具迭代、总超时和单工具超时。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AGT-005  </w:t>
      </w:r>
      <w:r>
        <w:rPr>
          <w:rFonts w:ascii="Arial Unicode MS" w:hAnsi="Arial Unicode MS" w:eastAsia="Arial Unicode MS"/>
          <w:sz w:val="21"/>
        </w:rPr>
        <w:t>建立短期消息窗口和会话摘要，Chunk 不永久写入历史。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AGT-006  </w:t>
      </w:r>
      <w:r>
        <w:rPr>
          <w:rFonts w:ascii="Arial Unicode MS" w:hAnsi="Arial Unicode MS" w:eastAsia="Arial Unicode MS"/>
          <w:sz w:val="21"/>
        </w:rPr>
        <w:t>建立来源优先级、冲突处理、证据不足和拒答模板。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AGT-007  </w:t>
      </w:r>
      <w:r>
        <w:rPr>
          <w:rFonts w:ascii="Arial Unicode MS" w:hAnsi="Arial Unicode MS" w:eastAsia="Arial Unicode MS"/>
          <w:sz w:val="21"/>
        </w:rPr>
        <w:t>识别高风险描述并优先提示及时线下急救。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AGT-008  </w:t>
      </w:r>
      <w:r>
        <w:rPr>
          <w:rFonts w:ascii="Arial Unicode MS" w:hAnsi="Arial Unicode MS" w:eastAsia="Arial Unicode MS"/>
          <w:sz w:val="21"/>
        </w:rPr>
        <w:t>将整段字符串返回替换为真正的 Token 流。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AGT-009  </w:t>
      </w:r>
      <w:r>
        <w:rPr>
          <w:rFonts w:ascii="Arial Unicode MS" w:hAnsi="Arial Unicode MS" w:eastAsia="Arial Unicode MS"/>
          <w:sz w:val="21"/>
        </w:rPr>
        <w:t>SSE 支持 thinking、token、citation、action、warning、done 和 error。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AGT-010  </w:t>
      </w:r>
      <w:r>
        <w:rPr>
          <w:rFonts w:ascii="Arial Unicode MS" w:hAnsi="Arial Unicode MS" w:eastAsia="Arial Unicode MS"/>
          <w:sz w:val="21"/>
        </w:rPr>
        <w:t>持久化引用、Agent 运行版本和最终答复。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AGT-011  </w:t>
      </w:r>
      <w:r>
        <w:rPr>
          <w:rFonts w:ascii="Arial Unicode MS" w:hAnsi="Arial Unicode MS" w:eastAsia="Arial Unicode MS"/>
          <w:sz w:val="21"/>
        </w:rPr>
        <w:t>增加模型超时、熔断、有限重试和备用模型。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AGT-012  </w:t>
      </w:r>
      <w:r>
        <w:rPr>
          <w:rFonts w:ascii="Arial Unicode MS" w:hAnsi="Arial Unicode MS" w:eastAsia="Arial Unicode MS"/>
          <w:sz w:val="21"/>
        </w:rPr>
        <w:t>Agent 模块或外部模型不可用时明确降级，不生成伪造医学回答。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AGT-013  </w:t>
      </w:r>
      <w:r>
        <w:rPr>
          <w:rFonts w:ascii="Arial Unicode MS" w:hAnsi="Arial Unicode MS" w:eastAsia="Arial Unicode MS"/>
          <w:sz w:val="21"/>
        </w:rPr>
        <w:t>保持现有 /consultation 前端调用契约。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AGT-014  </w:t>
      </w:r>
      <w:r>
        <w:rPr>
          <w:rFonts w:ascii="Arial Unicode MS" w:hAnsi="Arial Unicode MS" w:eastAsia="Arial Unicode MS"/>
          <w:sz w:val="21"/>
        </w:rPr>
        <w:t>建立 Prompt、模型和检索配置版本管理。</w:t>
      </w:r>
    </w:p>
    <w:p>
      <w:pPr>
        <w:spacing w:before="100" w:after="160" w:line="283" w:lineRule="auto"/>
        <w:ind w:left="173" w:right="115"/>
        <w:shd w:fill="EDF7F1"/>
        <w:pBdr>
          <w:left w:val="single" w:sz="18" w:space="8" w:color="276749"/>
        </w:pBdr>
      </w:pPr>
      <w:r>
        <w:rPr>
          <w:rFonts w:ascii="Arial Unicode MS" w:hAnsi="Arial Unicode MS" w:eastAsia="Arial Unicode MS"/>
          <w:b/>
          <w:color w:val="276749"/>
          <w:sz w:val="21"/>
        </w:rPr>
        <w:t xml:space="preserve">退出门禁  </w:t>
      </w:r>
      <w:r>
        <w:rPr>
          <w:rFonts w:ascii="Arial Unicode MS" w:hAnsi="Arial Unicode MS" w:eastAsia="Arial Unicode MS"/>
          <w:color w:val="0B2545"/>
          <w:sz w:val="21"/>
        </w:rPr>
        <w:t>同步、SSE、重试和断线恢复得到同一最终回复与同一组引用。</w:t>
      </w:r>
    </w:p>
    <w:p>
      <w:pPr>
        <w:pStyle w:val="Heading2"/>
      </w:pPr>
      <w:r>
        <w:t>6.6 阶段 5：受控工具与确认写入</w:t>
      </w:r>
    </w:p>
    <w:p>
      <w:pPr>
        <w:spacing w:before="100" w:after="160" w:line="283" w:lineRule="auto"/>
        <w:ind w:left="173" w:right="115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阶段目标  </w:t>
      </w:r>
      <w:r>
        <w:rPr>
          <w:rFonts w:ascii="Arial Unicode MS" w:hAnsi="Arial Unicode MS" w:eastAsia="Arial Unicode MS"/>
          <w:color w:val="0B2545"/>
          <w:sz w:val="21"/>
        </w:rPr>
        <w:t>把健康记录和用药提醒能力封装为最小权限工具，所有写操作采用两阶段确认。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TOOL-001  </w:t>
      </w:r>
      <w:r>
        <w:rPr>
          <w:rFonts w:ascii="Arial Unicode MS" w:hAnsi="Arial Unicode MS" w:eastAsia="Arial Unicode MS"/>
          <w:sz w:val="21"/>
        </w:rPr>
        <w:t>实现 get_patient_health_context。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TOOL-002  </w:t>
      </w:r>
      <w:r>
        <w:rPr>
          <w:rFonts w:ascii="Arial Unicode MS" w:hAnsi="Arial Unicode MS" w:eastAsia="Arial Unicode MS"/>
          <w:sz w:val="21"/>
        </w:rPr>
        <w:t>实现 get_health_trends。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TOOL-003  </w:t>
      </w:r>
      <w:r>
        <w:rPr>
          <w:rFonts w:ascii="Arial Unicode MS" w:hAnsi="Arial Unicode MS" w:eastAsia="Arial Unicode MS"/>
          <w:sz w:val="21"/>
        </w:rPr>
        <w:t>实现 get_medications。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TOOL-004  </w:t>
      </w:r>
      <w:r>
        <w:rPr>
          <w:rFonts w:ascii="Arial Unicode MS" w:hAnsi="Arial Unicode MS" w:eastAsia="Arial Unicode MS"/>
          <w:sz w:val="21"/>
        </w:rPr>
        <w:t>实现 check_drug_interactions。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TOOL-005  </w:t>
      </w:r>
      <w:r>
        <w:rPr>
          <w:rFonts w:ascii="Arial Unicode MS" w:hAnsi="Arial Unicode MS" w:eastAsia="Arial Unicode MS"/>
          <w:sz w:val="21"/>
        </w:rPr>
        <w:t>实现 search_public_medical_knowledge。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TOOL-006  </w:t>
      </w:r>
      <w:r>
        <w:rPr>
          <w:rFonts w:ascii="Arial Unicode MS" w:hAnsi="Arial Unicode MS" w:eastAsia="Arial Unicode MS"/>
          <w:sz w:val="21"/>
        </w:rPr>
        <w:t>实现 search_family_medical_documents。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TOOL-007  </w:t>
      </w:r>
      <w:r>
        <w:rPr>
          <w:rFonts w:ascii="Arial Unicode MS" w:hAnsi="Arial Unicode MS" w:eastAsia="Arial Unicode MS"/>
          <w:sz w:val="21"/>
        </w:rPr>
        <w:t>实现 search_hospitals 和 recommend_doctors。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ACT-001  </w:t>
      </w:r>
      <w:r>
        <w:rPr>
          <w:rFonts w:ascii="Arial Unicode MS" w:hAnsi="Arial Unicode MS" w:eastAsia="Arial Unicode MS"/>
          <w:sz w:val="21"/>
        </w:rPr>
        <w:t>新增 agent_actions 表和状态机。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ACT-002  </w:t>
      </w:r>
      <w:r>
        <w:rPr>
          <w:rFonts w:ascii="Arial Unicode MS" w:hAnsi="Arial Unicode MS" w:eastAsia="Arial Unicode MS"/>
          <w:sz w:val="21"/>
        </w:rPr>
        <w:t>实现用药计划草案；剂量和频次不得由模型补全。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ACT-003  </w:t>
      </w:r>
      <w:r>
        <w:rPr>
          <w:rFonts w:ascii="Arial Unicode MS" w:hAnsi="Arial Unicode MS" w:eastAsia="Arial Unicode MS"/>
          <w:sz w:val="21"/>
        </w:rPr>
        <w:t>实现健康记录草案；校验指标、单位、时间和值域。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ACT-004  </w:t>
      </w:r>
      <w:r>
        <w:rPr>
          <w:rFonts w:ascii="Arial Unicode MS" w:hAnsi="Arial Unicode MS" w:eastAsia="Arial Unicode MS"/>
          <w:sz w:val="21"/>
        </w:rPr>
        <w:t>新增动作确认和取消接口。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ACT-005  </w:t>
      </w:r>
      <w:r>
        <w:rPr>
          <w:rFonts w:ascii="Arial Unicode MS" w:hAnsi="Arial Unicode MS" w:eastAsia="Arial Unicode MS"/>
          <w:sz w:val="21"/>
        </w:rPr>
        <w:t>草案 15 分钟后自动失效。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ACT-006  </w:t>
      </w:r>
      <w:r>
        <w:rPr>
          <w:rFonts w:ascii="Arial Unicode MS" w:hAnsi="Arial Unicode MS" w:eastAsia="Arial Unicode MS"/>
          <w:sz w:val="21"/>
        </w:rPr>
        <w:t>确认时重新验证登录、家庭权限、参数和业务状态。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ACT-007  </w:t>
      </w:r>
      <w:r>
        <w:rPr>
          <w:rFonts w:ascii="Arial Unicode MS" w:hAnsi="Arial Unicode MS" w:eastAsia="Arial Unicode MS"/>
          <w:sz w:val="21"/>
        </w:rPr>
        <w:t>使用唯一幂等键，重复确认不得重复写入。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ACT-008  </w:t>
      </w:r>
      <w:r>
        <w:rPr>
          <w:rFonts w:ascii="Arial Unicode MS" w:hAnsi="Arial Unicode MS" w:eastAsia="Arial Unicode MS"/>
          <w:sz w:val="21"/>
        </w:rPr>
        <w:t>最终通过现有 MedicationService 和 HealthService 执行。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ACT-009  </w:t>
      </w:r>
      <w:r>
        <w:rPr>
          <w:rFonts w:ascii="Arial Unicode MS" w:hAnsi="Arial Unicode MS" w:eastAsia="Arial Unicode MS"/>
          <w:sz w:val="21"/>
        </w:rPr>
        <w:t>为家庭用药新增明确的 MANAGE_MEDICATIONS 权限。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ACT-010  </w:t>
      </w:r>
      <w:r>
        <w:rPr>
          <w:rFonts w:ascii="Arial Unicode MS" w:hAnsi="Arial Unicode MS" w:eastAsia="Arial Unicode MS"/>
          <w:sz w:val="21"/>
        </w:rPr>
        <w:t>提议、确认、取消、成功和失败全部记录审计。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ACT-011  </w:t>
      </w:r>
      <w:r>
        <w:rPr>
          <w:rFonts w:ascii="Arial Unicode MS" w:hAnsi="Arial Unicode MS" w:eastAsia="Arial Unicode MS"/>
          <w:sz w:val="21"/>
        </w:rPr>
        <w:t>前端显示结构化确认卡，禁止自然语言一句话执行。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ACT-012  </w:t>
      </w:r>
      <w:r>
        <w:rPr>
          <w:rFonts w:ascii="Arial Unicode MS" w:hAnsi="Arial Unicode MS" w:eastAsia="Arial Unicode MS"/>
          <w:sz w:val="21"/>
        </w:rPr>
        <w:t>失败时返回真实可恢复状态，不能让模型声称已成功。</w:t>
      </w:r>
    </w:p>
    <w:p>
      <w:pPr>
        <w:spacing w:before="100" w:after="160" w:line="283" w:lineRule="auto"/>
        <w:ind w:left="173" w:right="115"/>
        <w:shd w:fill="EDF7F1"/>
        <w:pBdr>
          <w:left w:val="single" w:sz="18" w:space="8" w:color="276749"/>
        </w:pBdr>
      </w:pPr>
      <w:r>
        <w:rPr>
          <w:rFonts w:ascii="Arial Unicode MS" w:hAnsi="Arial Unicode MS" w:eastAsia="Arial Unicode MS"/>
          <w:b/>
          <w:color w:val="276749"/>
          <w:sz w:val="21"/>
        </w:rPr>
        <w:t xml:space="preserve">退出门禁  </w:t>
      </w:r>
      <w:r>
        <w:rPr>
          <w:rFonts w:ascii="Arial Unicode MS" w:hAnsi="Arial Unicode MS" w:eastAsia="Arial Unicode MS"/>
          <w:color w:val="0B2545"/>
          <w:sz w:val="21"/>
        </w:rPr>
        <w:t>每次写入都有明确确认、权限检查、幂等保护、真实执行结果和审计记录。</w:t>
      </w:r>
    </w:p>
    <w:p>
      <w:pPr>
        <w:pStyle w:val="Heading2"/>
      </w:pPr>
      <w:r>
        <w:t>6.7 阶段 6：天津医院与医生匹配</w:t>
      </w:r>
    </w:p>
    <w:p>
      <w:pPr>
        <w:spacing w:before="100" w:after="160" w:line="283" w:lineRule="auto"/>
        <w:ind w:left="173" w:right="115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阶段目标  </w:t>
      </w:r>
      <w:r>
        <w:rPr>
          <w:rFonts w:ascii="Arial Unicode MS" w:hAnsi="Arial Unicode MS" w:eastAsia="Arial Unicode MS"/>
          <w:color w:val="0B2545"/>
          <w:sz w:val="21"/>
        </w:rPr>
        <w:t>建立可维护、可解释、可追溯的天津医疗机构和医生结构化目录。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TJ-001  </w:t>
      </w:r>
      <w:r>
        <w:rPr>
          <w:rFonts w:ascii="Arial Unicode MS" w:hAnsi="Arial Unicode MS" w:eastAsia="Arial Unicode MS"/>
          <w:sz w:val="21"/>
        </w:rPr>
        <w:t>建立医院、院区、科室、医生、职称和数据来源表。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TJ-002  </w:t>
      </w:r>
      <w:r>
        <w:rPr>
          <w:rFonts w:ascii="Arial Unicode MS" w:hAnsi="Arial Unicode MS" w:eastAsia="Arial Unicode MS"/>
          <w:sz w:val="21"/>
        </w:rPr>
        <w:t>导入天津卫健委医院目录。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TJ-003  </w:t>
      </w:r>
      <w:r>
        <w:rPr>
          <w:rFonts w:ascii="Arial Unicode MS" w:hAnsi="Arial Unicode MS" w:eastAsia="Arial Unicode MS"/>
          <w:sz w:val="21"/>
        </w:rPr>
        <w:t>导入天津医保定点医疗机构季度名单。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TJ-004  </w:t>
      </w:r>
      <w:r>
        <w:rPr>
          <w:rFonts w:ascii="Arial Unicode MS" w:hAnsi="Arial Unicode MS" w:eastAsia="Arial Unicode MS"/>
          <w:sz w:val="21"/>
        </w:rPr>
        <w:t>建立医院官网白名单和人工采集模板。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TJ-005  </w:t>
      </w:r>
      <w:r>
        <w:rPr>
          <w:rFonts w:ascii="Arial Unicode MS" w:hAnsi="Arial Unicode MS" w:eastAsia="Arial Unicode MS"/>
          <w:sz w:val="21"/>
        </w:rPr>
        <w:t>后台支持 Excel 导入、差异预览和审核。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TJ-006  </w:t>
      </w:r>
      <w:r>
        <w:rPr>
          <w:rFonts w:ascii="Arial Unicode MS" w:hAnsi="Arial Unicode MS" w:eastAsia="Arial Unicode MS"/>
          <w:sz w:val="21"/>
        </w:rPr>
        <w:t>建立标准科室词典和别名映射。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TJ-007  </w:t>
      </w:r>
      <w:r>
        <w:rPr>
          <w:rFonts w:ascii="Arial Unicode MS" w:hAnsi="Arial Unicode MS" w:eastAsia="Arial Unicode MS"/>
          <w:sz w:val="21"/>
        </w:rPr>
        <w:t>实现科室 60%、医院级别 25%、职称 15% 的确定性排序。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TJ-008  </w:t>
      </w:r>
      <w:r>
        <w:rPr>
          <w:rFonts w:ascii="Arial Unicode MS" w:hAnsi="Arial Unicode MS" w:eastAsia="Arial Unicode MS"/>
          <w:sz w:val="21"/>
        </w:rPr>
        <w:t>推荐结果展示各项分数、来源和更新时间。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TJ-009  </w:t>
      </w:r>
      <w:r>
        <w:rPr>
          <w:rFonts w:ascii="Arial Unicode MS" w:hAnsi="Arial Unicode MS" w:eastAsia="Arial Unicode MS"/>
          <w:sz w:val="21"/>
        </w:rPr>
        <w:t>医院每周检查；医保名单跟随官方周期；医生每 30 天验证。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TJ-010  </w:t>
      </w:r>
      <w:r>
        <w:rPr>
          <w:rFonts w:ascii="Arial Unicode MS" w:hAnsi="Arial Unicode MS" w:eastAsia="Arial Unicode MS"/>
          <w:sz w:val="21"/>
        </w:rPr>
        <w:t>不展示未经确认的实时号源和预约状态。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TJ-011  </w:t>
      </w:r>
      <w:r>
        <w:rPr>
          <w:rFonts w:ascii="Arial Unicode MS" w:hAnsi="Arial Unicode MS" w:eastAsia="Arial Unicode MS"/>
          <w:sz w:val="21"/>
        </w:rPr>
        <w:t>建立纠错、下架和来源失效处理。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TJ-012  </w:t>
      </w:r>
      <w:r>
        <w:rPr>
          <w:rFonts w:ascii="Arial Unicode MS" w:hAnsi="Arial Unicode MS" w:eastAsia="Arial Unicode MS"/>
          <w:sz w:val="21"/>
        </w:rPr>
        <w:t>同一输入重复运行时排序结果必须一致。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TJ-013  </w:t>
      </w:r>
      <w:r>
        <w:rPr>
          <w:rFonts w:ascii="Arial Unicode MS" w:hAnsi="Arial Unicode MS" w:eastAsia="Arial Unicode MS"/>
          <w:sz w:val="21"/>
        </w:rPr>
        <w:t>前端使用匹配医生推荐，禁止全市最好等营销表述。</w:t>
      </w:r>
    </w:p>
    <w:p>
      <w:pPr>
        <w:spacing w:before="100" w:after="160" w:line="283" w:lineRule="auto"/>
        <w:ind w:left="173" w:right="115"/>
        <w:shd w:fill="EDF7F1"/>
        <w:pBdr>
          <w:left w:val="single" w:sz="18" w:space="8" w:color="276749"/>
        </w:pBdr>
      </w:pPr>
      <w:r>
        <w:rPr>
          <w:rFonts w:ascii="Arial Unicode MS" w:hAnsi="Arial Unicode MS" w:eastAsia="Arial Unicode MS"/>
          <w:b/>
          <w:color w:val="276749"/>
          <w:sz w:val="21"/>
        </w:rPr>
        <w:t xml:space="preserve">退出门禁  </w:t>
      </w:r>
      <w:r>
        <w:rPr>
          <w:rFonts w:ascii="Arial Unicode MS" w:hAnsi="Arial Unicode MS" w:eastAsia="Arial Unicode MS"/>
          <w:color w:val="0B2545"/>
          <w:sz w:val="21"/>
        </w:rPr>
        <w:t>推荐结果全部来自已审核记录，排序可复算、可解释、可追溯。</w:t>
      </w:r>
    </w:p>
    <w:p>
      <w:pPr>
        <w:pStyle w:val="Heading2"/>
      </w:pPr>
      <w:r>
        <w:t>6.8 阶段 7：前端与管理体验</w:t>
      </w:r>
    </w:p>
    <w:p>
      <w:pPr>
        <w:spacing w:before="100" w:after="160" w:line="283" w:lineRule="auto"/>
        <w:ind w:left="173" w:right="115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阶段目标  </w:t>
      </w:r>
      <w:r>
        <w:rPr>
          <w:rFonts w:ascii="Arial Unicode MS" w:hAnsi="Arial Unicode MS" w:eastAsia="Arial Unicode MS"/>
          <w:color w:val="0B2545"/>
          <w:sz w:val="21"/>
        </w:rPr>
        <w:t>让用户看懂证据、权限和动作，让管理员能够完整管理知识生命周期。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WEB-001  </w:t>
      </w:r>
      <w:r>
        <w:rPr>
          <w:rFonts w:ascii="Arial Unicode MS" w:hAnsi="Arial Unicode MS" w:eastAsia="Arial Unicode MS"/>
          <w:sz w:val="21"/>
        </w:rPr>
        <w:t>答案增加引用角标和资料抽屉。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WEB-002  </w:t>
      </w:r>
      <w:r>
        <w:rPr>
          <w:rFonts w:ascii="Arial Unicode MS" w:hAnsi="Arial Unicode MS" w:eastAsia="Arial Unicode MS"/>
          <w:sz w:val="21"/>
        </w:rPr>
        <w:t>区分公共资料和家庭私有资料。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WEB-003  </w:t>
      </w:r>
      <w:r>
        <w:rPr>
          <w:rFonts w:ascii="Arial Unicode MS" w:hAnsi="Arial Unicode MS" w:eastAsia="Arial Unicode MS"/>
          <w:sz w:val="21"/>
        </w:rPr>
        <w:t>增加用药与健康记录确认卡。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WEB-004  </w:t>
      </w:r>
      <w:r>
        <w:rPr>
          <w:rFonts w:ascii="Arial Unicode MS" w:hAnsi="Arial Unicode MS" w:eastAsia="Arial Unicode MS"/>
          <w:sz w:val="21"/>
        </w:rPr>
        <w:t>增加医院卡片和医生匹配依据。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WEB-005  </w:t>
      </w:r>
      <w:r>
        <w:rPr>
          <w:rFonts w:ascii="Arial Unicode MS" w:hAnsi="Arial Unicode MS" w:eastAsia="Arial Unicode MS"/>
          <w:sz w:val="21"/>
        </w:rPr>
        <w:t>增加 AI 生成内容显著标识。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WEB-006  </w:t>
      </w:r>
      <w:r>
        <w:rPr>
          <w:rFonts w:ascii="Arial Unicode MS" w:hAnsi="Arial Unicode MS" w:eastAsia="Arial Unicode MS"/>
          <w:sz w:val="21"/>
        </w:rPr>
        <w:t>增加证据不足、服务降级和高风险就医提示。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WEB-007  </w:t>
      </w:r>
      <w:r>
        <w:rPr>
          <w:rFonts w:ascii="Arial Unicode MS" w:hAnsi="Arial Unicode MS" w:eastAsia="Arial Unicode MS"/>
          <w:sz w:val="21"/>
        </w:rPr>
        <w:t>增加投诉、纠错和不满意反馈入口。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WEB-008  </w:t>
      </w:r>
      <w:r>
        <w:rPr>
          <w:rFonts w:ascii="Arial Unicode MS" w:hAnsi="Arial Unicode MS" w:eastAsia="Arial Unicode MS"/>
          <w:sz w:val="21"/>
        </w:rPr>
        <w:t>建设知识库、医院医生、审核和失败任务管理页面。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WEB-009  </w:t>
      </w:r>
      <w:r>
        <w:rPr>
          <w:rFonts w:ascii="Arial Unicode MS" w:hAnsi="Arial Unicode MS" w:eastAsia="Arial Unicode MS"/>
          <w:sz w:val="21"/>
        </w:rPr>
        <w:t>验证移动端、断线重连和重复提交。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WEB-010  </w:t>
      </w:r>
      <w:r>
        <w:rPr>
          <w:rFonts w:ascii="Arial Unicode MS" w:hAnsi="Arial Unicode MS" w:eastAsia="Arial Unicode MS"/>
          <w:sz w:val="21"/>
        </w:rPr>
        <w:t>保持现有家庭成员切换与隔离行为。</w:t>
      </w:r>
    </w:p>
    <w:p>
      <w:pPr>
        <w:spacing w:before="100" w:after="160" w:line="283" w:lineRule="auto"/>
        <w:ind w:left="173" w:right="115"/>
        <w:shd w:fill="EDF7F1"/>
        <w:pBdr>
          <w:left w:val="single" w:sz="18" w:space="8" w:color="276749"/>
        </w:pBdr>
      </w:pPr>
      <w:r>
        <w:rPr>
          <w:rFonts w:ascii="Arial Unicode MS" w:hAnsi="Arial Unicode MS" w:eastAsia="Arial Unicode MS"/>
          <w:b/>
          <w:color w:val="276749"/>
          <w:sz w:val="21"/>
        </w:rPr>
        <w:t xml:space="preserve">退出门禁  </w:t>
      </w:r>
      <w:r>
        <w:rPr>
          <w:rFonts w:ascii="Arial Unicode MS" w:hAnsi="Arial Unicode MS" w:eastAsia="Arial Unicode MS"/>
          <w:color w:val="0B2545"/>
          <w:sz w:val="21"/>
        </w:rPr>
        <w:t>用户能够查看来源、确认动作、理解失败；管理员能够审核、发布、撤回和重建。</w:t>
      </w:r>
    </w:p>
    <w:p>
      <w:pPr>
        <w:pStyle w:val="Heading2"/>
      </w:pPr>
      <w:r>
        <w:t>6.9 阶段 8：测试、安全与发布</w:t>
      </w:r>
    </w:p>
    <w:p>
      <w:pPr>
        <w:spacing w:before="100" w:after="160" w:line="283" w:lineRule="auto"/>
        <w:ind w:left="173" w:right="115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阶段目标  </w:t>
      </w:r>
      <w:r>
        <w:rPr>
          <w:rFonts w:ascii="Arial Unicode MS" w:hAnsi="Arial Unicode MS" w:eastAsia="Arial Unicode MS"/>
          <w:color w:val="0B2545"/>
          <w:sz w:val="21"/>
        </w:rPr>
        <w:t>以可量化质量、安全、性能、恢复和合规门禁替代主观上线判断。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REL-001  </w:t>
      </w:r>
      <w:r>
        <w:rPr>
          <w:rFonts w:ascii="Arial Unicode MS" w:hAnsi="Arial Unicode MS" w:eastAsia="Arial Unicode MS"/>
          <w:sz w:val="21"/>
        </w:rPr>
        <w:t>单元测试覆盖解析、切片、权限、排序、参数校验和状态机。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REL-002  </w:t>
      </w:r>
      <w:r>
        <w:rPr>
          <w:rFonts w:ascii="Arial Unicode MS" w:hAnsi="Arial Unicode MS" w:eastAsia="Arial Unicode MS"/>
          <w:sz w:val="21"/>
        </w:rPr>
        <w:t>使用 Testcontainers 验证 MySQL、pgvector、Redis 和 MinIO。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REL-003  </w:t>
      </w:r>
      <w:r>
        <w:rPr>
          <w:rFonts w:ascii="Arial Unicode MS" w:hAnsi="Arial Unicode MS" w:eastAsia="Arial Unicode MS"/>
          <w:sz w:val="21"/>
        </w:rPr>
        <w:t>300 条黄金问题的 Recall@10 不低于 85%。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REL-004  </w:t>
      </w:r>
      <w:r>
        <w:rPr>
          <w:rFonts w:ascii="Arial Unicode MS" w:hAnsi="Arial Unicode MS" w:eastAsia="Arial Unicode MS"/>
          <w:sz w:val="21"/>
        </w:rPr>
        <w:t>人工评审引用正确率不低于 95%。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REL-005  </w:t>
      </w:r>
      <w:r>
        <w:rPr>
          <w:rFonts w:ascii="Arial Unicode MS" w:hAnsi="Arial Unicode MS" w:eastAsia="Arial Unicode MS"/>
          <w:sz w:val="21"/>
        </w:rPr>
        <w:t>无证据问题正确拒答率不低于 90%。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REL-006  </w:t>
      </w:r>
      <w:r>
        <w:rPr>
          <w:rFonts w:ascii="Arial Unicode MS" w:hAnsi="Arial Unicode MS" w:eastAsia="Arial Unicode MS"/>
          <w:sz w:val="21"/>
        </w:rPr>
        <w:t>工具选择与参数正确率不低于 95%。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REL-007  </w:t>
      </w:r>
      <w:r>
        <w:rPr>
          <w:rFonts w:ascii="Arial Unicode MS" w:hAnsi="Arial Unicode MS" w:eastAsia="Arial Unicode MS"/>
          <w:sz w:val="21"/>
        </w:rPr>
        <w:t>未授权读取和未确认写入必须 100% 拦截。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REL-008  </w:t>
      </w:r>
      <w:r>
        <w:rPr>
          <w:rFonts w:ascii="Arial Unicode MS" w:hAnsi="Arial Unicode MS" w:eastAsia="Arial Unicode MS"/>
          <w:sz w:val="21"/>
        </w:rPr>
        <w:t>医生排序复算一致率必须为 100%。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REL-009  </w:t>
      </w:r>
      <w:r>
        <w:rPr>
          <w:rFonts w:ascii="Arial Unicode MS" w:hAnsi="Arial Unicode MS" w:eastAsia="Arial Unicode MS"/>
          <w:sz w:val="21"/>
        </w:rPr>
        <w:t>执行恶意文档、间接提示词注入和数据外泄红队测试。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REL-010  </w:t>
      </w:r>
      <w:r>
        <w:rPr>
          <w:rFonts w:ascii="Arial Unicode MS" w:hAnsi="Arial Unicode MS" w:eastAsia="Arial Unicode MS"/>
          <w:sz w:val="21"/>
        </w:rPr>
        <w:t>执行 80 并发 SSE 和 2 百万向量压测。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REL-011  </w:t>
      </w:r>
      <w:r>
        <w:rPr>
          <w:rFonts w:ascii="Arial Unicode MS" w:hAnsi="Arial Unicode MS" w:eastAsia="Arial Unicode MS"/>
          <w:sz w:val="21"/>
        </w:rPr>
        <w:t>执行数据库恢复、向量重建和 MinIO 恢复演练。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REL-012  </w:t>
      </w:r>
      <w:r>
        <w:rPr>
          <w:rFonts w:ascii="Arial Unicode MS" w:hAnsi="Arial Unicode MS" w:eastAsia="Arial Unicode MS"/>
          <w:sz w:val="21"/>
        </w:rPr>
        <w:t>监控检索耗时、零结果率、引用率、工具失败率、Token 和成本。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REL-013  </w:t>
      </w:r>
      <w:r>
        <w:rPr>
          <w:rFonts w:ascii="Arial Unicode MS" w:hAnsi="Arial Unicode MS" w:eastAsia="Arial Unicode MS"/>
          <w:sz w:val="21"/>
        </w:rPr>
        <w:t>链路追踪默认不记录提示词、病历正文或工具参数。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REL-014  </w:t>
      </w:r>
      <w:r>
        <w:rPr>
          <w:rFonts w:ascii="Arial Unicode MS" w:hAnsi="Arial Unicode MS" w:eastAsia="Arial Unicode MS"/>
          <w:sz w:val="21"/>
        </w:rPr>
        <w:t>建立模型故障、知识污染、错误资料和隐私事件预案。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REL-015  </w:t>
      </w:r>
      <w:r>
        <w:rPr>
          <w:rFonts w:ascii="Arial Unicode MS" w:hAnsi="Arial Unicode MS" w:eastAsia="Arial Unicode MS"/>
          <w:sz w:val="21"/>
        </w:rPr>
        <w:t>完成隐私政策、同意、删除流程和第三方模型处理审查。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REL-016  </w:t>
      </w:r>
      <w:r>
        <w:rPr>
          <w:rFonts w:ascii="Arial Unicode MS" w:hAnsi="Arial Unicode MS" w:eastAsia="Arial Unicode MS"/>
          <w:sz w:val="21"/>
        </w:rPr>
        <w:t>医学审核人员完成上线抽查并签字。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REL-017  </w:t>
      </w:r>
      <w:r>
        <w:rPr>
          <w:rFonts w:ascii="Arial Unicode MS" w:hAnsi="Arial Unicode MS" w:eastAsia="Arial Unicode MS"/>
          <w:sz w:val="21"/>
        </w:rPr>
        <w:t>依次完成内部、5%、25% 和 100% 灰度。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REL-018  </w:t>
      </w:r>
      <w:r>
        <w:rPr>
          <w:rFonts w:ascii="Arial Unicode MS" w:hAnsi="Arial Unicode MS" w:eastAsia="Arial Unicode MS"/>
          <w:sz w:val="21"/>
        </w:rPr>
        <w:t>保留 RAG、工具和医生推荐独立功能开关。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REL-019  </w:t>
      </w:r>
      <w:r>
        <w:rPr>
          <w:rFonts w:ascii="Arial Unicode MS" w:hAnsi="Arial Unicode MS" w:eastAsia="Arial Unicode MS"/>
          <w:sz w:val="21"/>
        </w:rPr>
        <w:t>严重越权、安全事件或错误写入立即关闭相关功能。</w:t>
      </w:r>
    </w:p>
    <w:p>
      <w:pPr>
        <w:pStyle w:val="ChecklistItem"/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F4D78"/>
          <w:sz w:val="20"/>
        </w:rPr>
        <w:t xml:space="preserve">REL-020  </w:t>
      </w:r>
      <w:r>
        <w:rPr>
          <w:rFonts w:ascii="Arial Unicode MS" w:hAnsi="Arial Unicode MS" w:eastAsia="Arial Unicode MS"/>
          <w:sz w:val="21"/>
        </w:rPr>
        <w:t>全量上线稳定 7 天后结束发布观察期。</w:t>
      </w:r>
    </w:p>
    <w:p>
      <w:pPr>
        <w:spacing w:before="100" w:after="160" w:line="283" w:lineRule="auto"/>
        <w:ind w:left="173" w:right="115"/>
        <w:shd w:fill="EDF7F1"/>
        <w:pBdr>
          <w:left w:val="single" w:sz="18" w:space="8" w:color="276749"/>
        </w:pBdr>
      </w:pPr>
      <w:r>
        <w:rPr>
          <w:rFonts w:ascii="Arial Unicode MS" w:hAnsi="Arial Unicode MS" w:eastAsia="Arial Unicode MS"/>
          <w:b/>
          <w:color w:val="276749"/>
          <w:sz w:val="21"/>
        </w:rPr>
        <w:t xml:space="preserve">退出门禁  </w:t>
      </w:r>
      <w:r>
        <w:rPr>
          <w:rFonts w:ascii="Arial Unicode MS" w:hAnsi="Arial Unicode MS" w:eastAsia="Arial Unicode MS"/>
          <w:color w:val="0B2545"/>
          <w:sz w:val="21"/>
        </w:rPr>
        <w:t>所有质量、安全、性能、恢复、医学审核和合规门禁通过；不存在开放高风险项。</w:t>
      </w:r>
    </w:p>
    <w:p>
      <w:pPr>
        <w:pStyle w:val="Heading1"/>
      </w:pPr>
      <w:r>
        <w:t>7. 数据模型与接口清单</w:t>
      </w:r>
    </w:p>
    <w:p>
      <w:pPr>
        <w:pStyle w:val="Heading2"/>
      </w:pPr>
      <w:r>
        <w:t>7.1 RAG PostgreSQL（独立数据库）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表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31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knowledge_bases</w:t>
            </w:r>
          </w:p>
        </w:tc>
        <w:tc>
          <w:tcPr>
            <w:tcW w:type="dxa" w:w="62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知识库定义、范围和状态</w:t>
            </w:r>
          </w:p>
        </w:tc>
      </w:tr>
      <w:tr>
        <w:tc>
          <w:tcPr>
            <w:tcW w:type="dxa" w:w="31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knowledge_sources</w:t>
            </w:r>
          </w:p>
        </w:tc>
        <w:tc>
          <w:tcPr>
            <w:tcW w:type="dxa" w:w="62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来源、授权、可信等级和同步策略</w:t>
            </w:r>
          </w:p>
        </w:tc>
      </w:tr>
      <w:tr>
        <w:tc>
          <w:tcPr>
            <w:tcW w:type="dxa" w:w="31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knowledge_documents</w:t>
            </w:r>
          </w:p>
        </w:tc>
        <w:tc>
          <w:tcPr>
            <w:tcW w:type="dxa" w:w="62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文档主记录、范围、所有者和当前版本</w:t>
            </w:r>
          </w:p>
        </w:tc>
      </w:tr>
      <w:tr>
        <w:tc>
          <w:tcPr>
            <w:tcW w:type="dxa" w:w="31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knowledge_document_versions</w:t>
            </w:r>
          </w:p>
        </w:tc>
        <w:tc>
          <w:tcPr>
            <w:tcW w:type="dxa" w:w="62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版本、校验和、状态、有效期和审核信息</w:t>
            </w:r>
          </w:p>
        </w:tc>
      </w:tr>
      <w:tr>
        <w:tc>
          <w:tcPr>
            <w:tcW w:type="dxa" w:w="31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knowledge_chunks</w:t>
            </w:r>
          </w:p>
        </w:tc>
        <w:tc>
          <w:tcPr>
            <w:tcW w:type="dxa" w:w="62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正文、页码、元数据和 1024 维向量</w:t>
            </w:r>
          </w:p>
        </w:tc>
      </w:tr>
      <w:tr>
        <w:tc>
          <w:tcPr>
            <w:tcW w:type="dxa" w:w="31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ingestion_jobs</w:t>
            </w:r>
          </w:p>
        </w:tc>
        <w:tc>
          <w:tcPr>
            <w:tcW w:type="dxa" w:w="62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入库、重建、删除任务和失败原因</w:t>
            </w:r>
          </w:p>
        </w:tc>
      </w:tr>
      <w:tr>
        <w:tc>
          <w:tcPr>
            <w:tcW w:type="dxa" w:w="31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hospitals / departments</w:t>
            </w:r>
          </w:p>
        </w:tc>
        <w:tc>
          <w:tcPr>
            <w:tcW w:type="dxa" w:w="62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天津医院、院区和标准科室</w:t>
            </w:r>
          </w:p>
        </w:tc>
      </w:tr>
      <w:tr>
        <w:tc>
          <w:tcPr>
            <w:tcW w:type="dxa" w:w="31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doctors / doctor_departments</w:t>
            </w:r>
          </w:p>
        </w:tc>
        <w:tc>
          <w:tcPr>
            <w:tcW w:type="dxa" w:w="62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医生、职称、科室、来源和验证时间</w:t>
            </w:r>
          </w:p>
        </w:tc>
      </w:tr>
      <w:tr>
        <w:tc>
          <w:tcPr>
            <w:tcW w:type="dxa" w:w="31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source_sync_batches</w:t>
            </w:r>
          </w:p>
        </w:tc>
        <w:tc>
          <w:tcPr>
            <w:tcW w:type="dxa" w:w="62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外部数据同步批次和差异</w:t>
            </w:r>
          </w:p>
        </w:tc>
      </w:tr>
      <w:tr>
        <w:tc>
          <w:tcPr>
            <w:tcW w:type="dxa" w:w="31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retrieval_evaluations</w:t>
            </w:r>
          </w:p>
        </w:tc>
        <w:tc>
          <w:tcPr>
            <w:tcW w:type="dxa" w:w="62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检索评测、反馈和配置版本</w:t>
            </w:r>
          </w:p>
        </w:tc>
      </w:tr>
    </w:tbl>
    <w:p>
      <w:pPr>
        <w:spacing w:after="40"/>
      </w:pPr>
    </w:p>
    <w:p>
      <w:pPr>
        <w:pStyle w:val="Heading2"/>
      </w:pPr>
      <w:r>
        <w:t>7.2 康伴 MySQL 新增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表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31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chat_message_citations</w:t>
            </w:r>
          </w:p>
        </w:tc>
        <w:tc>
          <w:tcPr>
            <w:tcW w:type="dxa" w:w="62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保存回答引用及来源版本</w:t>
            </w:r>
          </w:p>
        </w:tc>
      </w:tr>
      <w:tr>
        <w:tc>
          <w:tcPr>
            <w:tcW w:type="dxa" w:w="31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agent_actions</w:t>
            </w:r>
          </w:p>
        </w:tc>
        <w:tc>
          <w:tcPr>
            <w:tcW w:type="dxa" w:w="62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动作草案、确认、执行、幂等和结果</w:t>
            </w:r>
          </w:p>
        </w:tc>
      </w:tr>
      <w:tr>
        <w:tc>
          <w:tcPr>
            <w:tcW w:type="dxa" w:w="31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agent_outbox_events</w:t>
            </w:r>
          </w:p>
        </w:tc>
        <w:tc>
          <w:tcPr>
            <w:tcW w:type="dxa" w:w="62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病历、删除和权限变化的可靠事件</w:t>
            </w:r>
          </w:p>
        </w:tc>
      </w:tr>
      <w:tr>
        <w:tc>
          <w:tcPr>
            <w:tcW w:type="dxa" w:w="31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agent_consent_records</w:t>
            </w:r>
          </w:p>
        </w:tc>
        <w:tc>
          <w:tcPr>
            <w:tcW w:type="dxa" w:w="62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家庭知识处理同意、撤回和版本</w:t>
            </w:r>
          </w:p>
        </w:tc>
      </w:tr>
    </w:tbl>
    <w:p>
      <w:pPr>
        <w:spacing w:after="40"/>
      </w:pPr>
    </w:p>
    <w:p>
      <w:pPr>
        <w:pStyle w:val="Heading2"/>
      </w:pPr>
      <w:r>
        <w:t>7.3 最小接口集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400"/>
        <w:gridCol w:w="4140"/>
        <w:gridCol w:w="382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作用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公开</w:t>
            </w:r>
          </w:p>
        </w:tc>
        <w:tc>
          <w:tcPr>
            <w:tcW w:type="dxa" w:w="414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POST /consultation/sessions/{id}/messages</w:t>
            </w:r>
          </w:p>
        </w:tc>
        <w:tc>
          <w:tcPr>
            <w:tcW w:type="dxa" w:w="382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保存用户消息，保持现有契约</w:t>
            </w:r>
          </w:p>
        </w:tc>
      </w:tr>
      <w:tr>
        <w:tc>
          <w:tcPr>
            <w:tcW w:type="dxa" w:w="14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公开 SSE</w:t>
            </w:r>
          </w:p>
        </w:tc>
        <w:tc>
          <w:tcPr>
            <w:tcW w:type="dxa" w:w="414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GET /consultation/sessions/{id}/stream</w:t>
            </w:r>
          </w:p>
        </w:tc>
        <w:tc>
          <w:tcPr>
            <w:tcW w:type="dxa" w:w="382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输出状态、Token、引用、动作和完成事件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公开</w:t>
            </w:r>
          </w:p>
        </w:tc>
        <w:tc>
          <w:tcPr>
            <w:tcW w:type="dxa" w:w="414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POST /consultation/actions/{id}/confirm</w:t>
            </w:r>
          </w:p>
        </w:tc>
        <w:tc>
          <w:tcPr>
            <w:tcW w:type="dxa" w:w="382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确认并执行动作</w:t>
            </w:r>
          </w:p>
        </w:tc>
      </w:tr>
      <w:tr>
        <w:tc>
          <w:tcPr>
            <w:tcW w:type="dxa" w:w="14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公开</w:t>
            </w:r>
          </w:p>
        </w:tc>
        <w:tc>
          <w:tcPr>
            <w:tcW w:type="dxa" w:w="414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POST /consultation/actions/{id}/cancel</w:t>
            </w:r>
          </w:p>
        </w:tc>
        <w:tc>
          <w:tcPr>
            <w:tcW w:type="dxa" w:w="382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取消待确认动作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管理</w:t>
            </w:r>
          </w:p>
        </w:tc>
        <w:tc>
          <w:tcPr>
            <w:tcW w:type="dxa" w:w="414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/admin/knowledge/**</w:t>
            </w:r>
          </w:p>
        </w:tc>
        <w:tc>
          <w:tcPr>
            <w:tcW w:type="dxa" w:w="382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上传、审核、发布、撤回、重建和任务查询</w:t>
            </w:r>
          </w:p>
        </w:tc>
      </w:tr>
      <w:tr>
        <w:tc>
          <w:tcPr>
            <w:tcW w:type="dxa" w:w="14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管理</w:t>
            </w:r>
          </w:p>
        </w:tc>
        <w:tc>
          <w:tcPr>
            <w:tcW w:type="dxa" w:w="414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/admin/provider-directory/**</w:t>
            </w:r>
          </w:p>
        </w:tc>
        <w:tc>
          <w:tcPr>
            <w:tcW w:type="dxa" w:w="382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天津医院医生导入、审核和纠错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内部 Java</w:t>
            </w:r>
          </w:p>
        </w:tc>
        <w:tc>
          <w:tcPr>
            <w:tcW w:type="dxa" w:w="414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KangbanMedicalAgent.run(AgentRequest)</w:t>
            </w:r>
          </w:p>
        </w:tc>
        <w:tc>
          <w:tcPr>
            <w:tcW w:type="dxa" w:w="382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由 ConsultationService 启动内置 Agent 并接收事件流</w:t>
            </w:r>
          </w:p>
        </w:tc>
      </w:tr>
      <w:tr>
        <w:tc>
          <w:tcPr>
            <w:tcW w:type="dxa" w:w="14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内部 Java</w:t>
            </w:r>
          </w:p>
        </w:tc>
        <w:tc>
          <w:tcPr>
            <w:tcW w:type="dxa" w:w="414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PatientContextTool.load(AgentExecutionContext)</w:t>
            </w:r>
          </w:p>
        </w:tc>
        <w:tc>
          <w:tcPr>
            <w:tcW w:type="dxa" w:w="382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按服务端授权上下文读取患者数据</w:t>
            </w:r>
          </w:p>
        </w:tc>
      </w:tr>
      <w:tr>
        <w:tc>
          <w:tcPr>
            <w:tcW w:type="dxa" w:w="14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内部 Java</w:t>
            </w:r>
          </w:p>
        </w:tc>
        <w:tc>
          <w:tcPr>
            <w:tcW w:type="dxa" w:w="414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DrugInteractionTool.check(AgentExecutionContext, request)</w:t>
            </w:r>
          </w:p>
        </w:tc>
        <w:tc>
          <w:tcPr>
            <w:tcW w:type="dxa" w:w="382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7"/>
              </w:rPr>
              <w:t>调用现有规则 Service 执行药物相互作用检查</w:t>
            </w:r>
          </w:p>
        </w:tc>
      </w:tr>
    </w:tbl>
    <w:p>
      <w:pPr>
        <w:spacing w:after="40"/>
      </w:pPr>
    </w:p>
    <w:p>
      <w:pPr>
        <w:pStyle w:val="Heading1"/>
      </w:pPr>
      <w:r>
        <w:t>8. Agent 工具与动作状态机</w:t>
      </w:r>
    </w:p>
    <w:p>
      <w:pPr>
        <w:pStyle w:val="Heading2"/>
      </w:pPr>
      <w:r>
        <w:t>8.1 读取工具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get_patient_health_context：读取授权对象的结构化患者信息。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get_health_trends：读取健康趋势，不进行向量召回。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get_medications：读取当前有效用药和提醒。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check_drug_interactions：复用现有规则服务。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search_public_medical_knowledge：检索已发布公共知识。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search_family_medical_documents：检索本次授权范围内的家庭资料。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search_hospitals：查询天津医院结构化目录。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recommend_doctors：执行确定性匹配和排序。</w:t>
      </w:r>
    </w:p>
    <w:p>
      <w:pPr>
        <w:pStyle w:val="Heading2"/>
      </w:pPr>
      <w:r>
        <w:t>8.2 写入动作</w:t>
      </w:r>
    </w:p>
    <w:p>
      <w:pPr>
        <w:pStyle w:val="CodeBlock"/>
        <w:spacing w:before="80" w:after="200"/>
        <w:ind w:left="259" w:right="173"/>
        <w:shd w:fill="F2F4F7"/>
        <w:pBdr>
          <w:left w:val="single" w:sz="12" w:space="8" w:color="CCD5DF"/>
        </w:pBdr>
      </w:pPr>
      <w:r>
        <w:rPr>
          <w:rFonts w:ascii="Arial Unicode MS" w:hAnsi="Arial Unicode MS" w:eastAsia="Arial Unicode MS"/>
          <w:color w:val="0B2545"/>
          <w:sz w:val="18"/>
        </w:rPr>
        <w:t>DRAFT → PENDING_CONFIRMATION → CONFIRMED → EXECUTING → SUCCEEDED</w:t>
        <w:br/>
        <w:t xml:space="preserve">                                      └→ FAILED</w:t>
        <w:br/>
        <w:t>DRAFT / PENDING_CONFIRMATION → CANCELLED 或 EXPIRED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Agent 只产生结构化草案，不直接调用写入接口。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前端展示药品、剂量、频次、时间、对象或健康指标、数值、单位和记录时间。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用户点击确认后，kangban-server 重新校验身份、家庭权限、参数、有效期和幂等键。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执行结果由业务服务返回并落审计；模型不得自行声称成功。</w:t>
      </w:r>
    </w:p>
    <w:p>
      <w:pPr>
        <w:pStyle w:val="Heading1"/>
      </w:pPr>
      <w:r>
        <w:t>9. 安全、隐私与合规门禁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控制面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要求</w:t>
            </w:r>
          </w:p>
        </w:tc>
      </w:tr>
      <w:tr>
        <w:tc>
          <w:tcPr>
            <w:tcW w:type="dxa" w:w="22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身份与授权</w:t>
            </w:r>
          </w:p>
        </w:tc>
        <w:tc>
          <w:tcPr>
            <w:tcW w:type="dxa" w:w="71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AgentExecutionContext 仅由 kangban-server 根据登录态和家庭权限构造，不接受客户端传入 actor、subject 或 family scope。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最小权限</w:t>
            </w:r>
          </w:p>
        </w:tc>
        <w:tc>
          <w:tcPr>
            <w:tcW w:type="dxa" w:w="71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读取工具与写入动作分离；家庭健康新增和用药管理使用独立权限。</w:t>
            </w:r>
          </w:p>
        </w:tc>
      </w:tr>
      <w:tr>
        <w:tc>
          <w:tcPr>
            <w:tcW w:type="dxa" w:w="22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提示词注入</w:t>
            </w:r>
          </w:p>
        </w:tc>
        <w:tc>
          <w:tcPr>
            <w:tcW w:type="dxa" w:w="71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把检索文档视为不可信数据，隔离指令与内容，执行恶意文档红队测试。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敏感日志</w:t>
            </w:r>
          </w:p>
        </w:tc>
        <w:tc>
          <w:tcPr>
            <w:tcW w:type="dxa" w:w="71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日志仅记录 ID、状态、耗时和计数，不记录病历、完整问题、Chunk 或密钥。</w:t>
            </w:r>
          </w:p>
        </w:tc>
      </w:tr>
      <w:tr>
        <w:tc>
          <w:tcPr>
            <w:tcW w:type="dxa" w:w="22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模型处理</w:t>
            </w:r>
          </w:p>
        </w:tc>
        <w:tc>
          <w:tcPr>
            <w:tcW w:type="dxa" w:w="71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确认第三方处理目的、地域、保留和删除；不满足时切换私有 Embedding。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删除与撤权</w:t>
            </w:r>
          </w:p>
        </w:tc>
        <w:tc>
          <w:tcPr>
            <w:tcW w:type="dxa" w:w="71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授权实时校验；墓碑先行；物理删除可追踪并有完成证明。</w:t>
            </w:r>
          </w:p>
        </w:tc>
      </w:tr>
      <w:tr>
        <w:tc>
          <w:tcPr>
            <w:tcW w:type="dxa" w:w="22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内容治理</w:t>
            </w:r>
          </w:p>
        </w:tc>
        <w:tc>
          <w:tcPr>
            <w:tcW w:type="dxa" w:w="71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显示 AI 生成标识，提供投诉、举报、纠错和人工处置流程。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医疗边界</w:t>
            </w:r>
          </w:p>
        </w:tc>
        <w:tc>
          <w:tcPr>
            <w:tcW w:type="dxa" w:w="71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不自动诊断或处方；高风险描述优先建议线下及时就医。</w:t>
            </w:r>
          </w:p>
        </w:tc>
      </w:tr>
      <w:tr>
        <w:tc>
          <w:tcPr>
            <w:tcW w:type="dxa" w:w="22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上线合规</w:t>
            </w:r>
          </w:p>
        </w:tc>
        <w:tc>
          <w:tcPr>
            <w:tcW w:type="dxa" w:w="71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由医学、隐私、安全和法律负责人完成适用性审核并签字。</w:t>
            </w:r>
          </w:p>
        </w:tc>
      </w:tr>
    </w:tbl>
    <w:p>
      <w:pPr>
        <w:spacing w:after="40"/>
      </w:pPr>
    </w:p>
    <w:p>
      <w:pPr>
        <w:spacing w:before="100" w:after="160" w:line="283" w:lineRule="auto"/>
        <w:ind w:left="173" w:right="115"/>
        <w:shd w:fill="FDECEC"/>
        <w:pBdr>
          <w:left w:val="single" w:sz="18" w:space="8" w:color="9B1C1C"/>
        </w:pBdr>
      </w:pPr>
      <w:r>
        <w:rPr>
          <w:rFonts w:ascii="Arial Unicode MS" w:hAnsi="Arial Unicode MS" w:eastAsia="Arial Unicode MS"/>
          <w:b/>
          <w:color w:val="9B1C1C"/>
          <w:sz w:val="21"/>
        </w:rPr>
        <w:t xml:space="preserve">硬性门禁  </w:t>
      </w:r>
      <w:r>
        <w:rPr>
          <w:rFonts w:ascii="Arial Unicode MS" w:hAnsi="Arial Unicode MS" w:eastAsia="Arial Unicode MS"/>
          <w:color w:val="0B2545"/>
          <w:sz w:val="21"/>
        </w:rPr>
        <w:t>任何跨家庭泄漏、未确认写入、伪造引用、错误声称写入成功或自动生成处方均为阻断上线的问题。</w:t>
      </w:r>
    </w:p>
    <w:p>
      <w:pPr>
        <w:pStyle w:val="Heading1"/>
      </w:pPr>
      <w:r>
        <w:t>10. 测试矩阵与发布策略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测试层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最低覆盖</w:t>
            </w:r>
          </w:p>
        </w:tc>
      </w:tr>
      <w:tr>
        <w:tc>
          <w:tcPr>
            <w:tcW w:type="dxa" w:w="22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单元</w:t>
            </w:r>
          </w:p>
        </w:tc>
        <w:tc>
          <w:tcPr>
            <w:tcW w:type="dxa" w:w="71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解析、切片、权限表达式、排序、参数和值域、状态机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集成</w:t>
            </w:r>
          </w:p>
        </w:tc>
        <w:tc>
          <w:tcPr>
            <w:tcW w:type="dxa" w:w="71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MySQL、pgvector、Redis、MinIO、OCR、模型和内部签名</w:t>
            </w:r>
          </w:p>
        </w:tc>
      </w:tr>
      <w:tr>
        <w:tc>
          <w:tcPr>
            <w:tcW w:type="dxa" w:w="22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RAG 评测</w:t>
            </w:r>
          </w:p>
        </w:tc>
        <w:tc>
          <w:tcPr>
            <w:tcW w:type="dxa" w:w="71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300 条黄金问题；Recall@10 ≥ 85%；引用正确率 ≥ 95%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Agent 评测</w:t>
            </w:r>
          </w:p>
        </w:tc>
        <w:tc>
          <w:tcPr>
            <w:tcW w:type="dxa" w:w="71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100 条工具用例；选择与参数正确率 ≥ 95%</w:t>
            </w:r>
          </w:p>
        </w:tc>
      </w:tr>
      <w:tr>
        <w:tc>
          <w:tcPr>
            <w:tcW w:type="dxa" w:w="22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安全</w:t>
            </w:r>
          </w:p>
        </w:tc>
        <w:tc>
          <w:tcPr>
            <w:tcW w:type="dxa" w:w="71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跨家庭、撤权、缓存、提示注入、文档投毒和数据外泄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性能</w:t>
            </w:r>
          </w:p>
        </w:tc>
        <w:tc>
          <w:tcPr>
            <w:tcW w:type="dxa" w:w="71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80 并发 SSE、2 百万向量、入库和重建压测</w:t>
            </w:r>
          </w:p>
        </w:tc>
      </w:tr>
      <w:tr>
        <w:tc>
          <w:tcPr>
            <w:tcW w:type="dxa" w:w="22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恢复</w:t>
            </w:r>
          </w:p>
        </w:tc>
        <w:tc>
          <w:tcPr>
            <w:tcW w:type="dxa" w:w="71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PostgreSQL、MinIO、MySQL Outbox 和索引重建演练</w:t>
            </w:r>
          </w:p>
        </w:tc>
      </w:tr>
      <w:tr>
        <w:tc>
          <w:tcPr>
            <w:tcW w:type="dxa" w:w="22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医学审核</w:t>
            </w:r>
          </w:p>
        </w:tc>
        <w:tc>
          <w:tcPr>
            <w:tcW w:type="dxa" w:w="71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医学内容、急症提示、拒答、证据冲突和药物场景抽查</w:t>
            </w:r>
          </w:p>
        </w:tc>
      </w:tr>
    </w:tbl>
    <w:p>
      <w:pPr>
        <w:spacing w:after="40"/>
      </w:pPr>
    </w:p>
    <w:p>
      <w:pPr>
        <w:pStyle w:val="Heading2"/>
      </w:pPr>
      <w:r>
        <w:t>10.1 灰度与回滚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内部测试环境稳定后进入预发布，使用脱敏或合成数据。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生产按 5%、25%、100% 用户比例灰度，每阶段观察错误、安全、引用和写入指标。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保留 rag.enabled、agent.tools.enabled 和 doctor.recommendation.enabled 独立开关。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严重越权、安全事件、错误写入或大面积引用异常立即关闭对应功能。</w:t>
      </w:r>
    </w:p>
    <w:p>
      <w:pPr>
        <w:pStyle w:val="BulletCompact"/>
        <w:numPr>
          <w:ilvl w:val="0"/>
          <w:numId w:val="11"/>
        </w:numPr>
      </w:pPr>
      <w:r>
        <w:rPr>
          <w:rFonts w:ascii="Arial Unicode MS" w:hAnsi="Arial Unicode MS" w:eastAsia="Arial Unicode MS"/>
          <w:sz w:val="21"/>
        </w:rPr>
        <w:t>全量稳定 7 天后才能结束发布观察期。</w:t>
      </w:r>
    </w:p>
    <w:p>
      <w:pPr>
        <w:pStyle w:val="Heading1"/>
      </w:pPr>
      <w:r>
        <w:t>11. 排期、团队与里程碑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4300"/>
        <w:gridCol w:w="1700"/>
        <w:gridCol w:w="3360"/>
      </w:tblGrid>
      <w:tr>
        <w:trPr>
          <w:tblHeader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工作包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周期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主要参与者</w:t>
            </w:r>
          </w:p>
        </w:tc>
      </w:tr>
      <w:tr>
        <w:tc>
          <w:tcPr>
            <w:tcW w:type="dxa" w:w="43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产品边界、数据和接口设计</w:t>
            </w:r>
          </w:p>
        </w:tc>
        <w:tc>
          <w:tcPr>
            <w:tcW w:type="dxa" w:w="17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1～2 周</w:t>
            </w:r>
          </w:p>
        </w:tc>
        <w:tc>
          <w:tcPr>
            <w:tcW w:type="dxa" w:w="33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产品、后端、医学、合规</w:t>
            </w:r>
          </w:p>
        </w:tc>
      </w:tr>
      <w:tr>
        <w:tc>
          <w:tcPr>
            <w:tcW w:type="dxa" w:w="43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Agent 内置模块和 pgvector 基础设施</w:t>
            </w:r>
          </w:p>
        </w:tc>
        <w:tc>
          <w:tcPr>
            <w:tcW w:type="dxa" w:w="17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2 周</w:t>
            </w:r>
          </w:p>
        </w:tc>
        <w:tc>
          <w:tcPr>
            <w:tcW w:type="dxa" w:w="33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后端、DevOps</w:t>
            </w:r>
          </w:p>
        </w:tc>
      </w:tr>
      <w:tr>
        <w:tc>
          <w:tcPr>
            <w:tcW w:type="dxa" w:w="43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公共知识库和管理后台</w:t>
            </w:r>
          </w:p>
        </w:tc>
        <w:tc>
          <w:tcPr>
            <w:tcW w:type="dxa" w:w="17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3 周</w:t>
            </w:r>
          </w:p>
        </w:tc>
        <w:tc>
          <w:tcPr>
            <w:tcW w:type="dxa" w:w="33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后端、前端、医学审核</w:t>
            </w:r>
          </w:p>
        </w:tc>
      </w:tr>
      <w:tr>
        <w:tc>
          <w:tcPr>
            <w:tcW w:type="dxa" w:w="43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家庭私有 RAG</w:t>
            </w:r>
          </w:p>
        </w:tc>
        <w:tc>
          <w:tcPr>
            <w:tcW w:type="dxa" w:w="17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2 周</w:t>
            </w:r>
          </w:p>
        </w:tc>
        <w:tc>
          <w:tcPr>
            <w:tcW w:type="dxa" w:w="33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后端、安全、测试</w:t>
            </w:r>
          </w:p>
        </w:tc>
      </w:tr>
      <w:tr>
        <w:tc>
          <w:tcPr>
            <w:tcW w:type="dxa" w:w="43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Agent 编排与流式接口</w:t>
            </w:r>
          </w:p>
        </w:tc>
        <w:tc>
          <w:tcPr>
            <w:tcW w:type="dxa" w:w="17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2～3 周</w:t>
            </w:r>
          </w:p>
        </w:tc>
        <w:tc>
          <w:tcPr>
            <w:tcW w:type="dxa" w:w="33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后端、前端</w:t>
            </w:r>
          </w:p>
        </w:tc>
      </w:tr>
      <w:tr>
        <w:tc>
          <w:tcPr>
            <w:tcW w:type="dxa" w:w="43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业务工具和确认流程</w:t>
            </w:r>
          </w:p>
        </w:tc>
        <w:tc>
          <w:tcPr>
            <w:tcW w:type="dxa" w:w="17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2～3 周</w:t>
            </w:r>
          </w:p>
        </w:tc>
        <w:tc>
          <w:tcPr>
            <w:tcW w:type="dxa" w:w="33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后端、前端、测试</w:t>
            </w:r>
          </w:p>
        </w:tc>
      </w:tr>
      <w:tr>
        <w:tc>
          <w:tcPr>
            <w:tcW w:type="dxa" w:w="43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天津医院医生模块</w:t>
            </w:r>
          </w:p>
        </w:tc>
        <w:tc>
          <w:tcPr>
            <w:tcW w:type="dxa" w:w="17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2 周</w:t>
            </w:r>
          </w:p>
        </w:tc>
        <w:tc>
          <w:tcPr>
            <w:tcW w:type="dxa" w:w="33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后端、数据运营、前端</w:t>
            </w:r>
          </w:p>
        </w:tc>
      </w:tr>
      <w:tr>
        <w:tc>
          <w:tcPr>
            <w:tcW w:type="dxa" w:w="43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安全、评测、压测和灰度</w:t>
            </w:r>
          </w:p>
        </w:tc>
        <w:tc>
          <w:tcPr>
            <w:tcW w:type="dxa" w:w="17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3 周</w:t>
            </w:r>
          </w:p>
        </w:tc>
        <w:tc>
          <w:tcPr>
            <w:tcW w:type="dxa" w:w="33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测试、DevOps、医学、合规</w:t>
            </w:r>
          </w:p>
        </w:tc>
      </w:tr>
    </w:tbl>
    <w:p>
      <w:pPr>
        <w:spacing w:after="40"/>
      </w:pPr>
    </w:p>
    <w:p>
      <w:pPr>
        <w:spacing w:before="100" w:after="160" w:line="283" w:lineRule="auto"/>
        <w:ind w:left="173" w:right="115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资源假设  </w:t>
      </w:r>
      <w:r>
        <w:rPr>
          <w:rFonts w:ascii="Arial Unicode MS" w:hAnsi="Arial Unicode MS" w:eastAsia="Arial Unicode MS"/>
          <w:color w:val="0B2545"/>
          <w:sz w:val="21"/>
        </w:rPr>
        <w:t>2 名后端、1 名前端、1 名测试/运维共享，医学审核和合规兼职参与。并行后预计 14～18 周达到正式上线门槛；单人全栈实施约 28～36 周。</w:t>
      </w:r>
    </w:p>
    <w:p>
      <w:pPr>
        <w:pStyle w:val="Heading1"/>
      </w:pPr>
      <w:r>
        <w:t>12. 主要风险与控制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3000"/>
        <w:gridCol w:w="1100"/>
        <w:gridCol w:w="52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主要控制</w:t>
            </w:r>
          </w:p>
        </w:tc>
      </w:tr>
      <w:tr>
        <w:tc>
          <w:tcPr>
            <w:tcW w:type="dxa" w:w="30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医学资料错误或过期</w:t>
            </w:r>
          </w:p>
        </w:tc>
        <w:tc>
          <w:tcPr>
            <w:tcW w:type="dxa" w:w="11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高</w:t>
            </w:r>
          </w:p>
        </w:tc>
        <w:tc>
          <w:tcPr>
            <w:tcW w:type="dxa" w:w="52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可信等级、医学审核、有效期、版本和撤回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家庭数据越权</w:t>
            </w:r>
          </w:p>
        </w:tc>
        <w:tc>
          <w:tcPr>
            <w:tcW w:type="dxa" w:w="11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极高</w:t>
            </w:r>
          </w:p>
        </w:tc>
        <w:tc>
          <w:tcPr>
            <w:tcW w:type="dxa" w:w="52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实时授权、服务端上下文、检索前过滤、零泄漏测试</w:t>
            </w:r>
          </w:p>
        </w:tc>
      </w:tr>
      <w:tr>
        <w:tc>
          <w:tcPr>
            <w:tcW w:type="dxa" w:w="30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模型错误调用工具</w:t>
            </w:r>
          </w:p>
        </w:tc>
        <w:tc>
          <w:tcPr>
            <w:tcW w:type="dxa" w:w="11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高</w:t>
            </w:r>
          </w:p>
        </w:tc>
        <w:tc>
          <w:tcPr>
            <w:tcW w:type="dxa" w:w="52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确定性路由、参数校验、两阶段确认、幂等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RAG 投毒或间接提示注入</w:t>
            </w:r>
          </w:p>
        </w:tc>
        <w:tc>
          <w:tcPr>
            <w:tcW w:type="dxa" w:w="11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高</w:t>
            </w:r>
          </w:p>
        </w:tc>
        <w:tc>
          <w:tcPr>
            <w:tcW w:type="dxa" w:w="52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来源白名单、内容隔离、最小权限、红队测试</w:t>
            </w:r>
          </w:p>
        </w:tc>
      </w:tr>
      <w:tr>
        <w:tc>
          <w:tcPr>
            <w:tcW w:type="dxa" w:w="30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医生信息不准确</w:t>
            </w:r>
          </w:p>
        </w:tc>
        <w:tc>
          <w:tcPr>
            <w:tcW w:type="dxa" w:w="11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中高</w:t>
            </w:r>
          </w:p>
        </w:tc>
        <w:tc>
          <w:tcPr>
            <w:tcW w:type="dxa" w:w="52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官方来源、人工审核、30 天验证、纠错下架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外部模型不可用或变更</w:t>
            </w:r>
          </w:p>
        </w:tc>
        <w:tc>
          <w:tcPr>
            <w:tcW w:type="dxa" w:w="11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中高</w:t>
            </w:r>
          </w:p>
        </w:tc>
        <w:tc>
          <w:tcPr>
            <w:tcW w:type="dxa" w:w="52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Provider 接口、版本固定、熔断、备用模型</w:t>
            </w:r>
          </w:p>
        </w:tc>
      </w:tr>
      <w:tr>
        <w:tc>
          <w:tcPr>
            <w:tcW w:type="dxa" w:w="30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pgvector 性能不足</w:t>
            </w:r>
          </w:p>
        </w:tc>
        <w:tc>
          <w:tcPr>
            <w:tcW w:type="dxa" w:w="110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中</w:t>
            </w:r>
          </w:p>
        </w:tc>
        <w:tc>
          <w:tcPr>
            <w:tcW w:type="dxa" w:w="5260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HNSW 调优、负载测试、VectorStore 可替换</w:t>
            </w:r>
          </w:p>
        </w:tc>
      </w:tr>
      <w:tr>
        <w:tc>
          <w:tcPr>
            <w:tcW w:type="dxa" w:w="30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0B2545"/>
                <w:sz w:val="18"/>
              </w:rPr>
              <w:t>上线合规不完整</w:t>
            </w:r>
          </w:p>
        </w:tc>
        <w:tc>
          <w:tcPr>
            <w:tcW w:type="dxa" w:w="110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极高</w:t>
            </w:r>
          </w:p>
        </w:tc>
        <w:tc>
          <w:tcPr>
            <w:tcW w:type="dxa" w:w="5260"/>
            <w:shd w:fill="FAFBFC"/>
          </w:tcPr>
          <w:p>
            <w:pPr>
              <w:spacing w:before="0" w:after="2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0B2545"/>
                <w:sz w:val="18"/>
              </w:rPr>
              <w:t>隐私、安全、医疗和法律联合门禁</w:t>
            </w:r>
          </w:p>
        </w:tc>
      </w:tr>
    </w:tbl>
    <w:p>
      <w:pPr>
        <w:spacing w:after="40"/>
      </w:pPr>
    </w:p>
    <w:p>
      <w:pPr>
        <w:pStyle w:val="Heading1"/>
      </w:pPr>
      <w:r>
        <w:t>13. 参考来源</w:t>
      </w:r>
    </w:p>
    <w:p>
      <w:pPr>
        <w:pStyle w:val="SourceText"/>
      </w:pPr>
      <w:r>
        <w:rPr>
          <w:rFonts w:ascii="Arial Unicode MS" w:hAnsi="Arial Unicode MS" w:eastAsia="Arial Unicode MS"/>
          <w:b/>
          <w:color w:val="1F4D78"/>
          <w:sz w:val="19"/>
        </w:rPr>
        <w:t xml:space="preserve">1. </w:t>
      </w:r>
      <w:hyperlink r:id="rId12">
        <w:r>
          <w:rPr>
            <w:rFonts w:ascii="Arial Unicode MS" w:hAnsi="Arial Unicode MS" w:eastAsia="Arial Unicode MS"/>
            <w:color w:val="2E74B5"/>
            <w:u w:val="single"/>
          </w:rPr>
          <w:t>国家卫健委：《互联网诊疗监管细则（试行）》</w:t>
        </w:r>
      </w:hyperlink>
    </w:p>
    <w:p>
      <w:pPr>
        <w:pStyle w:val="SourceText"/>
      </w:pPr>
      <w:r>
        <w:rPr>
          <w:rFonts w:ascii="Arial Unicode MS" w:hAnsi="Arial Unicode MS" w:eastAsia="Arial Unicode MS"/>
          <w:b/>
          <w:color w:val="1F4D78"/>
          <w:sz w:val="19"/>
        </w:rPr>
        <w:t xml:space="preserve">2. </w:t>
      </w:r>
      <w:hyperlink r:id="rId13">
        <w:r>
          <w:rPr>
            <w:rFonts w:ascii="Arial Unicode MS" w:hAnsi="Arial Unicode MS" w:eastAsia="Arial Unicode MS"/>
            <w:color w:val="2E74B5"/>
            <w:u w:val="single"/>
          </w:rPr>
          <w:t>中国人大网：《中华人民共和国个人信息保护法》</w:t>
        </w:r>
      </w:hyperlink>
    </w:p>
    <w:p>
      <w:pPr>
        <w:pStyle w:val="SourceText"/>
      </w:pPr>
      <w:r>
        <w:rPr>
          <w:rFonts w:ascii="Arial Unicode MS" w:hAnsi="Arial Unicode MS" w:eastAsia="Arial Unicode MS"/>
          <w:b/>
          <w:color w:val="1F4D78"/>
          <w:sz w:val="19"/>
        </w:rPr>
        <w:t xml:space="preserve">3. </w:t>
      </w:r>
      <w:hyperlink r:id="rId14">
        <w:r>
          <w:rPr>
            <w:rFonts w:ascii="Arial Unicode MS" w:hAnsi="Arial Unicode MS" w:eastAsia="Arial Unicode MS"/>
            <w:color w:val="2E74B5"/>
            <w:u w:val="single"/>
          </w:rPr>
          <w:t>天津市卫健委：市属医院公开目录</w:t>
        </w:r>
      </w:hyperlink>
    </w:p>
    <w:p>
      <w:pPr>
        <w:pStyle w:val="SourceText"/>
      </w:pPr>
      <w:r>
        <w:rPr>
          <w:rFonts w:ascii="Arial Unicode MS" w:hAnsi="Arial Unicode MS" w:eastAsia="Arial Unicode MS"/>
          <w:b/>
          <w:color w:val="1F4D78"/>
          <w:sz w:val="19"/>
        </w:rPr>
        <w:t xml:space="preserve">4. </w:t>
      </w:r>
      <w:hyperlink r:id="rId15">
        <w:r>
          <w:rPr>
            <w:rFonts w:ascii="Arial Unicode MS" w:hAnsi="Arial Unicode MS" w:eastAsia="Arial Unicode MS"/>
            <w:color w:val="2E74B5"/>
            <w:u w:val="single"/>
          </w:rPr>
          <w:t>天津市医保局：定点医疗机构名录公告</w:t>
        </w:r>
      </w:hyperlink>
    </w:p>
    <w:p>
      <w:pPr>
        <w:pStyle w:val="SourceText"/>
      </w:pPr>
      <w:r>
        <w:rPr>
          <w:rFonts w:ascii="Arial Unicode MS" w:hAnsi="Arial Unicode MS" w:eastAsia="Arial Unicode MS"/>
          <w:b/>
          <w:color w:val="1F4D78"/>
          <w:sz w:val="19"/>
        </w:rPr>
        <w:t xml:space="preserve">5. </w:t>
      </w:r>
      <w:hyperlink r:id="rId16">
        <w:r>
          <w:rPr>
            <w:rFonts w:ascii="Arial Unicode MS" w:hAnsi="Arial Unicode MS" w:eastAsia="Arial Unicode MS"/>
            <w:color w:val="2E74B5"/>
            <w:u w:val="single"/>
          </w:rPr>
          <w:t>pgvector：Open-source vector similarity search for PostgreSQL</w:t>
        </w:r>
      </w:hyperlink>
    </w:p>
    <w:p>
      <w:pPr>
        <w:pStyle w:val="SourceText"/>
      </w:pPr>
      <w:r>
        <w:rPr>
          <w:rFonts w:ascii="Arial Unicode MS" w:hAnsi="Arial Unicode MS" w:eastAsia="Arial Unicode MS"/>
          <w:b/>
          <w:color w:val="1F4D78"/>
          <w:sz w:val="19"/>
        </w:rPr>
        <w:t xml:space="preserve">6. </w:t>
      </w:r>
      <w:hyperlink r:id="rId17">
        <w:r>
          <w:rPr>
            <w:rFonts w:ascii="Arial Unicode MS" w:hAnsi="Arial Unicode MS" w:eastAsia="Arial Unicode MS"/>
            <w:color w:val="2E74B5"/>
            <w:u w:val="single"/>
          </w:rPr>
          <w:t>阿里云百炼：向量与重排序模型</w:t>
        </w:r>
      </w:hyperlink>
    </w:p>
    <w:p>
      <w:pPr>
        <w:pStyle w:val="SourceText"/>
      </w:pPr>
      <w:r>
        <w:rPr>
          <w:rFonts w:ascii="Arial Unicode MS" w:hAnsi="Arial Unicode MS" w:eastAsia="Arial Unicode MS"/>
          <w:b/>
          <w:color w:val="1F4D78"/>
          <w:sz w:val="19"/>
        </w:rPr>
        <w:t xml:space="preserve">7. </w:t>
      </w:r>
      <w:hyperlink r:id="rId18">
        <w:r>
          <w:rPr>
            <w:rFonts w:ascii="Arial Unicode MS" w:hAnsi="Arial Unicode MS" w:eastAsia="Arial Unicode MS"/>
            <w:color w:val="2E74B5"/>
            <w:u w:val="single"/>
          </w:rPr>
          <w:t>BAAI：BGE-M3 模型说明</w:t>
        </w:r>
      </w:hyperlink>
    </w:p>
    <w:p>
      <w:pPr>
        <w:pStyle w:val="SourceText"/>
      </w:pPr>
      <w:r>
        <w:rPr>
          <w:rFonts w:ascii="Arial Unicode MS" w:hAnsi="Arial Unicode MS" w:eastAsia="Arial Unicode MS"/>
          <w:b/>
          <w:color w:val="1F4D78"/>
          <w:sz w:val="19"/>
        </w:rPr>
        <w:t xml:space="preserve">8. </w:t>
      </w:r>
      <w:hyperlink r:id="rId19">
        <w:r>
          <w:rPr>
            <w:rFonts w:ascii="Arial Unicode MS" w:hAnsi="Arial Unicode MS" w:eastAsia="Arial Unicode MS"/>
            <w:color w:val="2E74B5"/>
            <w:u w:val="single"/>
          </w:rPr>
          <w:t>OWASP：LLM Prompt Injection Prevention Cheat Sheet</w:t>
        </w:r>
      </w:hyperlink>
    </w:p>
    <w:p>
      <w:pPr>
        <w:pStyle w:val="SourceText"/>
      </w:pPr>
      <w:r>
        <w:rPr>
          <w:rFonts w:ascii="Arial Unicode MS" w:hAnsi="Arial Unicode MS" w:eastAsia="Arial Unicode MS"/>
          <w:b/>
          <w:color w:val="1F4D78"/>
          <w:sz w:val="19"/>
        </w:rPr>
        <w:t xml:space="preserve">9. </w:t>
      </w:r>
      <w:hyperlink r:id="rId20">
        <w:r>
          <w:rPr>
            <w:rFonts w:ascii="Arial Unicode MS" w:hAnsi="Arial Unicode MS" w:eastAsia="Arial Unicode MS"/>
            <w:color w:val="2E74B5"/>
            <w:u w:val="single"/>
          </w:rPr>
          <w:t>生成式人工智能服务管理暂行办法</w:t>
        </w:r>
      </w:hyperlink>
    </w:p>
    <w:p>
      <w:pPr>
        <w:pStyle w:val="SourceText"/>
      </w:pPr>
      <w:r>
        <w:rPr>
          <w:rFonts w:ascii="Arial Unicode MS" w:hAnsi="Arial Unicode MS" w:eastAsia="Arial Unicode MS"/>
          <w:b/>
          <w:color w:val="1F4D78"/>
          <w:sz w:val="19"/>
        </w:rPr>
        <w:t xml:space="preserve">10. </w:t>
      </w:r>
      <w:hyperlink r:id="rId21">
        <w:r>
          <w:rPr>
            <w:rFonts w:ascii="Arial Unicode MS" w:hAnsi="Arial Unicode MS" w:eastAsia="Arial Unicode MS"/>
            <w:color w:val="2E74B5"/>
            <w:u w:val="single"/>
          </w:rPr>
          <w:t>人工智能拟人化互动服务管理暂行办法</w:t>
        </w:r>
      </w:hyperlink>
    </w:p>
    <w:p>
      <w:pPr>
        <w:spacing w:before="100" w:after="160" w:line="283" w:lineRule="auto"/>
        <w:ind w:left="173" w:right="115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文档状态  </w:t>
      </w:r>
      <w:r>
        <w:rPr>
          <w:rFonts w:ascii="Arial Unicode MS" w:hAnsi="Arial Unicode MS" w:eastAsia="Arial Unicode MS"/>
          <w:color w:val="0B2545"/>
          <w:sz w:val="21"/>
        </w:rPr>
        <w:t>本文件是实施基线。实际开发中，模型版本、数据授权、接口和监管适用性发生变化时，必须通过版本化变更记录更新，不得静默修改生产行为。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2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color w:val="5B6573"/>
        <w:sz w:val="18"/>
      </w:rPr>
      <w:t xml:space="preserve">第 </w:t>
    </w:r>
    <w:r>
      <w:rPr>
        <w:rFonts w:ascii="Arial Unicode MS" w:hAnsi="Arial Unicode MS" w:eastAsia="Arial Unicode MS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5B6573"/>
        <w:sz w:val="18"/>
      </w:rPr>
      <w:t xml:space="preserve"> 页 / 共 </w:t>
    </w:r>
    <w:r>
      <w:rPr>
        <w:rFonts w:ascii="Arial Unicode MS" w:hAnsi="Arial Unicode MS" w:eastAsia="Arial Unicode MS"/>
        <w:color w:val="5B6573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5B6573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5B6573"/>
        <w:sz w:val="18"/>
      </w:rPr>
      <w:t>版本 1.1  |  2026-08-12  |  天津上线版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5B6573"/>
        <w:sz w:val="17"/>
      </w:rPr>
      <w:t>康伴 RAG 医疗 Agent 完整落地计划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Unicode MS" w:hAnsi="Arial Unicode MS" w:eastAsia="Arial Unicode MS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Item">
    <w:name w:val="Checklist Item"/>
    <w:pPr>
      <w:spacing w:before="0" w:after="80" w:line="288" w:lineRule="auto"/>
    </w:pPr>
    <w:rPr>
      <w:rFonts w:ascii="Arial Unicode MS" w:hAnsi="Arial Unicode MS" w:eastAsia="Arial Unicode MS"/>
      <w:color w:val="0B2545"/>
      <w:sz w:val="21"/>
    </w:rPr>
  </w:style>
  <w:style w:type="paragraph" w:customStyle="1" w:styleId="BulletCompact">
    <w:name w:val="Bullet Compact"/>
    <w:pPr>
      <w:spacing w:before="0" w:after="80" w:line="288" w:lineRule="auto"/>
    </w:pPr>
    <w:rPr>
      <w:rFonts w:ascii="Arial Unicode MS" w:hAnsi="Arial Unicode MS" w:eastAsia="Arial Unicode MS"/>
      <w:color w:val="0B2545"/>
      <w:sz w:val="21"/>
    </w:rPr>
  </w:style>
  <w:style w:type="paragraph" w:customStyle="1" w:styleId="SourceText">
    <w:name w:val="Source Text"/>
    <w:pPr>
      <w:spacing w:before="0" w:after="80" w:line="276" w:lineRule="auto"/>
    </w:pPr>
    <w:rPr>
      <w:rFonts w:ascii="Arial Unicode MS" w:hAnsi="Arial Unicode MS" w:eastAsia="Arial Unicode MS"/>
      <w:color w:val="5B6573"/>
      <w:sz w:val="19"/>
    </w:rPr>
  </w:style>
  <w:style w:type="paragraph" w:customStyle="1" w:styleId="CodeBlock">
    <w:name w:val="Code Block"/>
    <w:pPr>
      <w:spacing w:before="0" w:after="120" w:line="252" w:lineRule="auto"/>
    </w:pPr>
    <w:rPr>
      <w:rFonts w:ascii="Arial Unicode MS" w:hAnsi="Arial Unicode MS" w:eastAsia="Arial Unicode MS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www.nhc.gov.cn/yzygj/c100068/202203/2072f0e8988249e59d942e1b2a933916.shtml" TargetMode="External"/><Relationship Id="rId13" Type="http://schemas.openxmlformats.org/officeDocument/2006/relationships/hyperlink" Target="https://www.npc.gov.cn/WZWSREL25wYy9Mi9jMzA4MzQvMjAyMTA4L3QyMDIxMDgyMF8zMTMwODguaHRtbD9yZWY9aWJ" TargetMode="External"/><Relationship Id="rId14" Type="http://schemas.openxmlformats.org/officeDocument/2006/relationships/hyperlink" Target="https://wsjk.tj.gov.cn/ZWGK3158/ggqsydwxx/yynew/sszy/index_3.html" TargetMode="External"/><Relationship Id="rId15" Type="http://schemas.openxmlformats.org/officeDocument/2006/relationships/hyperlink" Target="https://ylbz.tj.gov.cn/YBJSY/gabsycs/tzgggh/202511/t20251104_7169995.html" TargetMode="External"/><Relationship Id="rId16" Type="http://schemas.openxmlformats.org/officeDocument/2006/relationships/hyperlink" Target="https://github.com/pgvector/pgvector" TargetMode="External"/><Relationship Id="rId17" Type="http://schemas.openxmlformats.org/officeDocument/2006/relationships/hyperlink" Target="https://help.aliyun.com/zh/model-studio/embedding-rerank-model/" TargetMode="External"/><Relationship Id="rId18" Type="http://schemas.openxmlformats.org/officeDocument/2006/relationships/hyperlink" Target="https://huggingface.co/BAAI/bge-m3" TargetMode="External"/><Relationship Id="rId19" Type="http://schemas.openxmlformats.org/officeDocument/2006/relationships/hyperlink" Target="https://cheatsheetseries.owasp.org/cheatsheets/LLM_Prompt_Injection_Prevention_Cheat_Sheet.html" TargetMode="External"/><Relationship Id="rId20" Type="http://schemas.openxmlformats.org/officeDocument/2006/relationships/hyperlink" Target="https://www.miit.gov.cn/zcfg/qtl/art/2023/art_f4e8f71ae1dc43b0980b962907b7738f.html" TargetMode="External"/><Relationship Id="rId21" Type="http://schemas.openxmlformats.org/officeDocument/2006/relationships/hyperlink" Target="https://www.cac.gov.cn/2026-04/10/c_1777558395078289.htm" TargetMode="Externa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康伴 RAG 医疗 Agent 完整落地计划</dc:title>
  <dc:subject>天津地区生产上线实施计划</dc:subject>
  <dc:creator>康伴项目组</dc:creator>
  <cp:keywords>康伴,RAG,医疗Agent,天津,pgvector,知识库</cp:keywords>
  <dc:description>实施计划版本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