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Override PartName="/word/media/image3.wmf" ContentType="image/x-wmf"/>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Протокол клинического исследования PSR-L08-0623</w:t>
      </w:r>
    </w:p>
    <w:p>
      <w:pPr>
        <w:pStyle w:val="7"/>
      </w:pPr>
      <w:r>
        <w:t xml:space="preserve">+————————————-+—————————————————————————————————————————————————————————————————————————————————————————————————————————————————————————————————————————————————————————————————————-</w:t>
      </w:r>
    </w:p>
    <w:p>
      <w:pPr>
        <w:pStyle w:val="7"/>
      </w:pPr>
      <w:r>
        <w:rPr>
          <w:b/>
        </w:rPr>
        <w:t xml:space="preserve">Договор о конфиденциальности</w:t>
      </w:r>
    </w:p>
    <w:p>
      <w:pPr>
        <w:pStyle w:val="BlockText"/>
      </w:pPr>
      <w:r>
        <w:t xml:space="preserve">Этот документ содержит конфиденциальную и принадлежащую BetaRex LLC информацию. Публикация, распространение, репродуцирование или любое другое раскрытие, прямое или косвенное, документа или любой его части третьим лицам строго запрещены. Этот документ не может использоваться с другими целями, чем те, для которых он предоставлен. Информация, представленная в этом документе, может быть раскрыта только с предварительного письменного согласия BetaRex LLC, или уполномоченным должностным лицом правительства, или по решению суда. Любое раскрытие информации, содержащейся в этом документе, независимо от того, было ли оно санкционировано или нет, должно немедленно сообщаться в BetaRex LLC.</w:t>
      </w:r>
    </w:p>
    <w:p>
      <w:pPr>
        <w:pStyle w:val="FirstParagraph"/>
      </w:pPr>
      <w:r>
        <w:rPr>
          <w:b/>
        </w:rPr>
        <w:t xml:space="preserve">СТРАНИЦА С ИЗРАЖЕНИЯМИ СОГЛАСИЯ</w:t>
      </w:r>
      <w:r>
        <w:t xml:space="preserve"> </w:t>
      </w:r>
      <w:r>
        <w:t xml:space="preserve">| &gt; Подпись</w:t>
      </w:r>
      <w:r>
        <w:t xml:space="preserve"> </w:t>
      </w:r>
      <w:r>
        <w:t xml:space="preserve"> </w:t>
      </w:r>
      <w:r>
        <w:t xml:space="preserve">| Дата</w:t>
      </w:r>
      <w:r>
        <w:t xml:space="preserve"> </w:t>
      </w:r>
      <w:r>
        <w:t xml:space="preserve"> </w:t>
      </w:r>
      <w:r>
        <w:t xml:space="preserve">|</w:t>
      </w:r>
      <w:r>
        <w:t xml:space="preserve"> </w:t>
      </w:r>
      <w:r>
        <w:t xml:space="preserve">| &gt; Якубова Е.В. | |</w:t>
      </w:r>
      <w:r>
        <w:t xml:space="preserve"> </w:t>
      </w:r>
      <w:r>
        <w:t xml:space="preserve">| &gt; Генеральный директор, BetaRex LLC | |</w:t>
      </w:r>
      <w:r>
        <w:t xml:space="preserve"> </w:t>
      </w:r>
      <w:r>
        <w:t xml:space="preserve">| &gt; Подпись</w:t>
      </w:r>
      <w:r>
        <w:t xml:space="preserve"> </w:t>
      </w:r>
      <w:r>
        <w:t xml:space="preserve"> </w:t>
      </w:r>
      <w:r>
        <w:rPr>
          <w:b/>
        </w:rPr>
        <w:t xml:space="preserve">Трактенеберг Я.А. | Дата</w:t>
      </w:r>
      <w:r>
        <w:rPr>
          <w:b/>
        </w:rPr>
        <w:t xml:space="preserve"> </w:t>
      </w:r>
      <w:r>
        <w:rPr>
          <w:b/>
        </w:rPr>
        <w:t xml:space="preserve"> </w:t>
      </w:r>
      <w:r>
        <w:rPr>
          <w:b/>
        </w:rPr>
        <w:t xml:space="preserve">|</w:t>
      </w:r>
      <w:r>
        <w:rPr>
          <w:b/>
        </w:rPr>
        <w:t xml:space="preserve"> </w:t>
      </w:r>
      <w:r>
        <w:rPr>
          <w:b/>
        </w:rPr>
        <w:t xml:space="preserve">| &gt; Медицинский директор, IPHARMA LLC</w:t>
      </w:r>
      <w:r>
        <w:t xml:space="preserve"> </w:t>
      </w:r>
      <w:r>
        <w:t xml:space="preserve">| |</w:t>
      </w:r>
      <w:r>
        <w:t xml:space="preserve"> </w:t>
      </w:r>
      <w:r>
        <w:t xml:space="preserve">| &gt; Подпись</w:t>
      </w:r>
      <w:r>
        <w:t xml:space="preserve"> </w:t>
      </w:r>
      <w:r>
        <w:t xml:space="preserve"> </w:t>
      </w:r>
      <w:r>
        <w:t xml:space="preserve">| Дата</w:t>
      </w:r>
      <w:r>
        <w:t xml:space="preserve"> </w:t>
      </w:r>
      <w:r>
        <w:t xml:space="preserve"> </w:t>
      </w:r>
      <w:r>
        <w:t xml:space="preserve">|</w:t>
      </w:r>
      <w:r>
        <w:t xml:space="preserve"> </w:t>
      </w:r>
      <w:r>
        <w:t xml:space="preserve">| &gt; Горчаков Д.С.  | |</w:t>
      </w:r>
      <w:r>
        <w:t xml:space="preserve"> </w:t>
      </w:r>
      <w:r>
        <w:t xml:space="preserve">| &gt;</w:t>
      </w:r>
      <w:r>
        <w:t xml:space="preserve"> </w:t>
      </w:r>
      <w:r>
        <w:rPr>
          <w:b/>
        </w:rPr>
        <w:t xml:space="preserve">Медицинский консультант, IPHARMA LLC</w:t>
      </w:r>
      <w:r>
        <w:t xml:space="preserve"> </w:t>
      </w:r>
      <w:r>
        <w:t xml:space="preserve">| |</w:t>
      </w:r>
      <w:r>
        <w:t xml:space="preserve"> </w:t>
      </w:r>
      <w:r>
        <w:t xml:space="preserve">| &gt; Подпись</w:t>
      </w:r>
      <w:r>
        <w:t xml:space="preserve"> </w:t>
      </w:r>
      <w:r>
        <w:t xml:space="preserve"> </w:t>
      </w:r>
      <w:r>
        <w:t xml:space="preserve">| Дата</w:t>
      </w:r>
      <w:r>
        <w:t xml:space="preserve"> </w:t>
      </w:r>
      <w:r>
        <w:t xml:space="preserve"> </w:t>
      </w:r>
      <w:r>
        <w:t xml:space="preserve">|</w:t>
      </w:r>
      <w:r>
        <w:t xml:space="preserve"> </w:t>
      </w:r>
      <w:r>
        <w:t xml:space="preserve">| &gt; Копылова К.А.  | |</w:t>
      </w:r>
      <w:r>
        <w:t xml:space="preserve"> </w:t>
      </w:r>
      <w:r>
        <w:t xml:space="preserve">| &gt; Руководитель проекта</w:t>
      </w:r>
      <w:r>
        <w:rPr>
          <w:b/>
        </w:rPr>
        <w:t xml:space="preserve">, IPHARMA LLC</w:t>
      </w:r>
      <w:r>
        <w:t xml:space="preserve"> </w:t>
      </w:r>
      <w:r>
        <w:t xml:space="preserve">| |</w:t>
      </w:r>
    </w:p>
    <w:p>
      <w:pPr>
        <w:pStyle w:val="7"/>
      </w:pPr>
      <w:r>
        <w:t xml:space="preserve">СТРАНИЦА С ИЗРАЖЕНИЕМ СОГЛАСИЯ ИССЛЕДОВАТЕЛЯ</w:t>
      </w:r>
      <w:r>
        <w:t xml:space="preserve"> </w:t>
      </w:r>
      <w:r>
        <w:t xml:space="preserve">| &gt;</w:t>
      </w:r>
      <w:r>
        <w:t xml:space="preserve"> </w:t>
      </w:r>
      <w:r>
        <w:rPr>
          <w:b/>
        </w:rPr>
        <w:t xml:space="preserve">Полное имя:</w:t>
      </w:r>
      <w:r>
        <w:t xml:space="preserve"> </w:t>
      </w:r>
      <w:r>
        <w:t xml:space="preserve">| |</w:t>
      </w:r>
      <w:r>
        <w:t xml:space="preserve"> </w:t>
      </w:r>
      <w:r>
        <w:t xml:space="preserve">| &gt;</w:t>
      </w:r>
      <w:r>
        <w:t xml:space="preserve"> </w:t>
      </w:r>
      <w:r>
        <w:rPr>
          <w:b/>
        </w:rPr>
        <w:t xml:space="preserve">Наименование и адрес организации:</w:t>
      </w:r>
      <w:r>
        <w:t xml:space="preserve"> </w:t>
      </w:r>
      <w:r>
        <w:t xml:space="preserve">| |</w:t>
      </w:r>
      <w:r>
        <w:t xml:space="preserve"> </w:t>
      </w:r>
      <w:r>
        <w:t xml:space="preserve">| &gt; Я подтверждаю, что ознакомился с этим протоколом, включая информацию о препарате, предоставленную спонсором. Я согласен следовать Протоколу № PSR-L08-0623:</w:t>
      </w:r>
      <w:r>
        <w:t xml:space="preserve"> </w:t>
      </w:r>
      <w:r>
        <w:t xml:space="preserve">“</w:t>
      </w:r>
      <w:r>
        <w:rPr>
          <w:b/>
        </w:rPr>
        <w:t xml:space="preserve">Двойное слепое, рандомизированное, плацебо-контролируемое исследование приема в виде таблеток одиночных и множественных доз препарата L08-0623 в здоровых добровольцах для оценки безопасности, переносимости, фармакокинетики и фармакодинамики.</w:t>
      </w:r>
      <w:r>
        <w:t xml:space="preserve">”</w:t>
      </w:r>
      <w:r>
        <w:t xml:space="preserve">** | |</w:t>
      </w:r>
      <w:r>
        <w:t xml:space="preserve"> </w:t>
      </w:r>
      <w:r>
        <w:t xml:space="preserve">| &gt; Я согласен проводить исследование в соответствии с требованиями данного протокола, требований, изложенных в руководствах ICH GCP (Международная конференция по гармонизированной клинической практике) и ЕАЭУ (Евразийский экономический союз), принципов, изложенных в декларации Хельсинкской, и применимых российских законах и нормативных требований. | |</w:t>
      </w:r>
      <w:r>
        <w:t xml:space="preserve"> </w:t>
      </w:r>
      <w:r>
        <w:t xml:space="preserve">| &gt; Я согласен проводить и контролировать исследование. | |</w:t>
      </w:r>
      <w:r>
        <w:t xml:space="preserve"> </w:t>
      </w:r>
      <w:r>
        <w:t xml:space="preserve">| &gt; Я согласен информировать весь персонал и других лиц, участвующих в исследовании, об их обязанностях и требовании соблюдать Протокол и другие важные требования, изложенные в принципах Good Clinical Practice. | |</w:t>
      </w:r>
      <w:r>
        <w:t xml:space="preserve"> </w:t>
      </w:r>
      <w:r>
        <w:t xml:space="preserve">| &gt;</w:t>
      </w:r>
      <w:r>
        <w:t xml:space="preserve"> </w:t>
      </w:r>
      <w:r>
        <w:rPr>
          <w:b/>
        </w:rPr>
        <w:t xml:space="preserve">Дата:</w:t>
      </w:r>
      <w:r>
        <w:t xml:space="preserve"> </w:t>
      </w:r>
      <w:r>
        <w:t xml:space="preserve">| &gt;</w:t>
      </w:r>
      <w:r>
        <w:t xml:space="preserve"> </w:t>
      </w:r>
      <w:r>
        <w:rPr>
          <w:b/>
        </w:rPr>
        <w:t xml:space="preserve">Подпись:</w:t>
      </w:r>
      <w:r>
        <w:t xml:space="preserve"> </w:t>
      </w:r>
      <w:r>
        <w:t xml:space="preserve">|</w:t>
      </w:r>
    </w:p>
    <w:p>
      <w:pPr>
        <w:pStyle w:val="7"/>
      </w:pPr>
      <w:r>
        <w:t xml:space="preserve">CLINICAL STUDY CONTACT INFORMATION</w:t>
      </w:r>
      <w:r>
        <w:t xml:space="preserve"> </w:t>
      </w:r>
      <w:r>
        <w:t xml:space="preserve">| &gt;</w:t>
      </w:r>
      <w:r>
        <w:t xml:space="preserve"> </w:t>
      </w:r>
      <w:r>
        <w:rPr>
          <w:b/>
        </w:rPr>
        <w:t xml:space="preserve">SPONSOR</w:t>
      </w:r>
      <w:r>
        <w:t xml:space="preserve"> </w:t>
      </w:r>
      <w:r>
        <w:t xml:space="preserve">| &gt; BetaRex LLC, 141401, 2А Rabochaya St, Bldg 1, Room 48, FL 2, Khimki, Moscow Region, Russia, 141401 |</w:t>
      </w:r>
      <w:r>
        <w:t xml:space="preserve"> </w:t>
      </w:r>
      <w:r>
        <w:t xml:space="preserve">| &gt; Yakubova Е.V. | &gt; Director General, Tel. +7 (495) 925-30-74 |</w:t>
      </w:r>
      <w:r>
        <w:t xml:space="preserve"> </w:t>
      </w:r>
      <w:r>
        <w:t xml:space="preserve">| | &gt; Email: ey@chemrar.ru |</w:t>
      </w:r>
      <w:r>
        <w:t xml:space="preserve"> </w:t>
      </w:r>
      <w:r>
        <w:t xml:space="preserve">| &gt;</w:t>
      </w:r>
      <w:r>
        <w:t xml:space="preserve"> </w:t>
      </w:r>
      <w:r>
        <w:rPr>
          <w:b/>
        </w:rPr>
        <w:t xml:space="preserve">CRO, MEDICAL EXPERT REVIEW,</w:t>
      </w:r>
      <w:r>
        <w:t xml:space="preserve"> </w:t>
      </w:r>
      <w:r>
        <w:t xml:space="preserve">| &gt;</w:t>
      </w:r>
      <w:r>
        <w:t xml:space="preserve"> </w:t>
      </w:r>
      <w:r>
        <w:rPr>
          <w:b/>
        </w:rPr>
        <w:t xml:space="preserve">IPHARMA, LLC</w:t>
      </w:r>
      <w:r>
        <w:t xml:space="preserve"> </w:t>
      </w:r>
      <w:r>
        <w:t xml:space="preserve">|</w:t>
      </w:r>
      <w:r>
        <w:t xml:space="preserve"> </w:t>
      </w:r>
      <w:r>
        <w:t xml:space="preserve">| &gt;</w:t>
      </w:r>
      <w:r>
        <w:t xml:space="preserve"> </w:t>
      </w:r>
      <w:r>
        <w:rPr>
          <w:b/>
        </w:rPr>
        <w:t xml:space="preserve">PHARMACOVIGILANCE, DATA PROCESSING, BIOSTATISTICS</w:t>
      </w:r>
      <w:r>
        <w:t xml:space="preserve"> </w:t>
      </w:r>
      <w:r>
        <w:t xml:space="preserve">| &gt;</w:t>
      </w:r>
      <w:r>
        <w:t xml:space="preserve"> </w:t>
      </w:r>
      <w:r>
        <w:rPr>
          <w:b/>
        </w:rPr>
        <w:t xml:space="preserve">40 Bolshoy Boulevard, FL 3, Facility XXXIII, Room 77, Skolkovo Innovation Center, Moscow, Russia, 121205</w:t>
      </w:r>
      <w:r>
        <w:t xml:space="preserve"> |</w:t>
      </w:r>
      <w:r>
        <w:t xml:space="preserve"> </w:t>
      </w:r>
      <w:r>
        <w:t xml:space="preserve">| | &gt; Tel.: +7 (495) 276-11-43 |</w:t>
      </w:r>
      <w:r>
        <w:t xml:space="preserve"> </w:t>
      </w:r>
      <w:r>
        <w:t xml:space="preserve">| | &gt; Fax: +7 (495) 276-11-47 |</w:t>
      </w:r>
      <w:r>
        <w:t xml:space="preserve"> </w:t>
      </w:r>
      <w:r>
        <w:t xml:space="preserve">| &gt; Rogov V.V. | &gt; Executive Director  |</w:t>
      </w:r>
      <w:r>
        <w:t xml:space="preserve"> </w:t>
      </w:r>
      <w:r>
        <w:t xml:space="preserve">| | &gt; Tel.: +7 (925) 400-01-32 |</w:t>
      </w:r>
      <w:r>
        <w:t xml:space="preserve"> </w:t>
      </w:r>
      <w:r>
        <w:t xml:space="preserve">| | &gt; Email: vvr@ipharma.ru |</w:t>
      </w:r>
      <w:r>
        <w:t xml:space="preserve"> </w:t>
      </w:r>
      <w:r>
        <w:t xml:space="preserve">| &gt; Kopylova K.A. | &gt; Project Manager  |</w:t>
      </w:r>
      <w:r>
        <w:t xml:space="preserve"> </w:t>
      </w:r>
      <w:r>
        <w:t xml:space="preserve">| | &gt; Tel.: + 7 (906) 072-73-47 |</w:t>
      </w:r>
      <w:r>
        <w:t xml:space="preserve"> </w:t>
      </w:r>
      <w:r>
        <w:t xml:space="preserve">| | &gt; Email: kka@ipharma.ru |</w:t>
      </w:r>
      <w:r>
        <w:t xml:space="preserve"> </w:t>
      </w:r>
      <w:r>
        <w:t xml:space="preserve">| &gt; Trakhtenberg Y.A. | &gt;</w:t>
      </w:r>
      <w:r>
        <w:t xml:space="preserve"> </w:t>
      </w:r>
      <w:r>
        <w:rPr>
          <w:b/>
        </w:rPr>
        <w:t xml:space="preserve">Medical Adviser</w:t>
      </w:r>
      <w:r>
        <w:t xml:space="preserve">, PhD  |</w:t>
      </w:r>
      <w:r>
        <w:t xml:space="preserve"> </w:t>
      </w:r>
      <w:r>
        <w:t xml:space="preserve">| | &gt; Тел. +7 (495) 276-11-43 |</w:t>
      </w:r>
      <w:r>
        <w:t xml:space="preserve"> </w:t>
      </w:r>
      <w:r>
        <w:t xml:space="preserve">| | &gt; Email: jat@ipharma.ru |</w:t>
      </w:r>
      <w:r>
        <w:t xml:space="preserve"> </w:t>
      </w:r>
      <w:r>
        <w:t xml:space="preserve">| &gt; Gorchakov D.S. | &gt;</w:t>
      </w:r>
      <w:r>
        <w:t xml:space="preserve"> </w:t>
      </w:r>
      <w:r>
        <w:rPr>
          <w:b/>
        </w:rPr>
        <w:t xml:space="preserve">Medical Adviser  |</w:t>
      </w:r>
      <w:r>
        <w:rPr>
          <w:b/>
        </w:rPr>
        <w:t xml:space="preserve"> </w:t>
      </w:r>
      <w:r>
        <w:rPr>
          <w:b/>
        </w:rPr>
        <w:t xml:space="preserve">| | &gt;</w:t>
      </w:r>
      <w:r>
        <w:rPr>
          <w:b/>
        </w:rPr>
        <w:t xml:space="preserve"> </w:t>
      </w:r>
      <w:r>
        <w:t xml:space="preserve">Tel.: +7 (926) 902-0075** |</w:t>
      </w:r>
      <w:r>
        <w:t xml:space="preserve"> </w:t>
      </w:r>
      <w:r>
        <w:t xml:space="preserve">| | &gt; Email: dgor@ipharma.ru |</w:t>
      </w:r>
      <w:r>
        <w:t xml:space="preserve"> </w:t>
      </w:r>
      <w:r>
        <w:t xml:space="preserve">| &gt; Kholkin P.V. | &gt; Director of Data Management |</w:t>
      </w:r>
      <w:r>
        <w:t xml:space="preserve"> </w:t>
      </w:r>
      <w:r>
        <w:t xml:space="preserve">| | &gt; Тел. +7 (495) 276-11-43 |</w:t>
      </w:r>
      <w:r>
        <w:t xml:space="preserve"> </w:t>
      </w:r>
      <w:r>
        <w:t xml:space="preserve">| | &gt; Email: khopv@ipharma.ru |</w:t>
      </w:r>
      <w:r>
        <w:t xml:space="preserve"> </w:t>
      </w:r>
      <w:r>
        <w:t xml:space="preserve">| &gt; Ivanova E.S. | &gt; Biostatistician |</w:t>
      </w:r>
      <w:r>
        <w:t xml:space="preserve"> </w:t>
      </w:r>
      <w:r>
        <w:t xml:space="preserve">| | &gt; Тел. +7 (495) 276-11-43 |</w:t>
      </w:r>
      <w:r>
        <w:t xml:space="preserve"> </w:t>
      </w:r>
      <w:r>
        <w:t xml:space="preserve">| | &gt; Email: eivan@ipharma.ru |</w:t>
      </w:r>
      <w:r>
        <w:t xml:space="preserve"> </w:t>
      </w:r>
      <w:r>
        <w:t xml:space="preserve">| &gt;</w:t>
      </w:r>
      <w:r>
        <w:t xml:space="preserve"> </w:t>
      </w:r>
      <w:r>
        <w:rPr>
          <w:b/>
        </w:rPr>
        <w:t xml:space="preserve">BIOANALYTICAL LABORATORY</w:t>
      </w:r>
      <w:r>
        <w:t xml:space="preserve"> </w:t>
      </w:r>
      <w:r>
        <w:t xml:space="preserve">| &gt; To be determined prior to the study |</w:t>
      </w:r>
      <w:r>
        <w:t xml:space="preserve"> </w:t>
      </w:r>
      <w:r>
        <w:t xml:space="preserve">| &gt;</w:t>
      </w:r>
      <w:r>
        <w:t xml:space="preserve"> </w:t>
      </w:r>
      <w:r>
        <w:rPr>
          <w:b/>
        </w:rPr>
        <w:t xml:space="preserve">WAREHOUSE</w:t>
      </w:r>
      <w:r>
        <w:t xml:space="preserve"> </w:t>
      </w:r>
      <w:r>
        <w:t xml:space="preserve">| &gt; Not applicable |</w:t>
      </w:r>
      <w:r>
        <w:t xml:space="preserve"> </w:t>
      </w:r>
      <w:r>
        <w:t xml:space="preserve">| &gt;</w:t>
      </w:r>
      <w:r>
        <w:t xml:space="preserve"> </w:t>
      </w:r>
      <w:r>
        <w:rPr>
          <w:b/>
        </w:rPr>
        <w:t xml:space="preserve">CLINICAL SITES</w:t>
      </w:r>
      <w:r>
        <w:t xml:space="preserve"> </w:t>
      </w:r>
      <w:r>
        <w:t xml:space="preserve">| &gt; As per the approved list of sites |</w:t>
      </w:r>
    </w:p>
    <w:p>
      <w:pPr>
        <w:pStyle w:val="7"/>
      </w:pPr>
      <w:r>
        <w:t xml:space="preserve">SUMMARY</w:t>
      </w:r>
      <w:r>
        <w:t xml:space="preserve"> </w:t>
      </w:r>
      <w:r>
        <w:t xml:space="preserve">| &gt;</w:t>
      </w:r>
      <w:r>
        <w:t xml:space="preserve"> </w:t>
      </w:r>
      <w:r>
        <w:rPr>
          <w:b/>
        </w:rPr>
        <w:t xml:space="preserve">Sponsor:</w:t>
      </w:r>
      <w:r>
        <w:t xml:space="preserve"> </w:t>
      </w:r>
      <w:r>
        <w:t xml:space="preserve">BetaRex LLC |</w:t>
      </w:r>
      <w:r>
        <w:t xml:space="preserve"> </w:t>
      </w:r>
      <w:r>
        <w:t xml:space="preserve">| &gt;</w:t>
      </w:r>
      <w:r>
        <w:t xml:space="preserve"> </w:t>
      </w:r>
      <w:r>
        <w:rPr>
          <w:b/>
        </w:rPr>
        <w:t xml:space="preserve">Study drug name:</w:t>
      </w:r>
      <w:r>
        <w:t xml:space="preserve"> </w:t>
      </w:r>
      <w:r>
        <w:t xml:space="preserve">L08-0623 |</w:t>
      </w:r>
      <w:r>
        <w:t xml:space="preserve"> </w:t>
      </w:r>
      <w:r>
        <w:t xml:space="preserve">| &gt;</w:t>
      </w:r>
      <w:r>
        <w:t xml:space="preserve"> </w:t>
      </w:r>
      <w:r>
        <w:rPr>
          <w:b/>
        </w:rPr>
        <w:t xml:space="preserve">Chemical name:</w:t>
      </w:r>
      <w:r>
        <w:t xml:space="preserve"> </w:t>
      </w:r>
      <w:r>
        <w:t xml:space="preserve">4-[2-methoxy-3-(1-methyl-1,2,4-triazol-3-yl)anilino]-2-(2-pyridylamino)pyrimidine-5-carboxamide |</w:t>
      </w:r>
      <w:r>
        <w:t xml:space="preserve"> </w:t>
      </w:r>
      <w:r>
        <w:t xml:space="preserve">| &gt;</w:t>
      </w:r>
      <w:r>
        <w:t xml:space="preserve"> </w:t>
      </w:r>
      <w:r>
        <w:rPr>
          <w:b/>
        </w:rPr>
        <w:t xml:space="preserve">Active ingredient:</w:t>
      </w:r>
      <w:r>
        <w:t xml:space="preserve"> </w:t>
      </w:r>
      <w:r>
        <w:t xml:space="preserve">L08-0623 |</w:t>
      </w:r>
      <w:r>
        <w:t xml:space="preserve"> </w:t>
      </w:r>
      <w:r>
        <w:t xml:space="preserve">| &gt;</w:t>
      </w:r>
      <w:r>
        <w:t xml:space="preserve"> </w:t>
      </w:r>
      <w:r>
        <w:rPr>
          <w:b/>
        </w:rPr>
        <w:t xml:space="preserve">Study title:</w:t>
      </w:r>
      <w:r>
        <w:t xml:space="preserve"> </w:t>
      </w:r>
      <w:r>
        <w:t xml:space="preserve">|</w:t>
      </w:r>
      <w:r>
        <w:t xml:space="preserve"> </w:t>
      </w:r>
      <w:r>
        <w:t xml:space="preserve">| &gt; A Double-Blind, Randomized, Placebo-Controlled, Oral Single and Multiple Ascending Dose Study of the Safety, Tolerability, Pharmacokinetics, and Pharmacodynamics of L08-0623 in Healthy Volunteers. |</w:t>
      </w:r>
      <w:r>
        <w:t xml:space="preserve"> </w:t>
      </w:r>
      <w:r>
        <w:t xml:space="preserve">| &gt;</w:t>
      </w:r>
      <w:r>
        <w:t xml:space="preserve"> </w:t>
      </w:r>
      <w:r>
        <w:rPr>
          <w:b/>
        </w:rPr>
        <w:t xml:space="preserve">Study number:</w:t>
      </w:r>
      <w:r>
        <w:t xml:space="preserve"> </w:t>
      </w:r>
      <w:r>
        <w:t xml:space="preserve">PSR-L08-0623 |</w:t>
      </w:r>
      <w:r>
        <w:t xml:space="preserve"> </w:t>
      </w:r>
      <w:r>
        <w:t xml:space="preserve">| &gt;</w:t>
      </w:r>
      <w:r>
        <w:t xml:space="preserve"> </w:t>
      </w:r>
      <w:r>
        <w:rPr>
          <w:b/>
        </w:rPr>
        <w:t xml:space="preserve">Study phase:</w:t>
      </w:r>
      <w:r>
        <w:t xml:space="preserve"> </w:t>
      </w:r>
      <w:r>
        <w:t xml:space="preserve">I |</w:t>
      </w:r>
      <w:r>
        <w:t xml:space="preserve"> </w:t>
      </w:r>
      <w:r>
        <w:t xml:space="preserve">| &gt;</w:t>
      </w:r>
      <w:r>
        <w:t xml:space="preserve"> </w:t>
      </w:r>
      <w:r>
        <w:rPr>
          <w:b/>
        </w:rPr>
        <w:t xml:space="preserve">Study duration:</w:t>
      </w:r>
      <w:r>
        <w:t xml:space="preserve"> </w:t>
      </w:r>
      <w:r>
        <w:t xml:space="preserve">The study aims to begin recruiting volunteers in September 2024. The study aims to have all of the volunteers complete all of the study visits by December 2024. |</w:t>
      </w:r>
      <w:r>
        <w:t xml:space="preserve"> </w:t>
      </w:r>
      <w:r>
        <w:t xml:space="preserve">| &gt;</w:t>
      </w:r>
      <w:r>
        <w:t xml:space="preserve"> </w:t>
      </w:r>
      <w:r>
        <w:rPr>
          <w:b/>
        </w:rPr>
        <w:t xml:space="preserve">Primary objective:</w:t>
      </w:r>
      <w:r>
        <w:t xml:space="preserve"> </w:t>
      </w:r>
      <w:r>
        <w:t xml:space="preserve">|</w:t>
      </w:r>
      <w:r>
        <w:t xml:space="preserve"> </w:t>
      </w:r>
      <w:r>
        <w:t xml:space="preserve">| &gt; To evaluate the safety and tolerability profile of L08-0623 following single and multiple administration in healthy volunteers. |</w:t>
      </w:r>
      <w:r>
        <w:t xml:space="preserve"> </w:t>
      </w:r>
      <w:r>
        <w:t xml:space="preserve">| &gt;</w:t>
      </w:r>
      <w:r>
        <w:t xml:space="preserve"> </w:t>
      </w:r>
      <w:r>
        <w:rPr>
          <w:b/>
        </w:rPr>
        <w:t xml:space="preserve">Secondary objective:</w:t>
      </w:r>
      <w:r>
        <w:t xml:space="preserve"> </w:t>
      </w:r>
      <w:r>
        <w:t xml:space="preserve">|</w:t>
      </w:r>
      <w:r>
        <w:t xml:space="preserve"> </w:t>
      </w:r>
      <w:r>
        <w:t xml:space="preserve">| &gt;</w:t>
      </w:r>
      <w:r>
        <w:t xml:space="preserve"> </w:t>
      </w:r>
      <w:r>
        <w:rPr>
          <w:b/>
        </w:rPr>
        <w:t xml:space="preserve">To evaluate the pharmacokinetic and pharmacodynamic parameters of L08-0623 following single and multiple administration in healthy volunteers.</w:t>
      </w:r>
      <w:r>
        <w:t xml:space="preserve"> </w:t>
      </w:r>
      <w:r>
        <w:t xml:space="preserve">|</w:t>
      </w:r>
      <w:r>
        <w:t xml:space="preserve"> </w:t>
      </w:r>
      <w:r>
        <w:t xml:space="preserve">| &gt;</w:t>
      </w:r>
      <w:r>
        <w:t xml:space="preserve"> </w:t>
      </w:r>
      <w:r>
        <w:rPr>
          <w:b/>
        </w:rPr>
        <w:t xml:space="preserve">Study aims:</w:t>
      </w:r>
      <w:r>
        <w:t xml:space="preserve"> </w:t>
      </w:r>
      <w:r>
        <w:t xml:space="preserve">|</w:t>
      </w:r>
      <w:r>
        <w:t xml:space="preserve"> </w:t>
      </w:r>
      <w:r>
        <w:t xml:space="preserve">| &gt; To assess the safety, tolerability, pharmacokinetics and pharmacodynamics of L08-0623, the following aims were developed: |</w:t>
      </w:r>
      <w:r>
        <w:t xml:space="preserve"> </w:t>
      </w:r>
      <w:r>
        <w:t xml:space="preserve">| - To evaluate the incidence of adverse events (AEs), serious adverse events (SAEs), and AEs/SAEs related to the study drug (SD) following single and multiple oral administration of L08-0623 at different doses |</w:t>
      </w:r>
      <w:r>
        <w:t xml:space="preserve"> </w:t>
      </w:r>
      <w:r>
        <w:t xml:space="preserve">| - To evaluate the pharmacokinetic parameters of L08-0623 after single (including assessing the effects of food) and multiple oral administration at different doses |</w:t>
      </w:r>
      <w:r>
        <w:t xml:space="preserve"> </w:t>
      </w:r>
      <w:r>
        <w:t xml:space="preserve">| - To evaluate the pharmacodynamic parameters of single and multiple oral administration of L08-0623 at different doses. |</w:t>
      </w:r>
      <w:r>
        <w:t xml:space="preserve"> </w:t>
      </w:r>
      <w:r>
        <w:t xml:space="preserve">| &gt;</w:t>
      </w:r>
      <w:r>
        <w:t xml:space="preserve"> </w:t>
      </w:r>
      <w:r>
        <w:rPr>
          <w:b/>
        </w:rPr>
        <w:t xml:space="preserve">Rationale:</w:t>
      </w:r>
      <w:r>
        <w:t xml:space="preserve"> </w:t>
      </w:r>
      <w:r>
        <w:t xml:space="preserve">|</w:t>
      </w:r>
      <w:r>
        <w:t xml:space="preserve"> </w:t>
      </w:r>
      <w:r>
        <w:t xml:space="preserve">| &gt; Psoriasis is a chronic immune-associated disease of a multifactorial nature, with a dominant role in the development of genetic factors, characterized by accelerated proliferation of keratinocytes and impaired differentiation, imbalance between pro-inflammatory and anti-inflammatory cytokines, with frequent pathological changes in the musculoskeletal system. |</w:t>
      </w:r>
    </w:p>
    <w:p>
      <w:pPr>
        <w:pStyle w:val="BlockText"/>
      </w:pPr>
      <w:r>
        <w:t xml:space="preserve">Псориаз – одна из наиболее распространенных кожных заболеваний, поражающих 1-2% населения страны, согласно опубликованным данным. На основании официальной статистики в Российской Федерации, распространенность псориаза в 2021 году составляла 243,7 случая на 100 000 человек; частота возникновения – 59,3 случая на 100 000 человек [1, 2].</w:t>
      </w:r>
      <w:r>
        <w:t xml:space="preserve"> </w:t>
      </w:r>
      <w:r>
        <w:t xml:space="preserve">Генетическая предрасположенность, дисфункция иммунной, эндокринной и нервной систем, а также неблагоприятные факторы окружающей среды играют роль в развитии псориаза. Были описаны ряд генов (PSORS), наличие которых предрасполагает к развитию заболевания. В частности, антигены HLACw6 и HLADR7 чаще обнаруживаются у пациентов с псориазом.</w:t>
      </w:r>
      <w:r>
        <w:t xml:space="preserve"> </w:t>
      </w:r>
      <w:r>
        <w:t xml:space="preserve">Патологический процесс при псориазе инициируется презентацией антигенов клетками, производящими антиген, и последующим стимулированием высвобождения Т-клеток интерлейкина-(IL)-12 и IL-23, что приводит к пролиферации и дифференцировке Т-лимфоцитов в Th-1 и Th-17. Эти подгруппы Т-лимфоцитов экспрессируют гены, ответственные за синтез и последующее высвобождение большого количества различных воспалительных медиаторов в ткани. В частности, Th-1 преимущественно стимулирует иммунный ответ за счет чрезмерного высвобождения IL-2, IFN-γ и TNF-α. Аналогично, Th-17 отвечает за защиту от различных патогенных агентов (через выработку IL-21 и IL-22) и воспаления тканей (через IL-17A). Стимуляция воспаления тканей приводит к активации и гиперпролиферации кератиноцитов, индуцированной IL-17A. В свою очередь, эти кератиноциты, действуя по принципу обратной связи, способствуют дальнейшему производству провоспалительных цитокинов и хемокинов в коже, что приводит к акантозу и нарушению дифференцировки эпидермальных кератиноцитов [1, 2].</w:t>
      </w:r>
      <w:r>
        <w:t xml:space="preserve"> </w:t>
      </w:r>
      <w:r>
        <w:t xml:space="preserve">Пациенты с псориазом имеют повышенный риск развития сопутствующих заболеваний, включая ишемическую болезнь сердца, болезнь Крона, 2 типа диабета и депрессию. Пациенты с умеренным или тяжелым псориазом также имеют повышенную распространенность метаболического синдрома, который включает абдоминальное ожирение, инсулинорезистентность, дислипидемию и гипертонию [1, 2, 3].</w:t>
      </w:r>
      <w:r>
        <w:t xml:space="preserve"> </w:t>
      </w:r>
      <w:r>
        <w:t xml:space="preserve">Несмотря на широкий арсенал препаратов, доступных для лечения псориаза, существует ряд проблем, связанных как с их доступностью, так и с оценкой соотношения эффективности и безопасности этих препаратов. Несмотря на их эффективность, метотрексат и циклоспорин обладают значительными побочными эффектами, включая гепатотоксичность, нефротоксичность, повышенный риск инфекций и большое количество лекарственных взаимодействий. Системные ретиноиды требуют тщательного мониторинга из-за риска гипертриглицеридемии и гепатотоксичности, а также оказывают тератогенное воздействие, что ограничивает их использование у женщин детородного возраста. Биологические препараты, такие как ингибиторы TNF-α и интерлейкина, демонстрируют высокую эффективность, но связаны с риском серьезных побочных эффектов, включая активацию латентных инфекций и повышенный риск инфекционных заболеваний. Ингибиторы фосфодиэстеразы-4 менее эффективны и дешевле [[14](</w:t>
      </w:r>
      <w:r>
        <w:t xml:space="preserve">),</w:t>
      </w:r>
      <w:r>
        <w:t xml:space="preserve"> </w:t>
      </w:r>
      <w:hyperlink r:id="rId20">
        <w:r>
          <w:rPr>
            <w:rStyle w:val="11"/>
          </w:rPr>
          <w:t xml:space="preserve">38</w:t>
        </w:r>
      </w:hyperlink>
      <w:r>
        <w:t xml:space="preserve">].</w:t>
      </w:r>
      <w:r>
        <w:t xml:space="preserve"> </w:t>
      </w:r>
      <w:r>
        <w:t xml:space="preserve">Соответственно, ингибиторы тирозинкиназы 2 (TYK2) представляют собой перспективный класс препаратов для лечения псориаза благодаря своему уникальному механизму действия. TYK2 участвует в сигнализации ряда цитокинов, включая интерлейкины IL-12, IL-23 и тип I интерферонов, которые играют ключевую роль в воспалительных процессах, связанных с псориазом. Нацеливание на TYK2 ингибиторами приводит к снижению воспалительной активности и пролиферации кератиноцитов, что способствует улучшению состояния кожи. Эти препараты могут быть более безопасной и эффективной альтернативой традиционным методам лечения псориаза [[25](</w:t>
      </w:r>
      <w:r>
        <w:t xml:space="preserve">)-</w:t>
      </w:r>
      <w:hyperlink r:id="rId20">
        <w:r>
          <w:rPr>
            <w:rStyle w:val="11"/>
          </w:rPr>
          <w:t xml:space="preserve">29</w:t>
        </w:r>
      </w:hyperlink>
      <w:r>
        <w:t xml:space="preserve">].</w:t>
      </w:r>
      <w:r>
        <w:t xml:space="preserve"> </w:t>
      </w:r>
      <w:r>
        <w:t xml:space="preserve">Как высокоселективный ингибитор TYK2, деукравацитиниб, демонстрирует значительный потенциал в лечении умеренного и тяжелого псориаза. Клинические исследования показали, что деукравацитиниб эффективно улучшает состояние пациентов с псориазом, одновременно демонстрируя относительно благоприятный профиль безопасности по сравнению с традиционными системными препаратами, такими как метотрексат и циклоспорин. Высокая селективность ингибиторов TYK2 минимизирует побочные эффекты [[25](</w:t>
      </w:r>
      <w:r>
        <w:t xml:space="preserve">)-</w:t>
      </w:r>
      <w:r>
        <w:t xml:space="preserve"> </w:t>
      </w:r>
      <w:hyperlink r:id="rId20">
        <w:r>
          <w:rPr>
            <w:rStyle w:val="11"/>
          </w:rPr>
          <w:t xml:space="preserve">29</w:t>
        </w:r>
      </w:hyperlink>
      <w:r>
        <w:t xml:space="preserve">]. Деукравацитиниб в настоящее время не широко используется в клинической практике; однако, его успех в клинических испытаниях указывает на высокий терапевтический потенциал препаратов с аналогичным механизмом действия.</w:t>
      </w:r>
      <w:r>
        <w:t xml:space="preserve"> </w:t>
      </w:r>
      <w:r>
        <w:t xml:space="preserve">Поскольку деукравацитиниб в настоящее время не одобрен для использования в России, разработка новых ингибиторов TYK2, таких как L08-0623, может значительно улучшить качество жизни пациентов с псориазом, предоставив более безопасные и эффективные терапевтические варианты.</w:t>
      </w:r>
      <w:r>
        <w:t xml:space="preserve"> </w:t>
      </w:r>
      <w:r>
        <w:t xml:space="preserve">L08-0623 представляет собой новый селективный аллостерический ингибитор TYK2 (разработан компанией BetaRex LLC, Россия), предназначенный для лечения различных аутоиммунных заболеваний. Селективное нацеливание на TYK2 может помочь избежать степени иммуносупрессии, наблюдаемой при других ингибиторах Janus kinase (JAK). L08-0623 был разработан путем создания структуры с ингибирующей активностью в отношении TYK2, селективной относительно других JAK-киназ, путем связывания с пульковой областью JH2 TYK2. L08-0623 проявляет высокую активность в отношении сигнализации TYK2, опосредованной IL-12, IL-23 и IFN-γ, и низкую активность в отношении сигнализации JAK1-3, опосредованной IL-6, IL-2 и эритропоэтином. Таким образом, это может помочь избежать побочных эффектов, связанных с другими типами ингибиторов JAK. Преклинические данные показывают, что L08-0623 может замедлить прогрессирование псориаза, обеспечить значительную клиническую пользу и иметь более благоприятный профиль безопасности по сравнению с существующими схемами лечения [[30](</w:t>
      </w:r>
      <w:r>
        <w:t xml:space="preserve">)].</w:t>
      </w:r>
      <w:r>
        <w:t xml:space="preserve"> </w:t>
      </w:r>
      <w:r>
        <w:rPr>
          <w:b/>
        </w:rPr>
        <w:t xml:space="preserve">Начальная доза L08-0623 для первого в человеке исследования была выбрана на основе преклинических исследований токсичности и эффективности в животных (с учетом необходимого коэффициента безопасности) и преклинических фармакологических и фармакокинетических исследований.</w:t>
      </w:r>
      <w:r>
        <w:t xml:space="preserve"> </w:t>
      </w:r>
      <w:r>
        <w:rPr>
          <w:b/>
        </w:rPr>
        <w:t xml:space="preserve">На основании исследования токсичности, при многократном введении крысам (самой чувствительной форме), L08-0623 продемонстрировал NOAEL (No Observed Adverse Effect Level - уровень, при котором не наблюдается неблагоприятных эффектов) в размере 50 мг/кг/день</w:t>
      </w:r>
      <w:r>
        <w:t xml:space="preserve"> </w:t>
      </w:r>
      <w:r>
        <w:t xml:space="preserve">[[30](</w:t>
      </w:r>
      <w:r>
        <w:t xml:space="preserve">)].</w:t>
      </w:r>
      <w:r>
        <w:t xml:space="preserve"> </w:t>
      </w:r>
      <w:r>
        <w:rPr>
          <w:b/>
        </w:rPr>
        <w:t xml:space="preserve">В соответствии с рекомендациями FDA для промышленности по оценке максимальной безопасной начальной дозы в начальных клинических испытаниях для терапевтических средств у взрослых здоровых добровольцев и рекомендациями Мирона (Москва, 2012 год) [[32](</w:t>
      </w:r>
      <w:r>
        <w:rPr>
          <w:b/>
        </w:rPr>
        <w:t xml:space="preserve">)] коэффициент конверсии для крыс был 6,2, следовательно, HED (Human Equivalent Dose - человек эквивалентная доза) составила 50:6,2 = 8,06 мг/кг. Для определения максимальной рекомендуемой начальной дозы (MRSD) использовался коэффициент безопасности (SF) в 10, следовательно, MRSD составила 8,06:10 = 0,80 мг/кг, следовательно, MRSD для человека весом 70 кг составит 0,80 * 70 = 56,4 мг. Таким образом, начальная доза L08-0623, используемая в этом исследовании (10 мг) в 5 раз меньше, чем MRSD.</w:t>
      </w:r>
    </w:p>
    <w:p>
      <w:pPr>
        <w:pStyle w:val="FirstParagraph"/>
      </w:pPr>
      <w:r>
        <w:t xml:space="preserve">Дизайн исследования</w:t>
      </w:r>
    </w:p>
    <w:p>
      <w:pPr>
        <w:pStyle w:val="BlockText"/>
      </w:pPr>
      <w:r>
        <w:t xml:space="preserve">Это двойное слепое, рандомизированное, плацебо-контролируемое исследование, в котором изучается безопасность, переносимость, фармакокинетика и фармакодинамика соединения L08-0623 у здоровых добровольцев.</w:t>
      </w:r>
      <w:r>
        <w:t xml:space="preserve"> </w:t>
      </w:r>
      <w:r>
        <w:t xml:space="preserve">Целью исследования является включение 8 групп по 8 добровольцев, которым будет введено одно дозирование или несколько дозирований исследуемого соединения L08-0623 или плацебо (соотношение групп 6:2). Добровольцы будут включены в каждую последующую группу после рассмотрения всех данных о безопасности и получения одобрения от Комитета по мониторингу безопасности данных (DSMB).</w:t>
      </w:r>
      <w:r>
        <w:t xml:space="preserve"> </w:t>
      </w:r>
      <w:r>
        <w:rPr>
          <w:u w:val="single"/>
        </w:rPr>
        <w:t xml:space="preserve">Одно дозирование:</w:t>
      </w:r>
    </w:p>
    <w:p>
      <w:pPr>
        <w:numPr>
          <w:numId w:val="1001"/>
          <w:ilvl w:val="0"/>
        </w:numPr>
      </w:pPr>
      <w:r>
        <w:t xml:space="preserve">Группа 1 (N=8). Одно дозирование (10 мг), натощак</w:t>
      </w:r>
    </w:p>
    <w:p>
      <w:pPr>
        <w:numPr>
          <w:numId w:val="1001"/>
          <w:ilvl w:val="0"/>
        </w:numPr>
      </w:pPr>
      <w:r>
        <w:t xml:space="preserve">Группа 2 (N=8). Одно дозирование (20 мг), натощак</w:t>
      </w:r>
    </w:p>
    <w:p>
      <w:pPr>
        <w:numPr>
          <w:numId w:val="1001"/>
          <w:ilvl w:val="0"/>
        </w:numPr>
      </w:pPr>
      <w:r>
        <w:t xml:space="preserve">Группа 3 (N=8). Одно дозирование (50 мг), натощак.</w:t>
      </w:r>
    </w:p>
    <w:p>
      <w:pPr>
        <w:numPr>
          <w:numId w:val="1001"/>
          <w:ilvl w:val="0"/>
        </w:numPr>
      </w:pPr>
      <w:r>
        <w:t xml:space="preserve">Группа 4 (N=8). Одно дозирование (100 мг), натощак.</w:t>
      </w:r>
    </w:p>
    <w:p>
      <w:pPr>
        <w:numPr>
          <w:numId w:val="1000"/>
          <w:ilvl w:val="0"/>
        </w:numPr>
      </w:pPr>
      <w:r>
        <w:rPr>
          <w:u w:val="single"/>
        </w:rPr>
        <w:t xml:space="preserve">Несколько дозирований:</w:t>
      </w:r>
    </w:p>
    <w:p>
      <w:pPr>
        <w:numPr>
          <w:numId w:val="1001"/>
          <w:ilvl w:val="0"/>
        </w:numPr>
      </w:pPr>
      <w:r>
        <w:t xml:space="preserve">Группа 5 (N=8). 50 мг, один раз в день в течение 7 дней, натощак.</w:t>
      </w:r>
    </w:p>
    <w:p>
      <w:pPr>
        <w:numPr>
          <w:numId w:val="1001"/>
          <w:ilvl w:val="0"/>
        </w:numPr>
      </w:pPr>
      <w:r>
        <w:t xml:space="preserve">Группа 6 (N=8). 100 мг, один раз в день в течение 7 дней, натощак.</w:t>
      </w:r>
    </w:p>
    <w:p>
      <w:pPr>
        <w:numPr>
          <w:numId w:val="1000"/>
          <w:ilvl w:val="0"/>
        </w:numPr>
      </w:pPr>
      <w:r>
        <w:rPr>
          <w:u w:val="single"/>
        </w:rPr>
        <w:t xml:space="preserve">Одно дозирование, при употреблении пищи:</w:t>
      </w:r>
    </w:p>
    <w:p>
      <w:pPr>
        <w:numPr>
          <w:numId w:val="1001"/>
          <w:ilvl w:val="0"/>
        </w:numPr>
      </w:pPr>
      <w:r>
        <w:t xml:space="preserve">Группа 7 (N=8). Одно дозирование (X мг), при употреблении пищи (дозу определил DSMB после рассмотрения данных о безопасности и фармакокинетике (PK) в других группах).</w:t>
      </w:r>
    </w:p>
    <w:p>
      <w:pPr>
        <w:pStyle w:val="BlockText"/>
      </w:pPr>
      <w:r>
        <w:t xml:space="preserve">Группа 8 (N=8). Одна доза (Х мг), приемом пищи (дозу определит DSMB после оценки данных о безопасности и фармакокинетике (PK) в других группах).</w:t>
      </w:r>
      <w:r>
        <w:t xml:space="preserve"> </w:t>
      </w:r>
      <w:r>
        <w:t xml:space="preserve">В каждой группе будут определены два основных волонтера (контрольная группа) и получат препарат до других волонтеров в группе. Волонтеры будут рандомизированы в соотношении 1:1 (1 волонтер получит препарат L08-0623, а 1 - плацебо). Волонтеры контрольной группы будут наблюдаться на месте не менее 48 часов после получения первой дозы препарата для отслеживания показателей безопасности. Критерием приемлемости и безопасности дозы будет отсутствие серьезных нежелательных явлений, связанных с препаратом, или нежелательных явлений, связанных с препаратом, которые привели к преждевременному выходу волонтера из исследования. Если оценка безопасности и приемлемости препарата в этих волонтерах будет положительной, то главный исследователь примет решение о начале дозирования для оставшихся 6 волонтеров в группе. Волонтеры в других группах будут дозироваться аналогично.</w:t>
      </w:r>
      <w:r>
        <w:t xml:space="preserve"> </w:t>
      </w:r>
      <w:r>
        <w:t xml:space="preserve">На основании всех данных о безопасности и приемлемости препарата, полученных до визита в День 7 у всех волонтеров из Группы 1 (10 мг, одна доза, натощак), DSMB рассмотрит возможность увеличения дозы для дальнейшей оценки и включения Группы 2 (20 мг, одна доза, натощак). Критерием приемлемости и безопасности дозы будет отсутствие серьезных нежелательных явлений, связанных с препаратом, или нежелательных явлений, связанных с препаратом, которые привели к преждевременному выходу волонтера из исследования. Аналогичная процедура предусмотрена для перехода к последующим группам. Пациенты в Группах 5 и 6 (группы с многократным применением) могут быть включены одновременно после рассмотрения данных о безопасности для волонтеров в Группах 3 и 4, соответственно. Результаты оценки безопасности для каждой группы будут предоставлены спонсору исследования и этическому комитету.</w:t>
      </w:r>
      <w:r>
        <w:t xml:space="preserve"> </w:t>
      </w:r>
      <w:r>
        <w:t xml:space="preserve">Если профиль безопасности неблагоприятный, дозу препарата может быть скорректирована в последующих группах в соответствии с изменениями протокола. Дозу в последующих группах также можно изменить на основе оценки параметров фармакокинетики, которые также будут рассмотрены DSMB, если данные доступны.</w:t>
      </w:r>
      <w:r>
        <w:t xml:space="preserve"> </w:t>
      </w:r>
      <w:r>
        <w:t xml:space="preserve">Критерии приемлемости для дозы будут оценены и подтверждены DSMB на основании всех полученных данных о приемлемости препарата для каждого волонтера. Каждое преждевременное прекращение участия волонтера в исследовании из-за непереносимости препарата (если таковое имеется) будет рассматриваться как часть общего набора данных для каждого волонтера из дозируемой группы.</w:t>
      </w:r>
      <w:r>
        <w:t xml:space="preserve"> </w:t>
      </w:r>
      <w:r>
        <w:t xml:space="preserve">Для групп с одной дозой, исследование будет включать 3 периода: период отбора, период однократной дозировки и период наблюдения в стационаре на месте проведения исследования, а также период наблюдения вне стационара.</w:t>
      </w:r>
      <w:r>
        <w:t xml:space="preserve"> </w:t>
      </w:r>
      <w:r>
        <w:t xml:space="preserve">Для групп с многократной дозировкой, исследование будет включать 3 периода: период отбора, период многократной дозировки и период наблюдения в стационаре на месте проведения исследования, а также период наблюдения вне стационара.</w:t>
      </w:r>
    </w:p>
    <w:p>
      <w:pPr>
        <w:pStyle w:val="4"/>
      </w:pPr>
      <w:bookmarkStart w:id="21" w:name="расписание-приема-пищи-и-напитков"/>
      <w:r>
        <w:t xml:space="preserve">Расписание приема пищи и напитков</w:t>
      </w:r>
      <w:bookmarkEnd w:id="21"/>
    </w:p>
    <w:p>
      <w:pPr>
        <w:pStyle w:val="BlockText"/>
      </w:pPr>
      <w:r>
        <w:rPr>
          <w:i/>
        </w:rPr>
        <w:t xml:space="preserve">Расписание приема пищи</w:t>
      </w:r>
    </w:p>
    <w:p>
      <w:pPr>
        <w:pStyle w:val="FirstParagraph"/>
      </w:pPr>
      <w:r>
        <w:t xml:space="preserve">Волонтеры, принимающие препарат натощак (после не менее 8 часов голодания), будут иметь стандартный завтрак не ранее чем через 4 часа после приема препарата. Волонтеры, принимающие препарат после еды, будут иметь стандартный завтрак с высоким содержанием калорий за 30 минут до приема препарата и заканчивать прием пищи не позднее чем за 10 минут до приема препарата.</w:t>
      </w:r>
    </w:p>
    <w:p>
      <w:pPr>
        <w:pStyle w:val="7"/>
      </w:pPr>
      <w:r>
        <w:t xml:space="preserve">Волонтеры будут иметь стандартный обед не ранее чем через 6 часов (ужин - не ранее чем через 10 часов) после приема препарата. Волонтеры будут придерживаться регулярного графика приема пищи, за исключением периода голодания в 8 часов перед взятием крови для анализов CBC и биохимии.</w:t>
      </w:r>
    </w:p>
    <w:p>
      <w:pPr>
        <w:pStyle w:val="BlockText"/>
      </w:pPr>
      <w:r>
        <w:rPr>
          <w:i/>
        </w:rPr>
        <w:t xml:space="preserve">Стандартный завтрак с высоким содержанием калорий</w:t>
      </w:r>
    </w:p>
    <w:p>
      <w:pPr>
        <w:pStyle w:val="FirstParagraph"/>
      </w:pPr>
      <w:r>
        <w:t xml:space="preserve">Общая энергетическая ценность стандартного завтрака с высоким содержанием жиров составляет 900-1000 ккал (энергетическая ценность белков, углеводов и жиров составляет 150 ккал, 250 ккал и 500-600 ккал соответственно).</w:t>
      </w:r>
    </w:p>
    <w:p>
      <w:pPr>
        <w:pStyle w:val="BlockText"/>
      </w:pPr>
      <w:r>
        <w:rPr>
          <w:i/>
        </w:rPr>
        <w:t xml:space="preserve">График приема лекарства</w:t>
      </w:r>
      <w:r>
        <w:t xml:space="preserve"> </w:t>
      </w:r>
      <w:r>
        <w:t xml:space="preserve">Утром, не позднее чем за 1 час до введения препарата, участник должен выпить 200 мл воды комнатной температуры, сваренной или бутилированной. Прием воды запрещен в течение 1 часа до и 2 часа после введения препарата (за исключением жидкостей, указанных в разделе «Введение препарата»),</w:t>
      </w:r>
      <w:r>
        <w:t xml:space="preserve"> </w:t>
      </w:r>
      <w:r>
        <w:t xml:space="preserve">После этого участники будут придерживаться регулярного графика приема.</w:t>
      </w:r>
    </w:p>
    <w:p>
      <w:pPr>
        <w:pStyle w:val="4"/>
      </w:pPr>
      <w:bookmarkStart w:id="22" w:name="группы-с-дозой-в-1-прием"/>
      <w:r>
        <w:t xml:space="preserve">Группы с дозой в 1 прием</w:t>
      </w:r>
      <w:bookmarkEnd w:id="22"/>
    </w:p>
    <w:p>
      <w:pPr>
        <w:pStyle w:val="BlockText"/>
      </w:pPr>
      <w:r>
        <w:t xml:space="preserve">В день -14 будут проведены процедуры скрининга для оценки критериев включения/исключения.</w:t>
      </w:r>
      <w:r>
        <w:t xml:space="preserve"> </w:t>
      </w:r>
      <w:r>
        <w:t xml:space="preserve">После подписания Информационной формы и Формы согласия, участники пройдут процедуры скрининга, включая демографические данные и медицинскую историю, назначение уникального идентификатора, физический осмотр, включая рост, вес, индекс массы тела (ИМТ), жизненные показатели, электрокардиограмму (ЭКГ), биоматериал для биохимических, иммунологических и полного анализа крови, анализ мочи, тестирование на наличие алкоголя, наркотических веществ и мощных лекарственных препаратов, тестирование на котинин, а также оценку побочных эффектов и сопутствующих лекарств. Женщины детородного возраста пройдут тест на беременность.</w:t>
      </w:r>
      <w:r>
        <w:t xml:space="preserve"> </w:t>
      </w:r>
      <w:r>
        <w:t xml:space="preserve">Участников пригласят на место проведения исследования для госпитализации накануне дня -1 после окончательной оценки всех критериев включения/исключения. Во время этой визиты будет проведен физический осмотр, оценка жизненных показателей, тестирование на наличие алкоголя, наркотических веществ и мощных лекарственных препаратов, тестирование на котинин, оценка критериев включения/исключения, а также оценка побочных эффектов и сопутствующей терапии. Женщины детородного возраста пройдут тест на беременность.</w:t>
      </w:r>
    </w:p>
    <w:p>
      <w:pPr>
        <w:pStyle w:val="4"/>
      </w:pPr>
      <w:bookmarkStart w:id="23" w:name="терапия"/>
      <w:r>
        <w:t xml:space="preserve">Терапия</w:t>
      </w:r>
      <w:bookmarkEnd w:id="23"/>
    </w:p>
    <w:p>
      <w:pPr>
        <w:pStyle w:val="BlockText"/>
      </w:pPr>
      <w:r>
        <w:t xml:space="preserve">В день 0, после окончательного подтверждения всех критериев включения/исключения, оценки побочных эффектов и сопутствующей терапии, и до введения препарата, участники будут рандомизированы. Участникам будет предоставлена карточка участника. Перед введением препарата участники также пройдут первичную оценку, включая жизненные показатели, ЭКГ, общий анализ крови, биохимию, анализ мочи, а также биопсию для анализа PK и базовых фармакодинамических параметров.</w:t>
      </w:r>
      <w:r>
        <w:t xml:space="preserve"> </w:t>
      </w:r>
      <w:r>
        <w:t xml:space="preserve">Участники получат препарат (L08-0623 или плацебо, в соотношении 1:1 для участников основной контрольной группы и в соотношении 5:1 для остальных участников) в дозе, соответствующей дозе, указанной в таблице:</w:t>
      </w:r>
    </w:p>
    <w:p>
      <w:pPr>
        <w:numPr>
          <w:numId w:val="1002"/>
          <w:ilvl w:val="0"/>
        </w:numPr>
      </w:pPr>
      <w:r>
        <w:t xml:space="preserve">Группа 1 (N=8). Одна доза (10 мг), натощак.</w:t>
      </w:r>
    </w:p>
    <w:p>
      <w:pPr>
        <w:numPr>
          <w:numId w:val="1002"/>
          <w:ilvl w:val="0"/>
        </w:numPr>
      </w:pPr>
      <w:r>
        <w:t xml:space="preserve">Группа 2 (N=8). Одна доза (20 мг), натощак.</w:t>
      </w:r>
    </w:p>
    <w:p>
      <w:pPr>
        <w:numPr>
          <w:numId w:val="1002"/>
          <w:ilvl w:val="0"/>
        </w:numPr>
      </w:pPr>
      <w:r>
        <w:t xml:space="preserve">Группа 3 (N=8). Одна доза (50 мг), натощак.</w:t>
      </w:r>
    </w:p>
    <w:p>
      <w:pPr>
        <w:numPr>
          <w:numId w:val="1002"/>
          <w:ilvl w:val="0"/>
        </w:numPr>
      </w:pPr>
      <w:r>
        <w:t xml:space="preserve">Группа 4 (N=8). Одна доза (100 мг), натощак.</w:t>
      </w:r>
    </w:p>
    <w:p>
      <w:pPr>
        <w:numPr>
          <w:numId w:val="1002"/>
          <w:ilvl w:val="0"/>
        </w:numPr>
      </w:pPr>
      <w:r>
        <w:t xml:space="preserve">Группа 5 (N=8). Доза 50 мг, натощак, один раз в день в течение 7 дней.</w:t>
      </w:r>
    </w:p>
    <w:p>
      <w:pPr>
        <w:numPr>
          <w:numId w:val="1002"/>
          <w:ilvl w:val="0"/>
        </w:numPr>
      </w:pPr>
      <w:r>
        <w:t xml:space="preserve">Группа 6 (N=8). Доза 100 мг, натощак, один раз в день в течение 7 дней.</w:t>
      </w:r>
    </w:p>
    <w:p>
      <w:pPr>
        <w:numPr>
          <w:numId w:val="1002"/>
          <w:ilvl w:val="0"/>
        </w:numPr>
      </w:pPr>
      <w:r>
        <w:t xml:space="preserve">Группа 7 (N=8). Одна доза (X мг), после еды (дозу определит DSMB после анализа данных о безопасности и PK в других группах).</w:t>
      </w:r>
    </w:p>
    <w:p>
      <w:pPr>
        <w:numPr>
          <w:numId w:val="1002"/>
          <w:ilvl w:val="0"/>
        </w:numPr>
      </w:pPr>
      <w:r>
        <w:t xml:space="preserve">Группа 8 (N=8). Одна доза (X мг), после еды (дозу определит DSMB после анализа данных о безопасности и PK в других группах).</w:t>
      </w:r>
    </w:p>
    <w:p>
      <w:pPr>
        <w:pStyle w:val="BlockText"/>
      </w:pPr>
      <w:r>
        <w:t xml:space="preserve">Волонтеры останутся на объекте не менее 72 часов после введения препарата для мониторинга параметров безопасности после введения SD и сбора образцов для оценки PK и PD.</w:t>
      </w:r>
      <w:r>
        <w:t xml:space="preserve"> </w:t>
      </w:r>
      <w:r>
        <w:t xml:space="preserve">Через 4 часа после введения SD будут оценены жизненно важные показатели и проведено ЭКГ.</w:t>
      </w:r>
      <w:r>
        <w:t xml:space="preserve"> </w:t>
      </w:r>
      <w:r>
        <w:t xml:space="preserve">На основе данных, полученных в ходе предокспериментальных исследований L08-0623, анализ PK будет проводиться в следующие моменты времени:</w:t>
      </w:r>
      <w:r>
        <w:t xml:space="preserve"> </w:t>
      </w:r>
      <w:r>
        <w:t xml:space="preserve">День 0 – до введения препарата и через 15 мин, 30 мин, 45 мин, 1 час, 1 час 30 мин, 2 часа, 3 часа, 4 часа, 5 часов, 6 часов, 8 часов и 12 часов после однократного введения препарата;</w:t>
      </w:r>
      <w:r>
        <w:t xml:space="preserve"> </w:t>
      </w:r>
      <w:r>
        <w:t xml:space="preserve">День 1 – через 24 часа после однократного введения препарата;</w:t>
      </w:r>
      <w:r>
        <w:t xml:space="preserve"> </w:t>
      </w:r>
      <w:r>
        <w:t xml:space="preserve">День 2 – через 48 часов после однократного введения препарата;</w:t>
      </w:r>
      <w:r>
        <w:t xml:space="preserve"> </w:t>
      </w:r>
      <w:r>
        <w:t xml:space="preserve">День 3 – через 72 часа после однократного введения препарата;</w:t>
      </w:r>
      <w:r>
        <w:t xml:space="preserve"> </w:t>
      </w:r>
      <w:r>
        <w:t xml:space="preserve">День 7 – во время посещения объекта.</w:t>
      </w:r>
      <w:r>
        <w:t xml:space="preserve"> </w:t>
      </w:r>
      <w:r>
        <w:t xml:space="preserve">Образцы крови для оценки PD (стимулирование IFNγ ex vivo) будут собраны в следующие моменты времени:</w:t>
      </w:r>
      <w:r>
        <w:t xml:space="preserve"> </w:t>
      </w:r>
      <w:r>
        <w:t xml:space="preserve">День 0 – до введения препарата и через 1 час, 2 часа, 3 часа, 4 часа, 6 часов, 8 часов и 12 часов после однократного введения препарата;</w:t>
      </w:r>
      <w:r>
        <w:t xml:space="preserve"> </w:t>
      </w:r>
      <w:r>
        <w:t xml:space="preserve">День 1 – через 24 часа после однократного введения препарата;</w:t>
      </w:r>
      <w:r>
        <w:t xml:space="preserve"> </w:t>
      </w:r>
      <w:r>
        <w:t xml:space="preserve">День 2 – через 48 часов после однократного введения препарата;</w:t>
      </w:r>
      <w:r>
        <w:t xml:space="preserve"> </w:t>
      </w:r>
      <w:r>
        <w:t xml:space="preserve">День 3 – через 72 часа после однократного введения препарата.</w:t>
      </w:r>
      <w:r>
        <w:t xml:space="preserve"> </w:t>
      </w:r>
      <w:r>
        <w:t xml:space="preserve">День 1 будет включать оценку жизненно важных показателей, физический осмотр, ЭКГ, общий анализ крови, биохимию, анализ мочи и оценку нежелательных явлений и сопутствующей терапии.</w:t>
      </w:r>
      <w:r>
        <w:t xml:space="preserve"> </w:t>
      </w:r>
      <w:r>
        <w:t xml:space="preserve">День 2 будет включать оценку жизненно важных показателей и нежелательных явлений, а также сопутствующую терапию.</w:t>
      </w:r>
      <w:r>
        <w:t xml:space="preserve"> </w:t>
      </w:r>
      <w:r>
        <w:t xml:space="preserve">День 3 будет включать оценку жизненно важных показателей и нежелательных явлений, а также сопутствующую терапию. После этого будет завершена госпитализация, и волонтеры покинут объект.</w:t>
      </w:r>
    </w:p>
    <w:p>
      <w:pPr>
        <w:pStyle w:val="4"/>
      </w:pPr>
      <w:bookmarkStart w:id="24" w:name="период-наблюдения"/>
      <w:r>
        <w:t xml:space="preserve">Период наблюдения</w:t>
      </w:r>
      <w:bookmarkEnd w:id="24"/>
    </w:p>
    <w:p>
      <w:pPr>
        <w:pStyle w:val="BlockText"/>
      </w:pPr>
      <w:r>
        <w:t xml:space="preserve">В день 5 и день 7 волонтеры будут посещать объект на амбулаторной основе, проходить процедуры наблюдения, оценку жизненно важных показателей, нежелательных явлений и сопутствующей терапии.</w:t>
      </w:r>
      <w:r>
        <w:t xml:space="preserve"> </w:t>
      </w:r>
      <w:r>
        <w:t xml:space="preserve">В день 7 также будет проведен физический осмотр, ЭКГ, сбор биоматериала для общего анализа крови и биохимии, анализ мочи и измерение веса.</w:t>
      </w:r>
    </w:p>
    <w:p>
      <w:pPr>
        <w:pStyle w:val="4"/>
      </w:pPr>
      <w:bookmarkStart w:id="25" w:name="X36861b740e1ee94c11f4bae2ae5d41933d58424"/>
      <w:r>
        <w:t xml:space="preserve">Группы с многократным введением</w:t>
      </w:r>
      <w:r>
        <w:t xml:space="preserve"> </w:t>
      </w:r>
      <w:r>
        <w:rPr>
          <w:b/>
        </w:rPr>
        <w:t xml:space="preserve">Период отбора</w:t>
      </w:r>
      <w:bookmarkEnd w:id="25"/>
    </w:p>
    <w:p>
      <w:pPr>
        <w:pStyle w:val="BlockText"/>
      </w:pPr>
      <w:r>
        <w:t xml:space="preserve">Во время посещения в день -14 будут проведены процедуры отбора для оценки критериев включения/исключения.</w:t>
      </w:r>
      <w:r>
        <w:t xml:space="preserve"> </w:t>
      </w:r>
      <w:r>
        <w:t xml:space="preserve">После подписания Информационной формы и Формы согласия, волонтеры пройдут процедуры отбора, включая демографические данные и историю болезни, присвоение уникального идентификатора, физический осмотр (рост, вес, индекс массы тела), жизненно важные показатели, ЭКГ, сбор биоматериала для биохимии, исследования на антитела, общий анализ крови, анализ на употребление алкоголя, наркотических веществ и сильнодействующих препаратов, исследование на котинин и оценку нежелательных явлений и сопутствующей терапии. Женщины детородного возраста пройдут тест на беременность.</w:t>
      </w:r>
      <w:r>
        <w:t xml:space="preserve"> </w:t>
      </w:r>
      <w:r>
        <w:t xml:space="preserve">Волонтеров пригласят на объект исследования для госпитализации накануне дня -1 после окончательной оценки всех критериев включения/исключения. Во время этого визита будут проведен физический осмотр, оценка жизненно важных показателей, тестирование на употребление наркотических веществ и алкоголя, исследование на котинин, оценка критериев включения/исключения и оценка нежелательных явлений и сопутствующих препаратов. Женщины детородного возраста пройдут тест на беременность.</w:t>
      </w:r>
    </w:p>
    <w:p>
      <w:pPr>
        <w:pStyle w:val="4"/>
      </w:pPr>
      <w:bookmarkStart w:id="26" w:name="терапия-исследования"/>
      <w:r>
        <w:t xml:space="preserve">Терапия исследования</w:t>
      </w:r>
      <w:bookmarkEnd w:id="26"/>
    </w:p>
    <w:p>
      <w:pPr>
        <w:pStyle w:val="BlockText"/>
      </w:pPr>
      <w:r>
        <w:t xml:space="preserve">В день 0, после окончательного подтверждения всех критериев включения/исключения и до введения препарата, участники будут рандомизированы. Участникам будет предоставлена карточка участника. До первой дозы препарата, участники также должны будут пройти следующие анализы: ЭКГ, общий анализ крови, биохимический анализ, анализ мочи и сбор биоматериала для оценки PK и PD.</w:t>
      </w:r>
      <w:r>
        <w:t xml:space="preserve"> </w:t>
      </w:r>
      <w:r>
        <w:t xml:space="preserve">Участники должны будут ввести препарат (L08-0623 или плацебо, в соотношении 1:1 для группы участников, принимающих основной препарат, и 5:1 для группы участников, принимающих остальную группу) в состоянии голодания, по дозе 50 мг, один раз в день в течение 7 дней (группа 5), или по дозе 100 мг, один раз в день в течение 7 дней (группа 6). Участники должны будут оставаться в месте проведения исследования в течение следующих 9 дней для ежедневного приема препарата и мониторинга безопасности и параметров PK.</w:t>
      </w:r>
      <w:r>
        <w:t xml:space="preserve"> </w:t>
      </w:r>
      <w:r>
        <w:t xml:space="preserve">На основании данных, полученных в ходе предоклинических исследований L08-0623, анализ PK будет проводиться в следующие моменты:</w:t>
      </w:r>
      <w:r>
        <w:t xml:space="preserve"> </w:t>
      </w:r>
      <w:r>
        <w:t xml:space="preserve">День 0 – до введения препарата и через 15 мин, 30 мин, 45 мин, 1 час, 1 час 30 мин, 2 часа, 3 часа, 4 часа, 5 часов, 6 часов, 8 часов, 12 часов после введения первой дозы препарата;</w:t>
      </w:r>
      <w:r>
        <w:t xml:space="preserve"> </w:t>
      </w:r>
      <w:r>
        <w:t xml:space="preserve">День 1 – до второй дозы препарата;</w:t>
      </w:r>
      <w:r>
        <w:t xml:space="preserve"> </w:t>
      </w:r>
      <w:r>
        <w:t xml:space="preserve">День 2 – до следующей дозы препарата;</w:t>
      </w:r>
      <w:r>
        <w:t xml:space="preserve"> </w:t>
      </w:r>
      <w:r>
        <w:t xml:space="preserve">День 3 – до следующей дозы препарата;</w:t>
      </w:r>
      <w:r>
        <w:t xml:space="preserve"> </w:t>
      </w:r>
      <w:r>
        <w:t xml:space="preserve">День 5 – до следующей дозы препарата;</w:t>
      </w:r>
      <w:r>
        <w:t xml:space="preserve"> </w:t>
      </w:r>
      <w:r>
        <w:t xml:space="preserve">День 6 – до введения препарата и через 15 мин, 30 мин, 45 мин, 1 час, 1 час 30 мин, 2 часа, 2 часа 30 мин, 3 часа, 4 часа, 5 часов, 6 часов, 8 часов, 12 часов после введения последней дозы препарата;</w:t>
      </w:r>
      <w:r>
        <w:t xml:space="preserve"> </w:t>
      </w:r>
      <w:r>
        <w:t xml:space="preserve">День 7 – через 24 часа после введения последней дозы препарата;</w:t>
      </w:r>
      <w:r>
        <w:t xml:space="preserve"> </w:t>
      </w:r>
      <w:r>
        <w:t xml:space="preserve">День 8 – через 48 часов после введения последней дозы препарата;</w:t>
      </w:r>
      <w:r>
        <w:t xml:space="preserve"> </w:t>
      </w:r>
      <w:r>
        <w:t xml:space="preserve">День 9 – через 72 часа после введения последней дозы препарата.</w:t>
      </w:r>
      <w:r>
        <w:t xml:space="preserve"> </w:t>
      </w:r>
      <w:r>
        <w:t xml:space="preserve">Также будет проведен анализ PK в день 14 и 21 – во время визита в место проведения исследования.</w:t>
      </w:r>
      <w:r>
        <w:t xml:space="preserve"> </w:t>
      </w:r>
      <w:r>
        <w:t xml:space="preserve">Образцы крови для фармакодинамической оценки (стимулированный IFNγ in vitro) будут собраны в следующие моменты:</w:t>
      </w:r>
      <w:r>
        <w:t xml:space="preserve"> </w:t>
      </w:r>
      <w:r>
        <w:t xml:space="preserve">День 0 – до введения препарата и через 1 час, 2 часа, 3 часа, 4 часа, 6 часов, 8 часов и 12 часов после введения первой дозы препарата;</w:t>
      </w:r>
      <w:r>
        <w:t xml:space="preserve"> </w:t>
      </w:r>
      <w:r>
        <w:t xml:space="preserve">День 1 – до второй дозы препарата;</w:t>
      </w:r>
      <w:r>
        <w:t xml:space="preserve"> </w:t>
      </w:r>
      <w:r>
        <w:t xml:space="preserve">День 2 – до следующей дозы препарата;</w:t>
      </w:r>
      <w:r>
        <w:t xml:space="preserve"> </w:t>
      </w:r>
      <w:r>
        <w:t xml:space="preserve">День 3 – до следующей дозы препарата;</w:t>
      </w:r>
      <w:r>
        <w:t xml:space="preserve"> </w:t>
      </w:r>
      <w:r>
        <w:t xml:space="preserve">День 6 – до введения препарата и через 1 час, 2 часа, 3 часа, 4 часа, 6 часов, 8 часов и 12 часов после введения последней дозы препарата;</w:t>
      </w:r>
      <w:r>
        <w:t xml:space="preserve"> </w:t>
      </w:r>
      <w:r>
        <w:t xml:space="preserve">День 7 – через 24 часа после введения последней дозы препарата;</w:t>
      </w:r>
      <w:r>
        <w:t xml:space="preserve"> </w:t>
      </w:r>
      <w:r>
        <w:t xml:space="preserve">День 8 – через 48 часов после введения последней дозы препарата;</w:t>
      </w:r>
      <w:r>
        <w:t xml:space="preserve"> </w:t>
      </w:r>
      <w:r>
        <w:t xml:space="preserve">День 9 – через 72 часа после введения последней дозы препарата;</w:t>
      </w:r>
      <w:r>
        <w:t xml:space="preserve"> </w:t>
      </w:r>
      <w:r>
        <w:t xml:space="preserve">День 14 – во время визита в место проведения исследования.</w:t>
      </w:r>
      <w:r>
        <w:t xml:space="preserve"> </w:t>
      </w:r>
      <w:r>
        <w:t xml:space="preserve">В день 0 также будут оценены жизненные показатели и ЭКГ через 4 часа</w:t>
      </w:r>
      <w:r>
        <w:rPr>
          <w:rStyle w:val="8"/>
        </w:rPr>
        <w:footnoteReference w:id="27"/>
      </w:r>
      <w:r>
        <w:t xml:space="preserve"> </w:t>
      </w:r>
      <w:r>
        <w:t xml:space="preserve">после введения препарата.</w:t>
      </w:r>
      <w:r>
        <w:t xml:space="preserve"> </w:t>
      </w:r>
      <w:r>
        <w:t xml:space="preserve">С 1 по 9 день (дни госпитализации) будут оценены жизненные показатели, побочные эффекты и сопутствующая терапия.</w:t>
      </w:r>
      <w:r>
        <w:t xml:space="preserve"> </w:t>
      </w:r>
      <w:r>
        <w:t xml:space="preserve">С 0 по 6 день будет проводиться ежедневное введение препарата.</w:t>
      </w:r>
      <w:r>
        <w:t xml:space="preserve"> </w:t>
      </w:r>
      <w:r>
        <w:t xml:space="preserve">В день 2 будет проведена ЭКГ, и будет собран биоматериал для общего анализа крови, биохимического анализа и анализа мочи.</w:t>
      </w:r>
      <w:r>
        <w:t xml:space="preserve"> </w:t>
      </w:r>
      <w:r>
        <w:t xml:space="preserve">В день 5 будет проведена ЭКГ, и будет собран биоматериал для общего анализа крови, биохимического анализа и анализа мочи.</w:t>
      </w:r>
      <w:r>
        <w:t xml:space="preserve"> </w:t>
      </w:r>
      <w:r>
        <w:t xml:space="preserve">В день 9 будет проведена физикальная оценка, оценка жизненных показателей, ЭКГ, биохимический анализ и общий анализ крови, анализ мочи, а также оценка побочных эффектов и сопутствующей терапии. После этого госпитализация будет завершена.</w:t>
      </w:r>
    </w:p>
    <w:p>
      <w:pPr>
        <w:pStyle w:val="4"/>
      </w:pPr>
      <w:bookmarkStart w:id="28" w:name="период-наблюдения-1"/>
      <w:r>
        <w:t xml:space="preserve">Период наблюдения</w:t>
      </w:r>
      <w:bookmarkEnd w:id="28"/>
    </w:p>
    <w:p>
      <w:pPr>
        <w:pStyle w:val="BlockText"/>
      </w:pPr>
      <w:r>
        <w:t xml:space="preserve">В день 14 и 21 участники будут посещать место проведения исследования на амбулаторной основе.</w:t>
      </w:r>
      <w:r>
        <w:t xml:space="preserve"> </w:t>
      </w:r>
      <w:r>
        <w:t xml:space="preserve">В день 14 и 21 будут проведены процедуры наблюдения, включающие физикальную оценку, оценку жизненных показателей, ЭКГ, сбор биоматериала для общего анализа крови и биохимического анализа, анализ мочи, а также оценку побочных эффектов и сопутствующей терапии.</w:t>
      </w:r>
      <w:r>
        <w:t xml:space="preserve"> </w:t>
      </w:r>
      <w:r>
        <w:t xml:space="preserve">В день 14 также будет измерена масса тела.</w:t>
      </w:r>
      <w:r>
        <w:t xml:space="preserve"> </w:t>
      </w:r>
      <w:r>
        <w:t xml:space="preserve">В день 21 участники завершат участие в исследовании.</w:t>
      </w:r>
    </w:p>
    <w:p>
      <w:pPr>
        <w:pStyle w:val="FirstParagraph"/>
      </w:pPr>
      <w:r>
        <w:t xml:space="preserve">Исследуемая популяция {#study-population .ListParagraph}</w:t>
      </w:r>
    </w:p>
    <w:p>
      <w:pPr>
        <w:pStyle w:val="7"/>
      </w:pPr>
      <w:r>
        <w:t xml:space="preserve">В исследовании будут участвовать 64 здоровых мужчин и женщин в одном клиническом месте.</w:t>
      </w:r>
    </w:p>
    <w:p>
      <w:pPr>
        <w:pStyle w:val="7"/>
      </w:pPr>
      <w:r>
        <w:rPr>
          <w:b/>
        </w:rPr>
        <w:t xml:space="preserve">Критерии включения</w:t>
      </w:r>
      <w:r>
        <w:t xml:space="preserve"> </w:t>
      </w:r>
      <w:r>
        <w:t xml:space="preserve">{#inclusion-criteria .ListParagraph}</w:t>
      </w:r>
    </w:p>
    <w:p>
      <w:pPr>
        <w:pStyle w:val="7"/>
      </w:pPr>
      <w:r>
        <w:t xml:space="preserve">Для участия в исследовании, здоровые волонтеры должны соответствовать следующим критериям:</w:t>
      </w:r>
    </w:p>
    <w:p>
      <w:pPr>
        <w:pStyle w:val="7"/>
      </w:pPr>
      <w:r>
        <w:t xml:space="preserve">TRANSLATION:</w:t>
      </w:r>
    </w:p>
    <w:p>
      <w:pPr>
        <w:numPr>
          <w:numId w:val="1003"/>
          <w:ilvl w:val="0"/>
        </w:numPr>
      </w:pPr>
      <w:r>
        <w:t xml:space="preserve">Мужчины и женщины, не курящие (по крайней мере, за год до обследования), в возрасте от 18 до 45 лет на дату подписания Формы согласия, при этом:</w:t>
      </w:r>
    </w:p>
    <w:p>
      <w:pPr>
        <w:numPr>
          <w:numId w:val="1003"/>
          <w:ilvl w:val="0"/>
        </w:numPr>
      </w:pPr>
      <w:r>
        <w:t xml:space="preserve">Подтвержденный здоровый диагноз, основанный на стандартных клинических, лабораторных и инструментальных исследованиях;</w:t>
      </w:r>
    </w:p>
    <w:p>
      <w:pPr>
        <w:numPr>
          <w:numId w:val="1003"/>
          <w:ilvl w:val="0"/>
        </w:numPr>
      </w:pPr>
      <w:r>
        <w:t xml:space="preserve">Индекс массы тела (ИМТ) от 18,5 до 30,0 кг/м</w:t>
      </w:r>
      <w:r>
        <w:rPr>
          <w:vertAlign w:val="superscript"/>
        </w:rPr>
        <w:t xml:space="preserve">2</w:t>
      </w:r>
      <w:r>
        <w:t xml:space="preserve"> </w:t>
      </w:r>
      <w:r>
        <w:t xml:space="preserve">с весом не менее 45 кг для женщин и не менее 55 кг для мужчин;</w:t>
      </w:r>
    </w:p>
    <w:p>
      <w:pPr>
        <w:numPr>
          <w:numId w:val="1003"/>
          <w:ilvl w:val="0"/>
        </w:numPr>
      </w:pPr>
      <w:r>
        <w:t xml:space="preserve">Артериальное давление (АД): систолическое артериальное давление (САД) - 100-129 мм рт. ст., диастолическое артериальное давление (ДАД) - 60-89 мм рт. ст.;</w:t>
      </w:r>
    </w:p>
    <w:p>
      <w:pPr>
        <w:numPr>
          <w:numId w:val="1003"/>
          <w:ilvl w:val="0"/>
        </w:numPr>
      </w:pPr>
      <w:r>
        <w:t xml:space="preserve">Частота сердечных сокращений (ЧСС) - от 60 до 89 ударов в минуту;</w:t>
      </w:r>
    </w:p>
    <w:p>
      <w:pPr>
        <w:numPr>
          <w:numId w:val="1003"/>
          <w:ilvl w:val="0"/>
        </w:numPr>
      </w:pPr>
      <w:r>
        <w:t xml:space="preserve">Частота дыхания (ЧД): от 12 до 20 раз в минуту.</w:t>
      </w:r>
    </w:p>
    <w:p>
      <w:pPr>
        <w:numPr>
          <w:numId w:val="1003"/>
          <w:ilvl w:val="0"/>
        </w:numPr>
      </w:pPr>
      <w:r>
        <w:t xml:space="preserve">Температура тела: от 36,0°C до 36,9°C.</w:t>
      </w:r>
    </w:p>
    <w:p>
      <w:pPr>
        <w:numPr>
          <w:numId w:val="1003"/>
          <w:ilvl w:val="0"/>
        </w:numPr>
      </w:pPr>
      <w:r>
        <w:t xml:space="preserve">Отрицательный тест на содержание этанола в выдыхаемом воздухе;</w:t>
      </w:r>
    </w:p>
    <w:p>
      <w:pPr>
        <w:numPr>
          <w:numId w:val="1003"/>
          <w:ilvl w:val="0"/>
        </w:numPr>
      </w:pPr>
      <w:r>
        <w:t xml:space="preserve">Отрицательный тест мочи на наличие наркотических веществ и мощных лекарств;</w:t>
      </w:r>
    </w:p>
    <w:p>
      <w:pPr>
        <w:numPr>
          <w:numId w:val="1003"/>
          <w:ilvl w:val="0"/>
        </w:numPr>
      </w:pPr>
      <w:r>
        <w:t xml:space="preserve">Отрицательный тест мочи на содержание котинина;</w:t>
      </w:r>
    </w:p>
    <w:p>
      <w:pPr>
        <w:numPr>
          <w:numId w:val="1003"/>
          <w:ilvl w:val="0"/>
        </w:numPr>
      </w:pPr>
      <w:r>
        <w:t xml:space="preserve">Отрицательный тест на беременность и отсутствие лактации (для женщин);</w:t>
      </w:r>
    </w:p>
    <w:p>
      <w:pPr>
        <w:numPr>
          <w:numId w:val="1003"/>
          <w:ilvl w:val="0"/>
        </w:numPr>
      </w:pPr>
      <w:r>
        <w:t xml:space="preserve">Участники соглашаются использовать адекватный контрацептивный метод на протяжении всего периода исследования и в течение 3 месяцев после его завершения. Адекватными методами контрацепции являются:</w:t>
      </w:r>
    </w:p>
    <w:p>
      <w:pPr>
        <w:numPr>
          <w:numId w:val="1004"/>
          <w:ilvl w:val="0"/>
        </w:numPr>
      </w:pPr>
      <w:r>
        <w:t xml:space="preserve">Кондом с пероральным смягчающим средством (пенка, гель, крем, таблетки),</w:t>
      </w:r>
    </w:p>
    <w:p>
      <w:pPr>
        <w:numPr>
          <w:numId w:val="1004"/>
          <w:ilvl w:val="0"/>
        </w:numPr>
      </w:pPr>
      <w:r>
        <w:t xml:space="preserve">Опционально для женщин:</w:t>
      </w:r>
    </w:p>
    <w:p>
      <w:pPr>
        <w:numPr>
          <w:numId w:val="1004"/>
          <w:ilvl w:val="0"/>
        </w:numPr>
      </w:pPr>
      <w:r>
        <w:t xml:space="preserve">Кондом с пероральным смягчающим средством (для партнера мужчины)</w:t>
      </w:r>
    </w:p>
    <w:p>
      <w:pPr>
        <w:numPr>
          <w:numId w:val="1004"/>
          <w:ilvl w:val="0"/>
        </w:numPr>
      </w:pPr>
      <w:r>
        <w:t xml:space="preserve">Диафрагма со смягчающим средством</w:t>
      </w:r>
    </w:p>
    <w:p>
      <w:pPr>
        <w:numPr>
          <w:numId w:val="1004"/>
          <w:ilvl w:val="0"/>
        </w:numPr>
      </w:pPr>
      <w:r>
        <w:t xml:space="preserve">Влагалищный колпачок со смягчающим средством</w:t>
      </w:r>
    </w:p>
    <w:p>
      <w:pPr>
        <w:numPr>
          <w:numId w:val="1004"/>
          <w:ilvl w:val="0"/>
        </w:numPr>
      </w:pPr>
      <w:r>
        <w:t xml:space="preserve">Негормональный внутриматочная спираль (ВМС).</w:t>
      </w:r>
    </w:p>
    <w:p>
      <w:pPr>
        <w:pStyle w:val="Compact"/>
        <w:numPr>
          <w:numId w:val="1005"/>
          <w:ilvl w:val="0"/>
        </w:numPr>
      </w:pPr>
      <w:r>
        <w:t xml:space="preserve">Подписанная Информационная листовка и Форма согласия до начала любых обследований, а также способность соблюдать все требования Протокола, определенные исследователем.</w:t>
      </w:r>
    </w:p>
    <w:p>
      <w:pPr>
        <w:pStyle w:val="FirstParagraph"/>
      </w:pPr>
      <w:r>
        <w:t xml:space="preserve">Критерии исключения {#exclusion-criteria .ListParagraph}</w:t>
      </w:r>
    </w:p>
    <w:p>
      <w:pPr>
        <w:pStyle w:val="7"/>
      </w:pPr>
      <w:r>
        <w:t xml:space="preserve">Участник считается не соответствующим критериям для участия в исследовании, если он/она соответствует хотя бы одному из следующих критериев:</w:t>
      </w:r>
    </w:p>
    <w:p>
      <w:pPr>
        <w:numPr>
          <w:numId w:val="1006"/>
          <w:ilvl w:val="0"/>
        </w:numPr>
      </w:pPr>
      <w:r>
        <w:t xml:space="preserve">Хронические заболевания сердечно-сосудистой, бронхо-легочной, нервной, эндокринной, мышечно-скелетной систем, желудочно-кишечного тракта, печени, почек, крови, психические заболевания, эпилепсия или судороги;</w:t>
      </w:r>
    </w:p>
    <w:p>
      <w:pPr>
        <w:numPr>
          <w:numId w:val="1006"/>
          <w:ilvl w:val="0"/>
        </w:numPr>
      </w:pPr>
      <w:r>
        <w:t xml:space="preserve">Результаты стандартных лабораторных и инструментальных исследований, выходящие за пределы нормы на момент обследования;</w:t>
      </w:r>
    </w:p>
    <w:p>
      <w:pPr>
        <w:numPr>
          <w:numId w:val="1006"/>
          <w:ilvl w:val="0"/>
        </w:numPr>
      </w:pPr>
      <w:r>
        <w:t xml:space="preserve">История хирургического вмешательства на желудочно-кишечном тракте (за исключением аппендэктомии);</w:t>
      </w:r>
    </w:p>
    <w:p>
      <w:pPr>
        <w:numPr>
          <w:numId w:val="1006"/>
          <w:ilvl w:val="0"/>
        </w:numPr>
      </w:pPr>
      <w:r>
        <w:t xml:space="preserve">Регулярное использование лекарственных средств менее чем за 2 недели до обследования (включая травяные и диетические добавки);</w:t>
      </w:r>
    </w:p>
    <w:p>
      <w:pPr>
        <w:numPr>
          <w:numId w:val="1006"/>
          <w:ilvl w:val="0"/>
        </w:numPr>
      </w:pPr>
      <w:r>
        <w:t xml:space="preserve">Использование лекарств, оказывающих значительное влияние на гемодинамику, функцию печени и т.д. (например, барбитураты, омепразол, циметидин и т.д.) менее чем за 30 дней до обследования;</w:t>
      </w:r>
    </w:p>
    <w:p>
      <w:pPr>
        <w:numPr>
          <w:numId w:val="1006"/>
          <w:ilvl w:val="0"/>
        </w:numPr>
      </w:pPr>
      <w:r>
        <w:t xml:space="preserve">Использование любых прививок в течение 14 дней или любых живых прививок в течение 30 дней до обследования;</w:t>
      </w:r>
    </w:p>
    <w:p>
      <w:pPr>
        <w:numPr>
          <w:numId w:val="1006"/>
          <w:ilvl w:val="0"/>
        </w:numPr>
      </w:pPr>
      <w:r>
        <w:t xml:space="preserve">Антитела к ВИЧ и гепатиту С, антиген гепатита В, положительный тест на сифилис;</w:t>
      </w:r>
    </w:p>
    <w:p>
      <w:pPr>
        <w:numPr>
          <w:numId w:val="1006"/>
          <w:ilvl w:val="0"/>
        </w:numPr>
      </w:pPr>
      <w:r>
        <w:t xml:space="preserve">Нестабильный режим сна (например, работа в ночные смены, нарушения сна, бессонница, изменение часовых поясов менее чем за 2 недели до обследования и т. д.), интенсивные физические нагрузки (например, тяжелый подъем);</w:t>
      </w:r>
    </w:p>
    <w:p>
      <w:pPr>
        <w:numPr>
          <w:numId w:val="1006"/>
          <w:ilvl w:val="0"/>
        </w:numPr>
      </w:pPr>
      <w:r>
        <w:t xml:space="preserve">Специальная диета (например, вегетарианская, веганская, гипокалорийная (менее 1000 ккал/день));</w:t>
      </w:r>
    </w:p>
    <w:p>
      <w:pPr>
        <w:numPr>
          <w:numId w:val="1006"/>
          <w:ilvl w:val="0"/>
        </w:numPr>
      </w:pPr>
      <w:r>
        <w:t xml:space="preserve">Наличие алкогольной зависимости (употребление более 10 единиц алкоголя</w:t>
      </w:r>
      <w:r>
        <w:rPr>
          <w:rStyle w:val="8"/>
        </w:rPr>
        <w:footnoteReference w:id="29"/>
      </w:r>
      <w:r>
        <w:t xml:space="preserve"> </w:t>
      </w:r>
      <w:r>
        <w:t xml:space="preserve">в неделю); употребление алкоголя в течение 4 дней до обследования;</w:t>
      </w:r>
    </w:p>
    <w:p>
      <w:pPr>
        <w:numPr>
          <w:numId w:val="1006"/>
          <w:ilvl w:val="0"/>
        </w:numPr>
      </w:pPr>
      <w:r>
        <w:t xml:space="preserve">Наличие наркотической зависимости; история употребления наркотических веществ и психотропных веществ</w:t>
      </w:r>
      <w:r>
        <w:rPr>
          <w:rStyle w:val="8"/>
        </w:rPr>
        <w:footnoteReference w:id="30"/>
      </w:r>
      <w:r>
        <w:t xml:space="preserve"> </w:t>
      </w:r>
      <w:r>
        <w:t xml:space="preserve">на момент обследования;</w:t>
      </w:r>
    </w:p>
    <w:p>
      <w:pPr>
        <w:numPr>
          <w:numId w:val="1006"/>
          <w:ilvl w:val="0"/>
        </w:numPr>
      </w:pPr>
      <w:r>
        <w:t xml:space="preserve">История аллергических реакций на любые лекарства или вакцины: анафилактический шок, ангионевротический отек, полиморфная экскавативная экзема или другие серьезные аллергические проявления;</w:t>
      </w:r>
    </w:p>
    <w:p>
      <w:pPr>
        <w:numPr>
          <w:numId w:val="1006"/>
          <w:ilvl w:val="0"/>
        </w:numPr>
      </w:pPr>
      <w:r>
        <w:t xml:space="preserve">Известная повышенная чувствительность к компонентам лекарства, используемого в исследовании;</w:t>
      </w:r>
    </w:p>
    <w:p>
      <w:pPr>
        <w:numPr>
          <w:numId w:val="1006"/>
          <w:ilvl w:val="0"/>
        </w:numPr>
      </w:pPr>
      <w:r>
        <w:t xml:space="preserve">Донор крови/плазмы (не менее 450 мл крови или плазмы) менее чем за 2 месяца до обследования;</w:t>
      </w:r>
    </w:p>
    <w:p>
      <w:pPr>
        <w:numPr>
          <w:numId w:val="1006"/>
          <w:ilvl w:val="0"/>
        </w:numPr>
      </w:pPr>
      <w:r>
        <w:t xml:space="preserve">Для женщин: подтвержденная беременность, кормление грудью;</w:t>
      </w:r>
    </w:p>
    <w:p>
      <w:pPr>
        <w:numPr>
          <w:numId w:val="1006"/>
          <w:ilvl w:val="0"/>
        </w:numPr>
      </w:pPr>
      <w:r>
        <w:t xml:space="preserve">Планирование беременности во время исследования или в течение трех месяцев после его завершения;</w:t>
      </w:r>
    </w:p>
    <w:p>
      <w:pPr>
        <w:numPr>
          <w:numId w:val="1006"/>
          <w:ilvl w:val="0"/>
        </w:numPr>
      </w:pPr>
      <w:r>
        <w:t xml:space="preserve">Участие в других клинических исследованиях или введение исследуемого препарата в течение 3 месяцев до обследования или не менее чем через 5 полужизней исследуемого препарата после окончания исследования (если известно);</w:t>
      </w:r>
    </w:p>
    <w:p>
      <w:pPr>
        <w:numPr>
          <w:numId w:val="1006"/>
          <w:ilvl w:val="0"/>
        </w:numPr>
      </w:pPr>
      <w:r>
        <w:t xml:space="preserve">Острые инфекции менее чем за 4 недели до обследования;</w:t>
      </w:r>
    </w:p>
    <w:p>
      <w:pPr>
        <w:numPr>
          <w:numId w:val="1006"/>
          <w:ilvl w:val="0"/>
        </w:numPr>
      </w:pPr>
      <w:r>
        <w:t xml:space="preserve">Трудности с доступом к вене, которые усложняют или делают невозможным частое введение катетера и забор крови;</w:t>
      </w:r>
    </w:p>
    <w:p>
      <w:pPr>
        <w:numPr>
          <w:numId w:val="1006"/>
          <w:ilvl w:val="0"/>
        </w:numPr>
      </w:pPr>
      <w:r>
        <w:t xml:space="preserve">Планирование пребывания в стационаре в период исследования по любой причине, кроме тех, которые предусмотрены в настоящем протоколе;</w:t>
      </w:r>
    </w:p>
    <w:p>
      <w:pPr>
        <w:numPr>
          <w:numId w:val="1006"/>
          <w:ilvl w:val="0"/>
        </w:numPr>
      </w:pPr>
      <w:r>
        <w:t xml:space="preserve">Невозможность чтения или письма; нежелание понимать и следовать процедурам исследования; несоблюдение процедур, которые, по мнению исследователя, могут повлиять на результаты исследования или безопасность участника, и препятствовать участию участника в исследовании;</w:t>
      </w:r>
    </w:p>
    <w:p>
      <w:pPr>
        <w:numPr>
          <w:numId w:val="1006"/>
          <w:ilvl w:val="0"/>
        </w:numPr>
      </w:pPr>
      <w:r>
        <w:t xml:space="preserve">Любые другие сопутствующие заболевания или серьезные психические расстройства, которые делают участника непригодным для участия в клиническом исследовании, ограничивают возможность получения информированного согласия или могут повлиять на способность участника участвовать в исследовании.</w:t>
      </w:r>
    </w:p>
    <w:p>
      <w:pPr>
        <w:pStyle w:val="FirstParagraph"/>
      </w:pPr>
      <w:r>
        <w:rPr>
          <w:b/>
        </w:rPr>
        <w:t xml:space="preserve">Критерии исключения после рандомизации</w:t>
      </w:r>
      <w:r>
        <w:t xml:space="preserve"> </w:t>
      </w:r>
      <w:r>
        <w:t xml:space="preserve">{#post-randomization-exclusion-criteria .ListParagraph}</w:t>
      </w:r>
    </w:p>
    <w:p>
      <w:pPr>
        <w:pStyle w:val="7"/>
      </w:pPr>
      <w:r>
        <w:t xml:space="preserve">Участника необходимо исключить из клинического исследования, если:</w:t>
      </w:r>
    </w:p>
    <w:p>
      <w:pPr>
        <w:numPr>
          <w:numId w:val="1007"/>
          <w:ilvl w:val="0"/>
        </w:numPr>
      </w:pPr>
      <w:r>
        <w:t xml:space="preserve">Участник отказывается от согласия.</w:t>
      </w:r>
    </w:p>
    <w:p>
      <w:pPr>
        <w:numPr>
          <w:numId w:val="1007"/>
          <w:ilvl w:val="0"/>
        </w:numPr>
      </w:pPr>
      <w:r>
        <w:t xml:space="preserve">Участник не соблюдает правила исследования (например, пропуская процедуры исследования, самостоятельно принимая запрещенные лекарства, нарушая диетические и образ жизни).</w:t>
      </w:r>
    </w:p>
    <w:p>
      <w:pPr>
        <w:numPr>
          <w:numId w:val="1007"/>
          <w:ilvl w:val="0"/>
        </w:numPr>
      </w:pPr>
      <w:r>
        <w:t xml:space="preserve">Участник был включен в исследование в нарушение критериев включения/исключения.</w:t>
      </w:r>
    </w:p>
    <w:p>
      <w:pPr>
        <w:numPr>
          <w:numId w:val="1007"/>
          <w:ilvl w:val="0"/>
        </w:numPr>
      </w:pPr>
      <w:r>
        <w:t xml:space="preserve">Причины/ситуации, угрожающие безопасности участника (например, аллергические реакции).</w:t>
      </w:r>
    </w:p>
    <w:p>
      <w:pPr>
        <w:numPr>
          <w:numId w:val="1007"/>
          <w:ilvl w:val="0"/>
        </w:numPr>
      </w:pPr>
      <w:r>
        <w:t xml:space="preserve">Другие неблагоприятные события и серьезные неблагоприятные события, которые делают продолжение участия участника в исследовании нежелательным или невозможным (определенным спонсором и/или исследователем).</w:t>
      </w:r>
    </w:p>
    <w:p>
      <w:pPr>
        <w:numPr>
          <w:numId w:val="1007"/>
          <w:ilvl w:val="0"/>
        </w:numPr>
      </w:pPr>
      <w:r>
        <w:t xml:space="preserve">Участник потерян из поля зрения. Участник не посещает запланированные визиты в исследовательскую группу и не может быть найден, несмотря на несколько (не менее 3) попыток. Необходимо зафиксировать все попытки связаться с участником.</w:t>
      </w:r>
    </w:p>
    <w:p>
      <w:pPr>
        <w:numPr>
          <w:numId w:val="1007"/>
          <w:ilvl w:val="0"/>
        </w:numPr>
      </w:pPr>
      <w:r>
        <w:t xml:space="preserve">Другие причины, препятствующие проведению исследования в соответствии с протоколом.</w:t>
      </w:r>
    </w:p>
    <w:p>
      <w:pPr>
        <w:pStyle w:val="FirstParagraph"/>
      </w:pPr>
      <w:r>
        <w:t xml:space="preserve">Лекарство, дозы и способ введения</w:t>
      </w:r>
    </w:p>
    <w:p>
      <w:pPr>
        <w:pStyle w:val="7"/>
      </w:pPr>
      <w:r>
        <w:rPr>
          <w:b/>
        </w:rPr>
        <w:t xml:space="preserve">Исследовательская группа:</w:t>
      </w:r>
      <w:r>
        <w:t xml:space="preserve"> </w:t>
      </w:r>
      <w:r>
        <w:t xml:space="preserve">| L08-0623 или плацебо |</w:t>
      </w:r>
      <w:r>
        <w:br w:type="textWrapping"/>
      </w:r>
      <w:r>
        <w:rPr>
          <w:b/>
        </w:rPr>
        <w:t xml:space="preserve">Химическое название:</w:t>
      </w:r>
      <w:r>
        <w:t xml:space="preserve"> </w:t>
      </w:r>
      <w:r>
        <w:t xml:space="preserve">| 4-[2-метокси-3-(1-метил-1,2,4-триазол-3-ил)анилино]-2-(2-пиридиламино)пиримидин-5-карбоксамид |</w:t>
      </w:r>
      <w:r>
        <w:br w:type="textWrapping"/>
      </w:r>
      <w:r>
        <w:rPr>
          <w:b/>
        </w:rPr>
        <w:t xml:space="preserve">Активный ингредиент:</w:t>
      </w:r>
      <w:r>
        <w:t xml:space="preserve"> </w:t>
      </w:r>
      <w:r>
        <w:t xml:space="preserve">| L08-0623 |</w:t>
      </w:r>
      <w:r>
        <w:br w:type="textWrapping"/>
      </w:r>
      <w:r>
        <w:t xml:space="preserve">                                 | Плацебо – без активных ингредиентов |</w:t>
      </w:r>
      <w:r>
        <w:br w:type="textWrapping"/>
      </w:r>
      <w:r>
        <w:rPr>
          <w:b/>
        </w:rPr>
        <w:t xml:space="preserve">Дозировка</w:t>
      </w:r>
      <w:r>
        <w:t xml:space="preserve"> </w:t>
      </w:r>
      <w:r>
        <w:t xml:space="preserve">| 10 мг или 50 мг |</w:t>
      </w:r>
      <w:r>
        <w:br w:type="textWrapping"/>
      </w:r>
      <w:r>
        <w:rPr>
          <w:b/>
        </w:rPr>
        <w:t xml:space="preserve">Форма выпуска и состав:</w:t>
      </w:r>
      <w:r>
        <w:t xml:space="preserve"> </w:t>
      </w:r>
      <w:r>
        <w:t xml:space="preserve">|</w:t>
      </w:r>
      <w:r>
        <w:t xml:space="preserve"> </w:t>
      </w:r>
      <w:r>
        <w:rPr>
          <w:u w:val="single"/>
        </w:rPr>
        <w:t xml:space="preserve">Таблетки с пленочной оболочкой, 10 мг</w:t>
      </w:r>
      <w:r>
        <w:t xml:space="preserve"> </w:t>
      </w:r>
      <w:r>
        <w:t xml:space="preserve">|</w:t>
      </w:r>
      <w:r>
        <w:br w:type="textWrapping"/>
      </w:r>
      <w:r>
        <w:t xml:space="preserve">                                 |</w:t>
      </w:r>
      <w:r>
        <w:t xml:space="preserve"> </w:t>
      </w:r>
      <w:r>
        <w:rPr>
          <w:i/>
        </w:rPr>
        <w:t xml:space="preserve">Активный ингредиент:</w:t>
      </w:r>
      <w:r>
        <w:t xml:space="preserve"> </w:t>
      </w:r>
      <w:r>
        <w:t xml:space="preserve">|</w:t>
      </w:r>
      <w:r>
        <w:br w:type="textWrapping"/>
      </w:r>
      <w:r>
        <w:t xml:space="preserve">                                 | L08-0623 – 10 мг |</w:t>
      </w:r>
      <w:r>
        <w:br w:type="textWrapping"/>
      </w:r>
      <w:r>
        <w:t xml:space="preserve">                                 |</w:t>
      </w:r>
      <w:r>
        <w:t xml:space="preserve"> </w:t>
      </w:r>
      <w:r>
        <w:rPr>
          <w:i/>
        </w:rPr>
        <w:t xml:space="preserve">Плацебо – 0 мг</w:t>
      </w:r>
      <w:r>
        <w:rPr>
          <w:i/>
        </w:rPr>
        <w:t xml:space="preserve"> </w:t>
      </w:r>
      <w:r>
        <w:t xml:space="preserve"> </w:t>
      </w:r>
      <w:r>
        <w:t xml:space="preserve">|</w:t>
      </w:r>
      <w:r>
        <w:br w:type="textWrapping"/>
      </w:r>
      <w:r>
        <w:t xml:space="preserve">                                 |</w:t>
      </w:r>
      <w:r>
        <w:t xml:space="preserve"> </w:t>
      </w:r>
      <w:r>
        <w:rPr>
          <w:i/>
        </w:rPr>
        <w:t xml:space="preserve">Вспомогательные вещества:</w:t>
      </w:r>
      <w:r>
        <w:t xml:space="preserve"> </w:t>
      </w:r>
      <w:r>
        <w:t xml:space="preserve">|</w:t>
      </w:r>
      <w:r>
        <w:br w:type="textWrapping"/>
      </w:r>
      <w:r>
        <w:t xml:space="preserve">                                 | Микрокристаллический целлюлоза – 84,80</w:t>
      </w:r>
      <w:r>
        <w:t xml:space="preserve"> </w:t>
      </w:r>
      <w:r>
        <w:rPr>
          <w:i/>
        </w:rPr>
        <w:t xml:space="preserve">мг</w:t>
      </w:r>
      <w:r>
        <w:rPr>
          <w:i/>
        </w:rPr>
        <w:t xml:space="preserve"> </w:t>
      </w:r>
      <w:r>
        <w:t xml:space="preserve"> </w:t>
      </w:r>
      <w:r>
        <w:t xml:space="preserve">|</w:t>
      </w:r>
      <w:r>
        <w:br w:type="textWrapping"/>
      </w:r>
      <w:r>
        <w:t xml:space="preserve">                                 | Натрия кроскармеллоза – 4,00</w:t>
      </w:r>
      <w:r>
        <w:t xml:space="preserve"> </w:t>
      </w:r>
      <w:r>
        <w:rPr>
          <w:i/>
        </w:rPr>
        <w:t xml:space="preserve">мг</w:t>
      </w:r>
      <w:r>
        <w:rPr>
          <w:i/>
        </w:rPr>
        <w:t xml:space="preserve"> </w:t>
      </w:r>
      <w:r>
        <w:t xml:space="preserve"> </w:t>
      </w:r>
      <w:r>
        <w:t xml:space="preserve">|</w:t>
      </w:r>
      <w:r>
        <w:br w:type="textWrapping"/>
      </w:r>
      <w:r>
        <w:t xml:space="preserve">                                 | Коллеидальный диоксид кремния – 0,40</w:t>
      </w:r>
      <w:r>
        <w:t xml:space="preserve"> </w:t>
      </w:r>
      <w:r>
        <w:rPr>
          <w:i/>
        </w:rPr>
        <w:t xml:space="preserve">мг</w:t>
      </w:r>
      <w:r>
        <w:rPr>
          <w:i/>
        </w:rPr>
        <w:t xml:space="preserve"> </w:t>
      </w:r>
      <w:r>
        <w:t xml:space="preserve"> </w:t>
      </w:r>
      <w:r>
        <w:t xml:space="preserve">|</w:t>
      </w:r>
      <w:r>
        <w:br w:type="textWrapping"/>
      </w:r>
      <w:r>
        <w:t xml:space="preserve">                                 | Стеарат магния – 0,80 |</w:t>
      </w:r>
      <w:r>
        <w:br w:type="textWrapping"/>
      </w:r>
      <w:r>
        <w:t xml:space="preserve">                                 |</w:t>
      </w:r>
      <w:r>
        <w:t xml:space="preserve"> </w:t>
      </w:r>
      <w:r>
        <w:rPr>
          <w:i/>
        </w:rPr>
        <w:t xml:space="preserve">Вес таблетки:</w:t>
      </w:r>
      <w:r>
        <w:t xml:space="preserve"> </w:t>
      </w:r>
      <w:r>
        <w:t xml:space="preserve">80,00 |</w:t>
      </w:r>
      <w:r>
        <w:br w:type="textWrapping"/>
      </w:r>
      <w:r>
        <w:t xml:space="preserve">                                 |</w:t>
      </w:r>
      <w:r>
        <w:t xml:space="preserve"> </w:t>
      </w:r>
      <w:r>
        <w:rPr>
          <w:i/>
        </w:rPr>
        <w:t xml:space="preserve">Пленочная оболочка</w:t>
      </w:r>
      <w:r>
        <w:t xml:space="preserve"> </w:t>
      </w:r>
      <w:r>
        <w:t xml:space="preserve">– 3,20 |</w:t>
      </w:r>
      <w:r>
        <w:br w:type="textWrapping"/>
      </w:r>
      <w:r>
        <w:t xml:space="preserve">                                 | Поливинил алкоголь – 1,28 |</w:t>
      </w:r>
      <w:r>
        <w:br w:type="textWrapping"/>
      </w:r>
      <w:r>
        <w:t xml:space="preserve">                                 | Макрогол – 0,65 |</w:t>
      </w:r>
      <w:r>
        <w:br w:type="textWrapping"/>
      </w:r>
      <w:r>
        <w:t xml:space="preserve">                                 | Желтый оксид железа – 0,64 |</w:t>
      </w:r>
      <w:r>
        <w:br w:type="textWrapping"/>
      </w:r>
      <w:r>
        <w:t xml:space="preserve">                                 | Тальк – 0,47 |</w:t>
      </w:r>
      <w:r>
        <w:br w:type="textWrapping"/>
      </w:r>
      <w:r>
        <w:t xml:space="preserve">                                 | Титановые диоксиды – 0,16 |</w:t>
      </w:r>
      <w:r>
        <w:br w:type="textWrapping"/>
      </w:r>
      <w:r>
        <w:t xml:space="preserve">                                 |</w:t>
      </w:r>
      <w:r>
        <w:t xml:space="preserve"> </w:t>
      </w:r>
      <w:r>
        <w:rPr>
          <w:i/>
        </w:rPr>
        <w:t xml:space="preserve">Вес таблетки с пленочной оболочкой:</w:t>
      </w:r>
      <w:r>
        <w:t xml:space="preserve"> </w:t>
      </w:r>
      <w:r>
        <w:t xml:space="preserve">83,20 |</w:t>
      </w:r>
      <w:r>
        <w:br w:type="textWrapping"/>
      </w:r>
      <w:r>
        <w:t xml:space="preserve">                                 |</w:t>
      </w:r>
      <w:r>
        <w:t xml:space="preserve"> </w:t>
      </w:r>
      <w:r>
        <w:rPr>
          <w:u w:val="single"/>
        </w:rPr>
        <w:t xml:space="preserve">Таблетки с пленочной оболочкой, 50 мг</w:t>
      </w:r>
      <w:r>
        <w:t xml:space="preserve"> </w:t>
      </w:r>
      <w:r>
        <w:t xml:space="preserve">|</w:t>
      </w:r>
      <w:r>
        <w:br w:type="textWrapping"/>
      </w:r>
      <w:r>
        <w:t xml:space="preserve">                                 |</w:t>
      </w:r>
      <w:r>
        <w:t xml:space="preserve"> </w:t>
      </w:r>
      <w:r>
        <w:rPr>
          <w:i/>
        </w:rPr>
        <w:t xml:space="preserve">Активный ингредиент:</w:t>
      </w:r>
      <w:r>
        <w:t xml:space="preserve"> </w:t>
      </w:r>
      <w:r>
        <w:t xml:space="preserve">|</w:t>
      </w:r>
      <w:r>
        <w:br w:type="textWrapping"/>
      </w:r>
      <w:r>
        <w:t xml:space="preserve">                                 | L08-0623 – 50</w:t>
      </w:r>
      <w:r>
        <w:t xml:space="preserve"> </w:t>
      </w:r>
      <w:r>
        <w:rPr>
          <w:i/>
        </w:rPr>
        <w:t xml:space="preserve">мг</w:t>
      </w:r>
      <w:r>
        <w:rPr>
          <w:i/>
        </w:rPr>
        <w:t xml:space="preserve"> </w:t>
      </w:r>
      <w:r>
        <w:t xml:space="preserve"> </w:t>
      </w:r>
      <w:r>
        <w:t xml:space="preserve">|</w:t>
      </w:r>
      <w:r>
        <w:br w:type="textWrapping"/>
      </w:r>
      <w:r>
        <w:t xml:space="preserve">                                 |</w:t>
      </w:r>
      <w:r>
        <w:t xml:space="preserve"> </w:t>
      </w:r>
      <w:r>
        <w:rPr>
          <w:i/>
        </w:rPr>
        <w:t xml:space="preserve">Плацебо – 0 мг</w:t>
      </w:r>
      <w:r>
        <w:rPr>
          <w:i/>
        </w:rPr>
        <w:t xml:space="preserve"> </w:t>
      </w:r>
      <w:r>
        <w:t xml:space="preserve"> </w:t>
      </w:r>
      <w:r>
        <w:t xml:space="preserve">|</w:t>
      </w:r>
      <w:r>
        <w:br w:type="textWrapping"/>
      </w:r>
      <w:r>
        <w:t xml:space="preserve">                                 |</w:t>
      </w:r>
      <w:r>
        <w:t xml:space="preserve"> </w:t>
      </w:r>
      <w:r>
        <w:rPr>
          <w:i/>
        </w:rPr>
        <w:t xml:space="preserve">Вспомогательные вещества:</w:t>
      </w:r>
      <w:r>
        <w:t xml:space="preserve"> </w:t>
      </w:r>
      <w:r>
        <w:t xml:space="preserve">|</w:t>
      </w:r>
      <w:r>
        <w:br w:type="textWrapping"/>
      </w:r>
      <w:r>
        <w:t xml:space="preserve">                                 | Микрокристаллический целлюлоза – 346,00</w:t>
      </w:r>
      <w:r>
        <w:t xml:space="preserve"> </w:t>
      </w:r>
      <w:r>
        <w:rPr>
          <w:i/>
        </w:rPr>
        <w:t xml:space="preserve">мг</w:t>
      </w:r>
      <w:r>
        <w:rPr>
          <w:i/>
        </w:rPr>
        <w:t xml:space="preserve"> </w:t>
      </w:r>
      <w:r>
        <w:t xml:space="preserve"> </w:t>
      </w:r>
      <w:r>
        <w:t xml:space="preserve">|</w:t>
      </w:r>
      <w:r>
        <w:br w:type="textWrapping"/>
      </w:r>
      <w:r>
        <w:t xml:space="preserve">                                 | Натрия кроскармеллоза – 20,00</w:t>
      </w:r>
      <w:r>
        <w:t xml:space="preserve"> </w:t>
      </w:r>
      <w:r>
        <w:rPr>
          <w:i/>
        </w:rPr>
        <w:t xml:space="preserve">мг</w:t>
      </w:r>
      <w:r>
        <w:rPr>
          <w:i/>
        </w:rPr>
        <w:t xml:space="preserve"> </w:t>
      </w:r>
      <w:r>
        <w:t xml:space="preserve"> </w:t>
      </w:r>
      <w:r>
        <w:t xml:space="preserve">|</w:t>
      </w:r>
      <w:r>
        <w:br w:type="textWrapping"/>
      </w:r>
      <w:r>
        <w:t xml:space="preserve">                                 | Коллеидальный диоксид кремния – 2,00</w:t>
      </w:r>
      <w:r>
        <w:t xml:space="preserve"> </w:t>
      </w:r>
      <w:r>
        <w:rPr>
          <w:i/>
        </w:rPr>
        <w:t xml:space="preserve">мг</w:t>
      </w:r>
      <w:r>
        <w:rPr>
          <w:i/>
        </w:rPr>
        <w:t xml:space="preserve"> </w:t>
      </w:r>
      <w:r>
        <w:t xml:space="preserve"> </w:t>
      </w:r>
      <w:r>
        <w:t xml:space="preserve">|</w:t>
      </w:r>
      <w:r>
        <w:br w:type="textWrapping"/>
      </w:r>
      <w:r>
        <w:t xml:space="preserve">                                 | Стеарат магния – 4,00 |</w:t>
      </w:r>
      <w:r>
        <w:br w:type="textWrapping"/>
      </w:r>
      <w:r>
        <w:t xml:space="preserve">                                 |</w:t>
      </w:r>
      <w:r>
        <w:t xml:space="preserve"> </w:t>
      </w:r>
      <w:r>
        <w:rPr>
          <w:i/>
        </w:rPr>
        <w:t xml:space="preserve">Вес таблетки:</w:t>
      </w:r>
      <w:r>
        <w:t xml:space="preserve"> </w:t>
      </w:r>
      <w:r>
        <w:t xml:space="preserve">400,00 |</w:t>
      </w:r>
      <w:r>
        <w:br w:type="textWrapping"/>
      </w:r>
      <w:r>
        <w:t xml:space="preserve">                                 |</w:t>
      </w:r>
      <w:r>
        <w:t xml:space="preserve"> </w:t>
      </w:r>
      <w:r>
        <w:rPr>
          <w:i/>
        </w:rPr>
        <w:t xml:space="preserve">Пленочная оболочка</w:t>
      </w:r>
      <w:r>
        <w:t xml:space="preserve"> </w:t>
      </w:r>
      <w:r>
        <w:t xml:space="preserve">– 16,00 |</w:t>
      </w:r>
      <w:r>
        <w:br w:type="textWrapping"/>
      </w:r>
      <w:r>
        <w:t xml:space="preserve">                                 | Поливинил алкоголь – 6,40 |</w:t>
      </w:r>
      <w:r>
        <w:br w:type="textWrapping"/>
      </w:r>
      <w:r>
        <w:t xml:space="preserve">                                 | Макрогол – 3,25 |</w:t>
      </w:r>
      <w:r>
        <w:br w:type="textWrapping"/>
      </w:r>
      <w:r>
        <w:t xml:space="preserve">                                 | Желтый краситель – 3,20 |</w:t>
      </w:r>
      <w:r>
        <w:br w:type="textWrapping"/>
      </w:r>
      <w:r>
        <w:t xml:space="preserve">                                 | Тальк – 2,35 |</w:t>
      </w:r>
      <w:r>
        <w:br w:type="textWrapping"/>
      </w:r>
      <w:r>
        <w:t xml:space="preserve">                                 | Титановые диоксиды – 0,80 |</w:t>
      </w:r>
      <w:r>
        <w:br w:type="textWrapping"/>
      </w:r>
      <w:r>
        <w:t xml:space="preserve">                                 |</w:t>
      </w:r>
      <w:r>
        <w:t xml:space="preserve"> </w:t>
      </w:r>
      <w:r>
        <w:rPr>
          <w:i/>
        </w:rPr>
        <w:t xml:space="preserve">Вес таблетки с пленочной оболочкой:</w:t>
      </w:r>
      <w:r>
        <w:t xml:space="preserve"> </w:t>
      </w:r>
      <w:r>
        <w:t xml:space="preserve">416,00 |</w:t>
      </w:r>
      <w:r>
        <w:br w:type="textWrapping"/>
      </w:r>
      <w:r>
        <w:rPr>
          <w:b/>
        </w:rPr>
        <w:t xml:space="preserve">Описание упаковки:</w:t>
      </w:r>
      <w:r>
        <w:t xml:space="preserve"> </w:t>
      </w:r>
      <w:r>
        <w:t xml:space="preserve">| 28 таблеток в полиэтиленовом флаконе, вскрытый, с детской защитной крышкой и отвидаемым пломбирующим материалом. |</w:t>
      </w:r>
      <w:r>
        <w:br w:type="textWrapping"/>
      </w:r>
      <w:r>
        <w:rPr>
          <w:b/>
        </w:rPr>
        <w:t xml:space="preserve">Производитель:</w:t>
      </w:r>
      <w:r>
        <w:t xml:space="preserve"> </w:t>
      </w:r>
      <w:r>
        <w:t xml:space="preserve">| CDRI, LLC, Россия |</w:t>
      </w:r>
      <w:r>
        <w:br w:type="textWrapping"/>
      </w:r>
      <w:r>
        <w:rPr>
          <w:b/>
        </w:rPr>
        <w:t xml:space="preserve">Режим дозирования:</w:t>
      </w:r>
      <w:r>
        <w:t xml:space="preserve"> </w:t>
      </w:r>
      <w:r>
        <w:t xml:space="preserve">| Группа 1 (N=8). Единая доза (10 мг), натощак. |</w:t>
      </w:r>
      <w:r>
        <w:br w:type="textWrapping"/>
      </w:r>
      <w:r>
        <w:t xml:space="preserve">                                 | Группа 2 (N=8). Единая доза (20 мг), натощак. |</w:t>
      </w:r>
      <w:r>
        <w:br w:type="textWrapping"/>
      </w:r>
      <w:r>
        <w:t xml:space="preserve">                                 | Группа 3 (N=8). Единая доза (50 мг), натощак. |</w:t>
      </w:r>
      <w:r>
        <w:br w:type="textWrapping"/>
      </w:r>
      <w:r>
        <w:t xml:space="preserve">                                 | Группа 4 (N=8). Единая доза (100 мг), натощак. |</w:t>
      </w:r>
      <w:r>
        <w:br w:type="textWrapping"/>
      </w:r>
      <w:r>
        <w:t xml:space="preserve">                                 | Группа 5 (N=8). Доза 50 мг, натощак, в течение 7 дней. |</w:t>
      </w:r>
      <w:r>
        <w:br w:type="textWrapping"/>
      </w:r>
      <w:r>
        <w:t xml:space="preserve">                                 | Группа 6 (N=8). Доза 100 мг, натощак, в течение 7 дней. |</w:t>
      </w:r>
      <w:r>
        <w:br w:type="textWrapping"/>
      </w:r>
      <w:r>
        <w:t xml:space="preserve">                                 | Группа 7 (N=8). Единая доза (Х мг), после еды (доза будет определена комитетом DSMB после рассмотрения данных о безопасности и фармакокинетике в других группах). |</w:t>
      </w:r>
      <w:r>
        <w:br w:type="textWrapping"/>
      </w:r>
      <w:r>
        <w:t xml:space="preserve">                                 | Группа 8 (N=8). Единая доза (Х мг), после еды (доза будет определена комитетом DSMB после рассмотрения данных о безопасности и фармакокинетике в других группах). |</w:t>
      </w:r>
    </w:p>
    <w:p>
      <w:pPr>
        <w:pStyle w:val="BlockText"/>
      </w:pPr>
      <w:r>
        <w:rPr>
          <w:b/>
        </w:rPr>
        <w:t xml:space="preserve">Продолжительность исследования:</w:t>
      </w:r>
      <w:r>
        <w:t xml:space="preserve"> </w:t>
      </w:r>
      <w:r>
        <w:t xml:space="preserve">Участники в группах однократного дозирования будут участвовать в исследовании в течение примерно 3 недель: период скрининга в течение 2 недель и период лечения и последующего наблюдения в течение 1 недели.</w:t>
      </w:r>
      <w:r>
        <w:t xml:space="preserve"> </w:t>
      </w:r>
      <w:r>
        <w:t xml:space="preserve">Участники в группах многократного дозирования будут участвовать в исследовании в течение примерно 5 недель: период скрининга в течение 2 недель и период лечения и последующего наблюдения в течение 3 недель.</w:t>
      </w:r>
    </w:p>
    <w:p>
      <w:pPr>
        <w:pStyle w:val="FirstParagraph"/>
      </w:pPr>
      <w:r>
        <w:t xml:space="preserve">Критерии оценки эффективности:</w:t>
      </w:r>
    </w:p>
    <w:p>
      <w:pPr>
        <w:pStyle w:val="BlockText"/>
      </w:pPr>
      <w:r>
        <w:t xml:space="preserve">Эффективность не оценивается в этом исследовании.</w:t>
      </w:r>
    </w:p>
    <w:p>
      <w:pPr>
        <w:pStyle w:val="FirstParagraph"/>
      </w:pPr>
      <w:r>
        <w:t xml:space="preserve">Критерии оценки безопасности:</w:t>
      </w:r>
    </w:p>
    <w:p>
      <w:pPr>
        <w:numPr>
          <w:numId w:val="1008"/>
          <w:ilvl w:val="0"/>
        </w:numPr>
      </w:pPr>
      <w:r>
        <w:t xml:space="preserve">Частота случаев нежелательных явлений (НЯ) и серьезных нежелательных явлений (СНЯ);</w:t>
      </w:r>
    </w:p>
    <w:p>
      <w:pPr>
        <w:numPr>
          <w:numId w:val="1008"/>
          <w:ilvl w:val="0"/>
        </w:numPr>
      </w:pPr>
      <w:r>
        <w:t xml:space="preserve">Частота НЯ, связанных с L08-0623;</w:t>
      </w:r>
    </w:p>
    <w:p>
      <w:pPr>
        <w:numPr>
          <w:numId w:val="1008"/>
          <w:ilvl w:val="0"/>
        </w:numPr>
      </w:pPr>
      <w:r>
        <w:t xml:space="preserve">Частота СНЯ, связанных с L08-0623;</w:t>
      </w:r>
    </w:p>
    <w:p>
      <w:pPr>
        <w:numPr>
          <w:numId w:val="1008"/>
          <w:ilvl w:val="0"/>
        </w:numPr>
      </w:pPr>
      <w:r>
        <w:t xml:space="preserve">Количество участников, которые прекратили терапию L08-0623/плацебо раньше срока из-за возникновения НЯ/СНЯ.</w:t>
      </w:r>
    </w:p>
    <w:p>
      <w:pPr>
        <w:pStyle w:val="FirstParagraph"/>
      </w:pPr>
      <w:r>
        <w:t xml:space="preserve">Критерии оценки фармакокинетики:</w:t>
      </w:r>
    </w:p>
    <w:p>
      <w:pPr>
        <w:pStyle w:val="BlockText"/>
      </w:pPr>
      <w:r>
        <w:t xml:space="preserve">В этом исследовании будут оценены (при наличии данных) следующие параметры фармакокинетики L08-0623:</w:t>
      </w:r>
    </w:p>
    <w:p>
      <w:pPr>
        <w:pStyle w:val="FirstParagraph"/>
      </w:pPr>
      <w:r>
        <w:t xml:space="preserve">+—————————————————————————————————————————————————————————————————————————————————————————————————————————————————————————————————————————————————————————————————————-</w:t>
      </w:r>
    </w:p>
    <w:p>
      <w:pPr>
        <w:pStyle w:val="7"/>
      </w:pPr>
      <w:r>
        <w:rPr>
          <w:b/>
        </w:rPr>
        <w:t xml:space="preserve">СОДЕРЖАНИЕ</w:t>
      </w:r>
    </w:p>
    <w:p>
      <w:pPr>
        <w:pStyle w:val="7"/>
      </w:pPr>
      <w:r>
        <w:t xml:space="preserve">Декларация конфиденциальности 1</w:t>
      </w:r>
    </w:p>
    <w:p>
      <w:pPr>
        <w:pStyle w:val="7"/>
      </w:pPr>
      <w:hyperlink r:id="rId20">
        <w:r>
          <w:rPr>
            <w:rStyle w:val="11"/>
          </w:rPr>
          <w:t xml:space="preserve">СТРАНИЦА С ИГНАТУРАМИ 2</w:t>
        </w:r>
      </w:hyperlink>
    </w:p>
    <w:p>
      <w:pPr>
        <w:pStyle w:val="7"/>
      </w:pPr>
      <w:hyperlink r:id="rId20">
        <w:r>
          <w:rPr>
            <w:rStyle w:val="11"/>
          </w:rPr>
          <w:t xml:space="preserve">СТРАНИЦА ИГНАТУРЫ ИССЛЕДОВАТЕЛЯ 3</w:t>
        </w:r>
      </w:hyperlink>
    </w:p>
    <w:p>
      <w:pPr>
        <w:pStyle w:val="7"/>
      </w:pPr>
      <w:hyperlink r:id="rId20">
        <w:r>
          <w:rPr>
            <w:rStyle w:val="11"/>
          </w:rPr>
          <w:t xml:space="preserve">КОНТАКТНАЯ ИНФОРМАЦИЯ ПО ИССЛЕДОВАНИЮ 4</w:t>
        </w:r>
      </w:hyperlink>
    </w:p>
    <w:p>
      <w:pPr>
        <w:pStyle w:val="7"/>
      </w:pPr>
      <w:hyperlink r:id="rId20">
        <w:r>
          <w:rPr>
            <w:rStyle w:val="11"/>
          </w:rPr>
          <w:t xml:space="preserve">РЕЗЮМЕ 5</w:t>
        </w:r>
      </w:hyperlink>
    </w:p>
    <w:p>
      <w:pPr>
        <w:pStyle w:val="7"/>
      </w:pPr>
      <w:hyperlink r:id="rId20">
        <w:r>
          <w:rPr>
            <w:rStyle w:val="11"/>
          </w:rPr>
          <w:t xml:space="preserve">Дизайн исследования 8</w:t>
        </w:r>
      </w:hyperlink>
    </w:p>
    <w:p>
      <w:pPr>
        <w:pStyle w:val="7"/>
      </w:pPr>
      <w:hyperlink r:id="rId20">
        <w:r>
          <w:rPr>
            <w:rStyle w:val="11"/>
          </w:rPr>
          <w:t xml:space="preserve">Расписание приема пищи и напитков 9</w:t>
        </w:r>
      </w:hyperlink>
    </w:p>
    <w:p>
      <w:pPr>
        <w:pStyle w:val="7"/>
      </w:pPr>
      <w:hyperlink r:id="rId20">
        <w:r>
          <w:rPr>
            <w:rStyle w:val="11"/>
          </w:rPr>
          <w:t xml:space="preserve">Группы с однократным дозированием: Период скрининга 9</w:t>
        </w:r>
      </w:hyperlink>
    </w:p>
    <w:p>
      <w:pPr>
        <w:pStyle w:val="7"/>
      </w:pPr>
      <w:hyperlink r:id="rId20">
        <w:r>
          <w:rPr>
            <w:rStyle w:val="11"/>
          </w:rPr>
          <w:t xml:space="preserve">Терапия в исследовании 10</w:t>
        </w:r>
      </w:hyperlink>
    </w:p>
    <w:p>
      <w:pPr>
        <w:pStyle w:val="7"/>
      </w:pPr>
      <w:hyperlink r:id="rId20">
        <w:r>
          <w:rPr>
            <w:rStyle w:val="11"/>
          </w:rPr>
          <w:t xml:space="preserve">Период наблюдения 11</w:t>
        </w:r>
      </w:hyperlink>
    </w:p>
    <w:p>
      <w:pPr>
        <w:pStyle w:val="7"/>
      </w:pPr>
      <w:hyperlink r:id="rId20">
        <w:r>
          <w:rPr>
            <w:rStyle w:val="11"/>
          </w:rPr>
          <w:t xml:space="preserve">Группы с многократным дозированием: Период скрининга 11</w:t>
        </w:r>
      </w:hyperlink>
    </w:p>
    <w:p>
      <w:pPr>
        <w:pStyle w:val="7"/>
      </w:pPr>
      <w:hyperlink r:id="rId20">
        <w:r>
          <w:rPr>
            <w:rStyle w:val="11"/>
          </w:rPr>
          <w:t xml:space="preserve">Терапия в исследовании 11</w:t>
        </w:r>
      </w:hyperlink>
    </w:p>
    <w:p>
      <w:pPr>
        <w:pStyle w:val="7"/>
      </w:pPr>
      <w:hyperlink r:id="rId20">
        <w:r>
          <w:rPr>
            <w:rStyle w:val="11"/>
          </w:rPr>
          <w:t xml:space="preserve">Период наблюдения 12</w:t>
        </w:r>
      </w:hyperlink>
    </w:p>
    <w:p>
      <w:pPr>
        <w:pStyle w:val="7"/>
      </w:pPr>
      <w:hyperlink r:id="rId20">
        <w:r>
          <w:rPr>
            <w:rStyle w:val="11"/>
          </w:rPr>
          <w:t xml:space="preserve">Исследовательская популяция 13</w:t>
        </w:r>
      </w:hyperlink>
    </w:p>
    <w:p>
      <w:pPr>
        <w:pStyle w:val="7"/>
      </w:pPr>
      <w:hyperlink r:id="rId20">
        <w:r>
          <w:rPr>
            <w:rStyle w:val="11"/>
          </w:rPr>
          <w:t xml:space="preserve">Критерии включения 13</w:t>
        </w:r>
      </w:hyperlink>
    </w:p>
    <w:p>
      <w:pPr>
        <w:pStyle w:val="7"/>
      </w:pPr>
      <w:hyperlink r:id="rId20">
        <w:r>
          <w:rPr>
            <w:rStyle w:val="11"/>
          </w:rPr>
          <w:t xml:space="preserve">Критерии исключения 13</w:t>
        </w:r>
      </w:hyperlink>
    </w:p>
    <w:p>
      <w:pPr>
        <w:pStyle w:val="7"/>
      </w:pPr>
      <w:hyperlink r:id="rId20">
        <w:r>
          <w:rPr>
            <w:rStyle w:val="11"/>
          </w:rPr>
          <w:t xml:space="preserve">Критерии исключения после рандомизации 15</w:t>
        </w:r>
      </w:hyperlink>
    </w:p>
    <w:p>
      <w:pPr>
        <w:pStyle w:val="7"/>
      </w:pPr>
      <w:hyperlink r:id="rId20">
        <w:r>
          <w:rPr>
            <w:rStyle w:val="11"/>
          </w:rPr>
          <w:t xml:space="preserve">Лекарство, дозы и способ введения 16</w:t>
        </w:r>
      </w:hyperlink>
    </w:p>
    <w:p>
      <w:pPr>
        <w:pStyle w:val="7"/>
      </w:pPr>
      <w:hyperlink r:id="rId20">
        <w:r>
          <w:rPr>
            <w:rStyle w:val="11"/>
          </w:rPr>
          <w:t xml:space="preserve">Критерии эффективности: 17</w:t>
        </w:r>
      </w:hyperlink>
    </w:p>
    <w:p>
      <w:pPr>
        <w:pStyle w:val="7"/>
      </w:pPr>
      <w:hyperlink r:id="rId20">
        <w:r>
          <w:rPr>
            <w:rStyle w:val="11"/>
          </w:rPr>
          <w:t xml:space="preserve">Критерии безопасности: 17</w:t>
        </w:r>
      </w:hyperlink>
    </w:p>
    <w:p>
      <w:pPr>
        <w:pStyle w:val="7"/>
      </w:pPr>
      <w:hyperlink r:id="rId20">
        <w:r>
          <w:rPr>
            <w:rStyle w:val="11"/>
          </w:rPr>
          <w:t xml:space="preserve">Критерии PK: 17</w:t>
        </w:r>
      </w:hyperlink>
    </w:p>
    <w:p>
      <w:pPr>
        <w:pStyle w:val="7"/>
      </w:pPr>
      <w:hyperlink r:id="rId20">
        <w:r>
          <w:rPr>
            <w:rStyle w:val="11"/>
          </w:rPr>
          <w:t xml:space="preserve">СОДЕРЖАНИЕ 21</w:t>
        </w:r>
      </w:hyperlink>
    </w:p>
    <w:p>
      <w:pPr>
        <w:pStyle w:val="7"/>
      </w:pPr>
      <w:hyperlink r:id="rId20">
        <w:r>
          <w:rPr>
            <w:rStyle w:val="11"/>
          </w:rPr>
          <w:t xml:space="preserve">СПИСОК ТАБЛИЦ 24</w:t>
        </w:r>
      </w:hyperlink>
    </w:p>
    <w:p>
      <w:pPr>
        <w:pStyle w:val="7"/>
      </w:pPr>
      <w:hyperlink r:id="rId20">
        <w:r>
          <w:rPr>
            <w:rStyle w:val="11"/>
          </w:rPr>
          <w:t xml:space="preserve">СПИСОК ИЛЛЮСТРАЦИЙ 24</w:t>
        </w:r>
      </w:hyperlink>
    </w:p>
    <w:p>
      <w:pPr>
        <w:pStyle w:val="7"/>
      </w:pPr>
      <w:hyperlink r:id="rId20">
        <w:r>
          <w:rPr>
            <w:rStyle w:val="11"/>
          </w:rPr>
          <w:t xml:space="preserve">АБРЕВВИАТУРЫ 25</w:t>
        </w:r>
      </w:hyperlink>
    </w:p>
    <w:p>
      <w:pPr>
        <w:pStyle w:val="7"/>
      </w:pPr>
      <w:hyperlink r:id="rId20">
        <w:r>
          <w:rPr>
            <w:rStyle w:val="11"/>
          </w:rPr>
          <w:t xml:space="preserve">1. ВВЕДЕНИЕ 27</w:t>
        </w:r>
      </w:hyperlink>
    </w:p>
    <w:p>
      <w:pPr>
        <w:pStyle w:val="7"/>
      </w:pPr>
      <w:hyperlink r:id="rId20">
        <w:r>
          <w:rPr>
            <w:rStyle w:val="11"/>
          </w:rPr>
          <w:t xml:space="preserve">1.1. Псориаз. 27</w:t>
        </w:r>
      </w:hyperlink>
    </w:p>
    <w:p>
      <w:pPr>
        <w:pStyle w:val="7"/>
      </w:pPr>
      <w:hyperlink r:id="rId20">
        <w:r>
          <w:rPr>
            <w:rStyle w:val="11"/>
          </w:rPr>
          <w:t xml:space="preserve">1.2. Лечение умеренного и тяжелого псориаза 27</w:t>
        </w:r>
      </w:hyperlink>
    </w:p>
    <w:p>
      <w:pPr>
        <w:pStyle w:val="7"/>
      </w:pPr>
      <w:hyperlink r:id="rId20">
        <w:r>
          <w:rPr>
            <w:rStyle w:val="11"/>
          </w:rPr>
          <w:t xml:space="preserve">1.3. Разработка лекарственного препарата L08-0623 31</w:t>
        </w:r>
      </w:hyperlink>
    </w:p>
    <w:p>
      <w:pPr>
        <w:pStyle w:val="7"/>
      </w:pPr>
      <w:hyperlink r:id="rId20">
        <w:r>
          <w:rPr>
            <w:rStyle w:val="11"/>
          </w:rPr>
          <w:t xml:space="preserve">1.4. План клинического развития L08- 0623 32</w:t>
        </w:r>
      </w:hyperlink>
    </w:p>
    <w:p>
      <w:pPr>
        <w:pStyle w:val="7"/>
      </w:pPr>
      <w:hyperlink r:id="rId20">
        <w:r>
          <w:rPr>
            <w:rStyle w:val="11"/>
          </w:rPr>
          <w:t xml:space="preserve">2. ЦЕЛИ ИССЛЕДОВАНИЯ 32</w:t>
        </w:r>
      </w:hyperlink>
    </w:p>
    <w:p>
      <w:pPr>
        <w:pStyle w:val="7"/>
      </w:pPr>
      <w:hyperlink r:id="rId20">
        <w:r>
          <w:rPr>
            <w:rStyle w:val="11"/>
          </w:rPr>
          <w:t xml:space="preserve">2.1. Основная цель 32</w:t>
        </w:r>
      </w:hyperlink>
    </w:p>
    <w:p>
      <w:pPr>
        <w:pStyle w:val="7"/>
      </w:pPr>
      <w:hyperlink r:id="rId20">
        <w:r>
          <w:rPr>
            <w:rStyle w:val="11"/>
          </w:rPr>
          <w:t xml:space="preserve">2.2. Второстепенные цели 32</w:t>
        </w:r>
      </w:hyperlink>
    </w:p>
    <w:p>
      <w:pPr>
        <w:pStyle w:val="7"/>
      </w:pPr>
      <w:hyperlink r:id="rId20">
        <w:r>
          <w:rPr>
            <w:rStyle w:val="11"/>
          </w:rPr>
          <w:t xml:space="preserve">2.3. Цели исследования 33</w:t>
        </w:r>
      </w:hyperlink>
    </w:p>
    <w:p>
      <w:pPr>
        <w:pStyle w:val="7"/>
      </w:pPr>
      <w:hyperlink r:id="rId20">
        <w:r>
          <w:rPr>
            <w:rStyle w:val="11"/>
          </w:rPr>
          <w:t xml:space="preserve">3. ПЛАН ИССЛЕДОВАНИЯ 33</w:t>
        </w:r>
      </w:hyperlink>
    </w:p>
    <w:p>
      <w:pPr>
        <w:pStyle w:val="7"/>
      </w:pPr>
      <w:hyperlink r:id="rId20">
        <w:r>
          <w:rPr>
            <w:rStyle w:val="11"/>
          </w:rPr>
          <w:t xml:space="preserve">3.1. Дизайн и план исследования 33</w:t>
        </w:r>
      </w:hyperlink>
    </w:p>
    <w:p>
      <w:pPr>
        <w:pStyle w:val="7"/>
      </w:pPr>
      <w:hyperlink r:id="rId20">
        <w:r>
          <w:rPr>
            <w:rStyle w:val="11"/>
          </w:rPr>
          <w:t xml:space="preserve">3.1.1. Дизайн исследования 33</w:t>
        </w:r>
      </w:hyperlink>
    </w:p>
    <w:p>
      <w:pPr>
        <w:pStyle w:val="7"/>
      </w:pPr>
      <w:hyperlink r:id="rId20">
        <w:r>
          <w:rPr>
            <w:rStyle w:val="11"/>
          </w:rPr>
          <w:t xml:space="preserve">3.1.2. Расписание приема пищи и напитков 34</w:t>
        </w:r>
      </w:hyperlink>
    </w:p>
    <w:p>
      <w:pPr>
        <w:pStyle w:val="7"/>
      </w:pPr>
      <w:hyperlink r:id="rId20">
        <w:r>
          <w:rPr>
            <w:rStyle w:val="11"/>
          </w:rPr>
          <w:t xml:space="preserve">3.1.3. Группы с однократным дозированием 35</w:t>
        </w:r>
      </w:hyperlink>
    </w:p>
    <w:p>
      <w:pPr>
        <w:pStyle w:val="7"/>
      </w:pPr>
      <w:hyperlink r:id="rId20">
        <w:r>
          <w:rPr>
            <w:rStyle w:val="11"/>
          </w:rPr>
          <w:t xml:space="preserve">3.1.3.1. Период скрининга 35</w:t>
        </w:r>
      </w:hyperlink>
    </w:p>
    <w:p>
      <w:pPr>
        <w:pStyle w:val="7"/>
      </w:pPr>
      <w:hyperlink r:id="rId20">
        <w:r>
          <w:rPr>
            <w:rStyle w:val="11"/>
          </w:rPr>
          <w:t xml:space="preserve">3.1.3.2. Терапия в исследовании 35</w:t>
        </w:r>
      </w:hyperlink>
    </w:p>
    <w:p>
      <w:pPr>
        <w:pStyle w:val="7"/>
      </w:pPr>
      <w:hyperlink r:id="rId20">
        <w:r>
          <w:rPr>
            <w:rStyle w:val="11"/>
          </w:rPr>
          <w:t xml:space="preserve">3.1.3.3. Период наблюдения 36</w:t>
        </w:r>
      </w:hyperlink>
    </w:p>
    <w:p>
      <w:pPr>
        <w:pStyle w:val="7"/>
      </w:pPr>
      <w:hyperlink r:id="rId20">
        <w:r>
          <w:rPr>
            <w:rStyle w:val="11"/>
          </w:rPr>
          <w:t xml:space="preserve">3.1.4. Группы с многократным дозированием 36</w:t>
        </w:r>
      </w:hyperlink>
    </w:p>
    <w:p>
      <w:pPr>
        <w:pStyle w:val="7"/>
      </w:pPr>
      <w:hyperlink r:id="rId20">
        <w:r>
          <w:rPr>
            <w:rStyle w:val="11"/>
          </w:rPr>
          <w:t xml:space="preserve">3.1.4.1. Период скрининга 36</w:t>
        </w:r>
      </w:hyperlink>
    </w:p>
    <w:p>
      <w:pPr>
        <w:pStyle w:val="7"/>
      </w:pPr>
      <w:hyperlink r:id="rId20">
        <w:r>
          <w:rPr>
            <w:rStyle w:val="11"/>
          </w:rPr>
          <w:t xml:space="preserve">3.1.4.2. Терапия в исследовании 37</w:t>
        </w:r>
      </w:hyperlink>
    </w:p>
    <w:p>
      <w:pPr>
        <w:pStyle w:val="7"/>
      </w:pPr>
      <w:hyperlink r:id="rId20">
        <w:r>
          <w:rPr>
            <w:rStyle w:val="11"/>
          </w:rPr>
          <w:t xml:space="preserve">3.1.4.3. Период наблюдения 38</w:t>
        </w:r>
      </w:hyperlink>
    </w:p>
    <w:p>
      <w:pPr>
        <w:pStyle w:val="7"/>
      </w:pPr>
      <w:hyperlink r:id="rId20">
        <w:r>
          <w:rPr>
            <w:rStyle w:val="11"/>
          </w:rPr>
          <w:t xml:space="preserve">Фигура 1. Схема хода исследования: PSR-L08-0623 39</w:t>
        </w:r>
      </w:hyperlink>
    </w:p>
    <w:p>
      <w:pPr>
        <w:pStyle w:val="7"/>
      </w:pPr>
      <w:hyperlink r:id="rId20">
        <w:r>
          <w:rPr>
            <w:rStyle w:val="11"/>
          </w:rPr>
          <w:t xml:space="preserve">Таблица 1. Расписание оценки: PSR-L08-0623 (группы с однократным дозированием) 44</w:t>
        </w:r>
      </w:hyperlink>
    </w:p>
    <w:p>
      <w:pPr>
        <w:pStyle w:val="7"/>
      </w:pPr>
      <w:hyperlink r:id="rId20">
        <w:r>
          <w:rPr>
            <w:rStyle w:val="11"/>
          </w:rPr>
          <w:t xml:space="preserve">Таблица 2. Расписание оценки: PSR-L08-0623 (группы с многократным дозированием) 46</w:t>
        </w:r>
      </w:hyperlink>
    </w:p>
    <w:p>
      <w:pPr>
        <w:pStyle w:val="7"/>
      </w:pPr>
      <w:hyperlink r:id="rId20">
        <w:r>
          <w:rPr>
            <w:rStyle w:val="11"/>
          </w:rPr>
          <w:t xml:space="preserve">3.2. Обоснование дизайна исследования 48</w:t>
        </w:r>
      </w:hyperlink>
    </w:p>
    <w:p>
      <w:pPr>
        <w:pStyle w:val="7"/>
      </w:pPr>
      <w:hyperlink r:id="rId20">
        <w:r>
          <w:rPr>
            <w:rStyle w:val="11"/>
          </w:rPr>
          <w:t xml:space="preserve">3.3. Обоснование дозы 49</w:t>
        </w:r>
      </w:hyperlink>
    </w:p>
    <w:p>
      <w:pPr>
        <w:pStyle w:val="7"/>
      </w:pPr>
      <w:hyperlink r:id="rId20">
        <w:r>
          <w:rPr>
            <w:rStyle w:val="11"/>
          </w:rPr>
          <w:t xml:space="preserve">3.4. Продолжительность исследования и даты 49</w:t>
        </w:r>
      </w:hyperlink>
    </w:p>
    <w:p>
      <w:pPr>
        <w:pStyle w:val="7"/>
      </w:pPr>
      <w:hyperlink r:id="rId20">
        <w:r>
          <w:rPr>
            <w:rStyle w:val="11"/>
          </w:rPr>
          <w:t xml:space="preserve">3.5. Общие сведения 50</w:t>
        </w:r>
      </w:hyperlink>
    </w:p>
    <w:p>
      <w:pPr>
        <w:pStyle w:val="7"/>
      </w:pPr>
      <w:hyperlink r:id="rId20">
        <w:r>
          <w:rPr>
            <w:rStyle w:val="11"/>
          </w:rPr>
          <w:t xml:space="preserve">3.5.1. Преклинические исследования 50</w:t>
        </w:r>
      </w:hyperlink>
    </w:p>
    <w:p>
      <w:pPr>
        <w:pStyle w:val="7"/>
      </w:pPr>
      <w:hyperlink r:id="rId20">
        <w:r>
          <w:rPr>
            <w:rStyle w:val="11"/>
          </w:rPr>
          <w:t xml:space="preserve">3.5.2. Клинические исследования эффективности L08-0623 52</w:t>
        </w:r>
      </w:hyperlink>
    </w:p>
    <w:p>
      <w:pPr>
        <w:pStyle w:val="7"/>
      </w:pPr>
      <w:hyperlink r:id="rId20">
        <w:r>
          <w:rPr>
            <w:rStyle w:val="11"/>
          </w:rPr>
          <w:t xml:space="preserve">3.6. Отношение риск/выгода 53</w:t>
        </w:r>
      </w:hyperlink>
    </w:p>
    <w:p>
      <w:pPr>
        <w:pStyle w:val="7"/>
      </w:pPr>
      <w:hyperlink r:id="rId20">
        <w:r>
          <w:rPr>
            <w:rStyle w:val="11"/>
          </w:rPr>
          <w:t xml:space="preserve">3.6.1. Важные потенциальные риски 53</w:t>
        </w:r>
      </w:hyperlink>
    </w:p>
    <w:p>
      <w:pPr>
        <w:pStyle w:val="7"/>
      </w:pPr>
      <w:hyperlink r:id="rId20">
        <w:r>
          <w:rPr>
            <w:rStyle w:val="11"/>
          </w:rPr>
          <w:t xml:space="preserve">4. ОТБОР ИССЛЕДОВАТЕЛЬНОЙ ПОПУЛЯЦИИ 54</w:t>
        </w:r>
      </w:hyperlink>
    </w:p>
    <w:p>
      <w:pPr>
        <w:pStyle w:val="7"/>
      </w:pPr>
      <w:hyperlink r:id="rId20">
        <w:r>
          <w:rPr>
            <w:rStyle w:val="11"/>
          </w:rPr>
          <w:t xml:space="preserve">4.1. Исследовательская популяция 54</w:t>
        </w:r>
      </w:hyperlink>
    </w:p>
    <w:p>
      <w:pPr>
        <w:pStyle w:val="7"/>
      </w:pPr>
      <w:hyperlink r:id="rId20">
        <w:r>
          <w:rPr>
            <w:rStyle w:val="11"/>
          </w:rPr>
          <w:t xml:space="preserve">4.2. Критерии включения 54</w:t>
        </w:r>
      </w:hyperlink>
    </w:p>
    <w:p>
      <w:pPr>
        <w:pStyle w:val="7"/>
      </w:pPr>
      <w:hyperlink r:id="rId20">
        <w:r>
          <w:rPr>
            <w:rStyle w:val="11"/>
          </w:rPr>
          <w:t xml:space="preserve">4.3. Критерии исключения 54</w:t>
        </w:r>
      </w:hyperlink>
    </w:p>
    <w:p>
      <w:pPr>
        <w:pStyle w:val="7"/>
      </w:pPr>
      <w:hyperlink r:id="rId20">
        <w:r>
          <w:rPr>
            <w:rStyle w:val="11"/>
          </w:rPr>
          <w:t xml:space="preserve">4.4. Критерии исключения после рандомизации 56</w:t>
        </w:r>
      </w:hyperlink>
    </w:p>
    <w:p>
      <w:pPr>
        <w:pStyle w:val="7"/>
      </w:pPr>
      <w:hyperlink r:id="rId20">
        <w:r>
          <w:rPr>
            <w:rStyle w:val="11"/>
          </w:rPr>
          <w:t xml:space="preserve">5. ЛЕКАРСТВЕННЫЙ ПРЕПАРАТ 57</w:t>
        </w:r>
      </w:hyperlink>
    </w:p>
    <w:p>
      <w:pPr>
        <w:pStyle w:val="7"/>
      </w:pPr>
      <w:hyperlink r:id="rId20">
        <w:r>
          <w:rPr>
            <w:rStyle w:val="11"/>
          </w:rPr>
          <w:t xml:space="preserve">5.1. Описание лекарственного препарата 57</w:t>
        </w:r>
      </w:hyperlink>
    </w:p>
    <w:p>
      <w:pPr>
        <w:pStyle w:val="7"/>
      </w:pPr>
      <w:hyperlink r:id="rId20">
        <w:r>
          <w:rPr>
            <w:rStyle w:val="11"/>
          </w:rPr>
          <w:t xml:space="preserve">5.2. Введение лекарственного препарата 58</w:t>
        </w:r>
      </w:hyperlink>
    </w:p>
    <w:p>
      <w:pPr>
        <w:pStyle w:val="7"/>
      </w:pPr>
      <w:hyperlink r:id="rId20">
        <w:r>
          <w:rPr>
            <w:rStyle w:val="11"/>
          </w:rPr>
          <w:t xml:space="preserve">5.3. Распределение участников по группам лечения 59</w:t>
        </w:r>
      </w:hyperlink>
    </w:p>
    <w:p>
      <w:pPr>
        <w:pStyle w:val="7"/>
      </w:pPr>
      <w:hyperlink r:id="rId20">
        <w:r>
          <w:rPr>
            <w:rStyle w:val="11"/>
          </w:rPr>
          <w:t xml:space="preserve">5.4. Блефа 60</w:t>
        </w:r>
      </w:hyperlink>
    </w:p>
    <w:p>
      <w:pPr>
        <w:pStyle w:val="7"/>
      </w:pPr>
      <w:hyperlink r:id="rId20">
        <w:r>
          <w:rPr>
            <w:rStyle w:val="11"/>
          </w:rPr>
          <w:t xml:space="preserve">5.5. Соблюдение режима 60</w:t>
        </w:r>
      </w:hyperlink>
    </w:p>
    <w:p>
      <w:pPr>
        <w:pStyle w:val="7"/>
      </w:pPr>
      <w:hyperlink r:id="rId20">
        <w:r>
          <w:rPr>
            <w:rStyle w:val="11"/>
          </w:rPr>
          <w:t xml:space="preserve">5.6. Предыдущая и сопутствующая терапия 60</w:t>
        </w:r>
      </w:hyperlink>
    </w:p>
    <w:p>
      <w:pPr>
        <w:pStyle w:val="7"/>
      </w:pPr>
      <w:hyperlink r:id="rId20">
        <w:r>
          <w:rPr>
            <w:rStyle w:val="11"/>
          </w:rPr>
          <w:t xml:space="preserve">5.7. Диетические и ограничения, связанные с физической активностью 60</w:t>
        </w:r>
      </w:hyperlink>
    </w:p>
    <w:p>
      <w:pPr>
        <w:pStyle w:val="7"/>
      </w:pPr>
      <w:hyperlink r:id="rId20">
        <w:r>
          <w:rPr>
            <w:rStyle w:val="11"/>
          </w:rPr>
          <w:t xml:space="preserve">5.8. Упаковка и маркировка лекарственного препарата 60</w:t>
        </w:r>
      </w:hyperlink>
    </w:p>
    <w:p>
      <w:pPr>
        <w:pStyle w:val="7"/>
      </w:pPr>
      <w:hyperlink r:id="rId20">
        <w:r>
          <w:rPr>
            <w:rStyle w:val="11"/>
          </w:rPr>
          <w:t xml:space="preserve">Фигура 2. Черновой вариант маркировки для исследования № PSR-L08-0623 60</w:t>
        </w:r>
      </w:hyperlink>
    </w:p>
    <w:p>
      <w:pPr>
        <w:pStyle w:val="7"/>
      </w:pPr>
      <w:hyperlink r:id="rId20">
        <w:r>
          <w:rPr>
            <w:rStyle w:val="11"/>
          </w:rPr>
          <w:t xml:space="preserve">5.9. Учет лекарственного препарата 61</w:t>
        </w:r>
      </w:hyperlink>
    </w:p>
    <w:p>
      <w:pPr>
        <w:pStyle w:val="7"/>
      </w:pPr>
      <w:hyperlink r:id="rId20">
        <w:r>
          <w:rPr>
            <w:rStyle w:val="11"/>
          </w:rPr>
          <w:t xml:space="preserve">5.10. Хранение и учет лекарственного препарата 61</w:t>
        </w:r>
      </w:hyperlink>
    </w:p>
    <w:p>
      <w:pPr>
        <w:pStyle w:val="7"/>
      </w:pPr>
      <w:hyperlink r:id="rId20">
        <w:r>
          <w:rPr>
            <w:rStyle w:val="11"/>
          </w:rPr>
          <w:t xml:space="preserve">6. ОПИСАНИЕ ПРОЦЕДУР ИССЛЕДОВАНИЯ 63</w:t>
        </w:r>
      </w:hyperlink>
    </w:p>
    <w:p>
      <w:pPr>
        <w:pStyle w:val="7"/>
      </w:pPr>
      <w:hyperlink r:id="rId20">
        <w:r>
          <w:rPr>
            <w:rStyle w:val="11"/>
          </w:rPr>
          <w:t xml:space="preserve">6.1. Информированное согласие 63</w:t>
        </w:r>
      </w:hyperlink>
    </w:p>
    <w:p>
      <w:pPr>
        <w:pStyle w:val="7"/>
      </w:pPr>
      <w:hyperlink r:id="rId20">
        <w:r>
          <w:rPr>
            <w:rStyle w:val="11"/>
          </w:rPr>
          <w:t xml:space="preserve">6.2. Регистрация волонтера 63</w:t>
        </w:r>
      </w:hyperlink>
    </w:p>
    <w:p>
      <w:pPr>
        <w:pStyle w:val="7"/>
      </w:pPr>
      <w:hyperlink r:id="rId20">
        <w:r>
          <w:rPr>
            <w:rStyle w:val="11"/>
          </w:rPr>
          <w:t xml:space="preserve">6.3. Демографическая и медицинская история 64</w:t>
        </w:r>
      </w:hyperlink>
    </w:p>
    <w:p>
      <w:pPr>
        <w:pStyle w:val="7"/>
      </w:pPr>
      <w:hyperlink r:id="rId20">
        <w:r>
          <w:rPr>
            <w:rStyle w:val="11"/>
          </w:rPr>
          <w:t xml:space="preserve">6.4. Физический осмотр 64</w:t>
        </w:r>
      </w:hyperlink>
    </w:p>
    <w:p>
      <w:pPr>
        <w:pStyle w:val="7"/>
      </w:pPr>
      <w:hyperlink r:id="rId20">
        <w:r>
          <w:rPr>
            <w:rStyle w:val="11"/>
          </w:rPr>
          <w:t xml:space="preserve">6.5. Жизненные показатели 64</w:t>
        </w:r>
      </w:hyperlink>
    </w:p>
    <w:p>
      <w:pPr>
        <w:pStyle w:val="7"/>
      </w:pPr>
      <w:hyperlink r:id="rId20">
        <w:r>
          <w:rPr>
            <w:rStyle w:val="11"/>
          </w:rPr>
          <w:t xml:space="preserve">6.6. Антропометрические данные 65</w:t>
        </w:r>
      </w:hyperlink>
    </w:p>
    <w:p>
      <w:pPr>
        <w:pStyle w:val="7"/>
      </w:pPr>
      <w:hyperlink r:id="rId20">
        <w:r>
          <w:rPr>
            <w:rStyle w:val="11"/>
          </w:rPr>
          <w:t xml:space="preserve">6.7. Электрокардиография 66</w:t>
        </w:r>
      </w:hyperlink>
    </w:p>
    <w:p>
      <w:pPr>
        <w:pStyle w:val="7"/>
      </w:pPr>
      <w:hyperlink r:id="rId20">
        <w:r>
          <w:rPr>
            <w:rStyle w:val="11"/>
          </w:rPr>
          <w:t xml:space="preserve">6.8. Лабораторные исследования 66</w:t>
        </w:r>
      </w:hyperlink>
    </w:p>
    <w:p>
      <w:pPr>
        <w:pStyle w:val="7"/>
      </w:pPr>
      <w:hyperlink r:id="rId20">
        <w:r>
          <w:rPr>
            <w:rStyle w:val="11"/>
          </w:rPr>
          <w:t xml:space="preserve">6.8.1. Лабораторные параметры 66</w:t>
        </w:r>
      </w:hyperlink>
    </w:p>
    <w:p>
      <w:pPr>
        <w:pStyle w:val="7"/>
      </w:pPr>
      <w:hyperlink r:id="rId20">
        <w:r>
          <w:rPr>
            <w:rStyle w:val="11"/>
          </w:rPr>
          <w:t xml:space="preserve">Таблица 3. Список лабораторных параметров крови 67</w:t>
        </w:r>
      </w:hyperlink>
    </w:p>
    <w:p>
      <w:pPr>
        <w:pStyle w:val="7"/>
      </w:pPr>
      <w:hyperlink r:id="rId20">
        <w:r>
          <w:rPr>
            <w:rStyle w:val="11"/>
          </w:rPr>
          <w:t xml:space="preserve">Таблица 4. Список лабораторных параметров мочи 67</w:t>
        </w:r>
      </w:hyperlink>
    </w:p>
    <w:p>
      <w:pPr>
        <w:pStyle w:val="7"/>
      </w:pPr>
      <w:hyperlink r:id="rId20">
        <w:r>
          <w:rPr>
            <w:rStyle w:val="11"/>
          </w:rPr>
          <w:t xml:space="preserve">6.8.2. Оценка фармакокинетики 67</w:t>
        </w:r>
      </w:hyperlink>
    </w:p>
    <w:p>
      <w:pPr>
        <w:pStyle w:val="7"/>
      </w:pPr>
      <w:hyperlink r:id="rId20">
        <w:r>
          <w:rPr>
            <w:rStyle w:val="11"/>
          </w:rPr>
          <w:t xml:space="preserve">Таблица 5. Расписание отбора образцов для групп с однократным дозированием 68</w:t>
        </w:r>
      </w:hyperlink>
    </w:p>
    <w:p>
      <w:pPr>
        <w:pStyle w:val="7"/>
      </w:pPr>
      <w:hyperlink r:id="rId20">
        <w:r>
          <w:rPr>
            <w:rStyle w:val="11"/>
          </w:rPr>
          <w:t xml:space="preserve">6.8.3. Количественное определение лекарственного препарата в плазме 69</w:t>
        </w:r>
      </w:hyperlink>
    </w:p>
    <w:p>
      <w:pPr>
        <w:pStyle w:val="7"/>
      </w:pPr>
      <w:hyperlink r:id="rId20">
        <w:r>
          <w:rPr>
            <w:rStyle w:val="11"/>
          </w:rPr>
          <w:t xml:space="preserve">6.8.4. Оценка фармакодинамики 69</w:t>
        </w:r>
      </w:hyperlink>
    </w:p>
    <w:p>
      <w:pPr>
        <w:pStyle w:val="7"/>
      </w:pPr>
      <w:hyperlink r:id="rId20">
        <w:r>
          <w:rPr>
            <w:rStyle w:val="11"/>
          </w:rPr>
          <w:t xml:space="preserve">6.9. Оценка безопасности 71</w:t>
        </w:r>
      </w:hyperlink>
    </w:p>
    <w:p>
      <w:pPr>
        <w:pStyle w:val="7"/>
      </w:pPr>
      <w:hyperlink r:id="rId20">
        <w:r>
          <w:rPr>
            <w:rStyle w:val="11"/>
          </w:rPr>
          <w:t xml:space="preserve">6.9.1. Побочные эффекты 71</w:t>
        </w:r>
      </w:hyperlink>
    </w:p>
    <w:p>
      <w:pPr>
        <w:pStyle w:val="7"/>
      </w:pPr>
      <w:hyperlink r:id="rId20">
        <w:r>
          <w:rPr>
            <w:rStyle w:val="11"/>
          </w:rPr>
          <w:t xml:space="preserve">6.9.2. Беременность 71</w:t>
        </w:r>
      </w:hyperlink>
    </w:p>
    <w:p>
      <w:pPr>
        <w:pStyle w:val="7"/>
      </w:pPr>
      <w:hyperlink r:id="rId20">
        <w:r>
          <w:rPr>
            <w:rStyle w:val="11"/>
          </w:rPr>
          <w:t xml:space="preserve">6.9.3. Сообщение о побочных эффектах 72</w:t>
        </w:r>
      </w:hyperlink>
    </w:p>
    <w:p>
      <w:pPr>
        <w:pStyle w:val="7"/>
      </w:pPr>
      <w:hyperlink r:id="rId20">
        <w:r>
          <w:rPr>
            <w:rStyle w:val="11"/>
          </w:rPr>
          <w:t xml:space="preserve">6.9.4. Оценка тяжести 73</w:t>
        </w:r>
      </w:hyperlink>
    </w:p>
    <w:p>
      <w:pPr>
        <w:pStyle w:val="7"/>
      </w:pPr>
      <w:hyperlink r:id="rId20">
        <w:r>
          <w:rPr>
            <w:rStyle w:val="11"/>
          </w:rPr>
          <w:t xml:space="preserve">Таблица 7. Тяжесть побочных эффектов в соответствии с CTCAE 73</w:t>
        </w:r>
      </w:hyperlink>
    </w:p>
    <w:p>
      <w:pPr>
        <w:pStyle w:val="7"/>
      </w:pPr>
      <w:hyperlink r:id="rId20">
        <w:r>
          <w:rPr>
            <w:b/>
            <w:rStyle w:val="11"/>
          </w:rPr>
          <w:t xml:space="preserve">6.9.5</w:t>
        </w:r>
        <w:r>
          <w:rPr>
            <w:rStyle w:val="11"/>
          </w:rPr>
          <w:t xml:space="preserve"> </w:t>
        </w:r>
        <w:r>
          <w:rPr>
            <w:rStyle w:val="11"/>
          </w:rPr>
          <w:t xml:space="preserve">Отношения между АЭ и исследуемым препаратом 73</w:t>
        </w:r>
      </w:hyperlink>
    </w:p>
    <w:p>
      <w:pPr>
        <w:pStyle w:val="7"/>
      </w:pPr>
      <w:hyperlink r:id="rId20">
        <w:r>
          <w:rPr>
            <w:rStyle w:val="11"/>
          </w:rPr>
          <w:t xml:space="preserve">Таблица 8. Оценка причинно-следственной связи 73</w:t>
        </w:r>
      </w:hyperlink>
    </w:p>
    <w:p>
      <w:pPr>
        <w:pStyle w:val="7"/>
      </w:pPr>
      <w:hyperlink r:id="rId20">
        <w:r>
          <w:rPr>
            <w:b/>
            <w:rStyle w:val="11"/>
          </w:rPr>
          <w:t xml:space="preserve">6.9.6</w:t>
        </w:r>
        <w:r>
          <w:rPr>
            <w:rStyle w:val="11"/>
          </w:rPr>
          <w:t xml:space="preserve"> </w:t>
        </w:r>
        <w:r>
          <w:rPr>
            <w:rStyle w:val="11"/>
          </w:rPr>
          <w:t xml:space="preserve">Результаты АЭ 74</w:t>
        </w:r>
      </w:hyperlink>
    </w:p>
    <w:p>
      <w:pPr>
        <w:pStyle w:val="7"/>
      </w:pPr>
      <w:hyperlink r:id="rId20">
        <w:r>
          <w:rPr>
            <w:b/>
            <w:rStyle w:val="11"/>
          </w:rPr>
          <w:t xml:space="preserve">6.9.7</w:t>
        </w:r>
        <w:r>
          <w:rPr>
            <w:rStyle w:val="11"/>
          </w:rPr>
          <w:t xml:space="preserve"> </w:t>
        </w:r>
        <w:r>
          <w:rPr>
            <w:rStyle w:val="11"/>
          </w:rPr>
          <w:t xml:space="preserve">Период сообщения об АЭ/ОАЭ 74</w:t>
        </w:r>
      </w:hyperlink>
    </w:p>
    <w:p>
      <w:pPr>
        <w:pStyle w:val="7"/>
      </w:pPr>
      <w:hyperlink r:id="rId20">
        <w:r>
          <w:rPr>
            <w:rStyle w:val="11"/>
          </w:rPr>
          <w:t xml:space="preserve">Информация об ОАЭ следует направлять по адресу: 75</w:t>
        </w:r>
      </w:hyperlink>
    </w:p>
    <w:p>
      <w:pPr>
        <w:pStyle w:val="7"/>
      </w:pPr>
      <w:hyperlink r:id="rId20">
        <w:r>
          <w:rPr>
            <w:b/>
            <w:rStyle w:val="11"/>
          </w:rPr>
          <w:t xml:space="preserve">6.9.8</w:t>
        </w:r>
        <w:r>
          <w:rPr>
            <w:rStyle w:val="11"/>
          </w:rPr>
          <w:t xml:space="preserve"> </w:t>
        </w:r>
        <w:r>
          <w:rPr>
            <w:rStyle w:val="11"/>
          </w:rPr>
          <w:t xml:space="preserve">Мониторинг субъекта после АЭ/ОАЭ 75</w:t>
        </w:r>
      </w:hyperlink>
    </w:p>
    <w:p>
      <w:pPr>
        <w:pStyle w:val="7"/>
      </w:pPr>
      <w:hyperlink r:id="rId20">
        <w:r>
          <w:rPr>
            <w:b/>
            <w:rStyle w:val="11"/>
          </w:rPr>
          <w:t xml:space="preserve">6.9.9</w:t>
        </w:r>
        <w:r>
          <w:rPr>
            <w:rStyle w:val="11"/>
          </w:rPr>
          <w:t xml:space="preserve"> </w:t>
        </w:r>
        <w:r>
          <w:rPr>
            <w:rStyle w:val="11"/>
          </w:rPr>
          <w:t xml:space="preserve">Клинически значимые отклонения в лабораторных и инструментальных исследованиях и жизненно важных показателях 75</w:t>
        </w:r>
      </w:hyperlink>
    </w:p>
    <w:p>
      <w:pPr>
        <w:pStyle w:val="7"/>
      </w:pPr>
      <w:hyperlink r:id="rId20">
        <w:r>
          <w:rPr>
            <w:b/>
            <w:rStyle w:val="11"/>
          </w:rPr>
          <w:t xml:space="preserve">6.9.10</w:t>
        </w:r>
        <w:r>
          <w:rPr>
            <w:rStyle w:val="11"/>
          </w:rPr>
          <w:t xml:space="preserve"> </w:t>
        </w:r>
        <w:r>
          <w:rPr>
            <w:rStyle w:val="11"/>
          </w:rPr>
          <w:t xml:space="preserve">Критерии для прекращения исследования без дальнейшего увеличения дозы 76</w:t>
        </w:r>
      </w:hyperlink>
    </w:p>
    <w:p>
      <w:pPr>
        <w:pStyle w:val="7"/>
      </w:pPr>
      <w:hyperlink r:id="rId20">
        <w:r>
          <w:rPr>
            <w:b/>
            <w:rStyle w:val="11"/>
          </w:rPr>
          <w:t xml:space="preserve">6.9.1</w:t>
        </w:r>
        <w:r>
          <w:rPr>
            <w:rStyle w:val="11"/>
          </w:rPr>
          <w:t xml:space="preserve"> </w:t>
        </w:r>
        <w:r>
          <w:rPr>
            <w:rStyle w:val="11"/>
          </w:rPr>
          <w:t xml:space="preserve">Ранняя отмена исследования и ранний отсев участников 76</w:t>
        </w:r>
      </w:hyperlink>
    </w:p>
    <w:p>
      <w:pPr>
        <w:pStyle w:val="7"/>
      </w:pPr>
      <w:hyperlink r:id="rId20">
        <w:r>
          <w:rPr>
            <w:b/>
            <w:rStyle w:val="11"/>
          </w:rPr>
          <w:t xml:space="preserve">7</w:t>
        </w:r>
        <w:r>
          <w:rPr>
            <w:rStyle w:val="11"/>
          </w:rPr>
          <w:t xml:space="preserve"> </w:t>
        </w:r>
        <w:r>
          <w:rPr>
            <w:rStyle w:val="11"/>
          </w:rPr>
          <w:t xml:space="preserve">ПРОЦЕДУРЫ ИСПОЛНЕНИЯ 78</w:t>
        </w:r>
      </w:hyperlink>
    </w:p>
    <w:p>
      <w:pPr>
        <w:pStyle w:val="7"/>
      </w:pPr>
      <w:hyperlink r:id="rId20">
        <w:r>
          <w:rPr>
            <w:b/>
            <w:rStyle w:val="11"/>
          </w:rPr>
          <w:t xml:space="preserve">7.1</w:t>
        </w:r>
        <w:r>
          <w:rPr>
            <w:rStyle w:val="11"/>
          </w:rPr>
          <w:t xml:space="preserve"> </w:t>
        </w:r>
        <w:r>
          <w:rPr>
            <w:rStyle w:val="11"/>
          </w:rPr>
          <w:t xml:space="preserve">Скрининг (для групп с однократной и многократной дозой) 78</w:t>
        </w:r>
      </w:hyperlink>
    </w:p>
    <w:p>
      <w:pPr>
        <w:pStyle w:val="7"/>
      </w:pPr>
      <w:hyperlink r:id="rId20">
        <w:r>
          <w:rPr>
            <w:b/>
            <w:rStyle w:val="11"/>
          </w:rPr>
          <w:t xml:space="preserve">7.1.1</w:t>
        </w:r>
        <w:r>
          <w:rPr>
            <w:rStyle w:val="11"/>
          </w:rPr>
          <w:t xml:space="preserve"> </w:t>
        </w:r>
        <w:r>
          <w:rPr>
            <w:rStyle w:val="11"/>
          </w:rPr>
          <w:t xml:space="preserve">День -14 78</w:t>
        </w:r>
      </w:hyperlink>
    </w:p>
    <w:p>
      <w:pPr>
        <w:pStyle w:val="7"/>
      </w:pPr>
      <w:hyperlink r:id="rId20">
        <w:r>
          <w:rPr>
            <w:b/>
            <w:rStyle w:val="11"/>
          </w:rPr>
          <w:t xml:space="preserve">7.1.2 День -1 (для групп с однократной и многократной дозой)</w:t>
        </w:r>
        <w:r>
          <w:rPr>
            <w:rStyle w:val="11"/>
          </w:rPr>
          <w:t xml:space="preserve"> </w:t>
        </w:r>
        <w:r>
          <w:rPr>
            <w:rStyle w:val="11"/>
          </w:rPr>
          <w:t xml:space="preserve">78</w:t>
        </w:r>
      </w:hyperlink>
    </w:p>
    <w:p>
      <w:pPr>
        <w:pStyle w:val="7"/>
      </w:pPr>
      <w:hyperlink r:id="rId20">
        <w:r>
          <w:rPr>
            <w:b/>
            <w:rStyle w:val="11"/>
          </w:rPr>
          <w:t xml:space="preserve">7.2 Процедуры для групп с однократной дозой</w:t>
        </w:r>
        <w:r>
          <w:rPr>
            <w:rStyle w:val="11"/>
          </w:rPr>
          <w:t xml:space="preserve"> </w:t>
        </w:r>
        <w:r>
          <w:rPr>
            <w:rStyle w:val="11"/>
          </w:rPr>
          <w:t xml:space="preserve">79</w:t>
        </w:r>
      </w:hyperlink>
    </w:p>
    <w:p>
      <w:pPr>
        <w:pStyle w:val="7"/>
      </w:pPr>
      <w:hyperlink r:id="rId20">
        <w:r>
          <w:rPr>
            <w:b/>
            <w:rStyle w:val="11"/>
          </w:rPr>
          <w:t xml:space="preserve">7.2.1 Терапия исследования</w:t>
        </w:r>
        <w:r>
          <w:rPr>
            <w:rStyle w:val="11"/>
          </w:rPr>
          <w:t xml:space="preserve"> </w:t>
        </w:r>
        <w:r>
          <w:rPr>
            <w:rStyle w:val="11"/>
          </w:rPr>
          <w:t xml:space="preserve">79</w:t>
        </w:r>
      </w:hyperlink>
    </w:p>
    <w:p>
      <w:pPr>
        <w:pStyle w:val="7"/>
      </w:pPr>
      <w:hyperlink r:id="rId20">
        <w:r>
          <w:rPr>
            <w:i/>
            <w:rStyle w:val="11"/>
          </w:rPr>
          <w:t xml:space="preserve">Введение исследуемого препарата (одна доза)</w:t>
        </w:r>
        <w:r>
          <w:rPr>
            <w:rStyle w:val="11"/>
          </w:rPr>
          <w:t xml:space="preserve"> </w:t>
        </w:r>
        <w:r>
          <w:rPr>
            <w:rStyle w:val="11"/>
          </w:rPr>
          <w:t xml:space="preserve">79</w:t>
        </w:r>
      </w:hyperlink>
    </w:p>
    <w:p>
      <w:pPr>
        <w:pStyle w:val="7"/>
      </w:pPr>
      <w:hyperlink r:id="rId20">
        <w:r>
          <w:rPr>
            <w:b/>
            <w:rStyle w:val="11"/>
          </w:rPr>
          <w:t xml:space="preserve">7.2.1.2</w:t>
        </w:r>
        <w:r>
          <w:rPr>
            <w:rStyle w:val="11"/>
          </w:rPr>
          <w:t xml:space="preserve"> </w:t>
        </w:r>
        <w:r>
          <w:rPr>
            <w:rStyle w:val="11"/>
          </w:rPr>
          <w:t xml:space="preserve">День 1 79</w:t>
        </w:r>
      </w:hyperlink>
    </w:p>
    <w:p>
      <w:pPr>
        <w:pStyle w:val="7"/>
      </w:pPr>
      <w:hyperlink r:id="rId20">
        <w:r>
          <w:rPr>
            <w:b/>
            <w:rStyle w:val="11"/>
          </w:rPr>
          <w:t xml:space="preserve">7.2.1.3</w:t>
        </w:r>
        <w:r>
          <w:rPr>
            <w:rStyle w:val="11"/>
          </w:rPr>
          <w:t xml:space="preserve"> </w:t>
        </w:r>
        <w:r>
          <w:rPr>
            <w:rStyle w:val="11"/>
          </w:rPr>
          <w:t xml:space="preserve">День 2 79</w:t>
        </w:r>
      </w:hyperlink>
    </w:p>
    <w:p>
      <w:pPr>
        <w:pStyle w:val="7"/>
      </w:pPr>
      <w:hyperlink r:id="rId20">
        <w:r>
          <w:rPr>
            <w:b/>
            <w:rStyle w:val="11"/>
          </w:rPr>
          <w:t xml:space="preserve">7.2.1.4</w:t>
        </w:r>
        <w:r>
          <w:rPr>
            <w:rStyle w:val="11"/>
          </w:rPr>
          <w:t xml:space="preserve"> </w:t>
        </w:r>
        <w:r>
          <w:rPr>
            <w:rStyle w:val="11"/>
          </w:rPr>
          <w:t xml:space="preserve">День 3 80</w:t>
        </w:r>
      </w:hyperlink>
    </w:p>
    <w:p>
      <w:pPr>
        <w:pStyle w:val="7"/>
      </w:pPr>
      <w:hyperlink r:id="rId20">
        <w:r>
          <w:rPr>
            <w:b/>
            <w:rStyle w:val="11"/>
          </w:rPr>
          <w:t xml:space="preserve">7.2.2 Мониторинг</w:t>
        </w:r>
        <w:r>
          <w:rPr>
            <w:rStyle w:val="11"/>
          </w:rPr>
          <w:t xml:space="preserve"> </w:t>
        </w:r>
        <w:r>
          <w:rPr>
            <w:rStyle w:val="11"/>
          </w:rPr>
          <w:t xml:space="preserve">81</w:t>
        </w:r>
      </w:hyperlink>
    </w:p>
    <w:p>
      <w:pPr>
        <w:pStyle w:val="7"/>
      </w:pPr>
      <w:hyperlink r:id="rId20">
        <w:r>
          <w:rPr>
            <w:b/>
            <w:rStyle w:val="11"/>
          </w:rPr>
          <w:t xml:space="preserve">7.2.2.2</w:t>
        </w:r>
        <w:r>
          <w:rPr>
            <w:rStyle w:val="11"/>
          </w:rPr>
          <w:t xml:space="preserve"> </w:t>
        </w:r>
        <w:r>
          <w:rPr>
            <w:rStyle w:val="11"/>
          </w:rPr>
          <w:t xml:space="preserve">День 7 81</w:t>
        </w:r>
      </w:hyperlink>
    </w:p>
    <w:p>
      <w:pPr>
        <w:pStyle w:val="7"/>
      </w:pPr>
      <w:hyperlink r:id="rId20">
        <w:r>
          <w:rPr>
            <w:b/>
            <w:rStyle w:val="11"/>
          </w:rPr>
          <w:t xml:space="preserve">7.3 Процедуры для групп с многократной дозой</w:t>
        </w:r>
        <w:r>
          <w:rPr>
            <w:rStyle w:val="11"/>
          </w:rPr>
          <w:t xml:space="preserve"> </w:t>
        </w:r>
        <w:r>
          <w:rPr>
            <w:rStyle w:val="11"/>
          </w:rPr>
          <w:t xml:space="preserve">81</w:t>
        </w:r>
      </w:hyperlink>
    </w:p>
    <w:p>
      <w:pPr>
        <w:pStyle w:val="7"/>
      </w:pPr>
      <w:hyperlink r:id="rId20">
        <w:r>
          <w:rPr>
            <w:b/>
            <w:rStyle w:val="11"/>
          </w:rPr>
          <w:t xml:space="preserve">7.3.1 Терапия исследования</w:t>
        </w:r>
        <w:r>
          <w:rPr>
            <w:rStyle w:val="11"/>
          </w:rPr>
          <w:t xml:space="preserve"> </w:t>
        </w:r>
        <w:r>
          <w:rPr>
            <w:rStyle w:val="11"/>
          </w:rPr>
          <w:t xml:space="preserve">81</w:t>
        </w:r>
      </w:hyperlink>
    </w:p>
    <w:p>
      <w:pPr>
        <w:pStyle w:val="7"/>
      </w:pPr>
      <w:hyperlink r:id="rId20">
        <w:r>
          <w:rPr>
            <w:rStyle w:val="11"/>
          </w:rPr>
          <w:t xml:space="preserve"></w:t>
        </w:r>
        <w:r>
          <w:rPr>
            <w:rStyle w:val="11"/>
          </w:rPr>
          <w:t xml:space="preserve"> </w:t>
        </w:r>
        <w:r>
          <w:rPr>
            <w:i/>
            <w:rStyle w:val="11"/>
          </w:rPr>
          <w:t xml:space="preserve">Введение исследуемого препарата</w:t>
        </w:r>
        <w:r>
          <w:rPr>
            <w:rStyle w:val="11"/>
          </w:rPr>
          <w:t xml:space="preserve"> </w:t>
        </w:r>
        <w:r>
          <w:rPr>
            <w:rStyle w:val="11"/>
          </w:rPr>
          <w:t xml:space="preserve">82</w:t>
        </w:r>
      </w:hyperlink>
    </w:p>
    <w:p>
      <w:pPr>
        <w:pStyle w:val="7"/>
      </w:pPr>
      <w:hyperlink r:id="rId20">
        <w:r>
          <w:rPr>
            <w:b/>
            <w:rStyle w:val="11"/>
          </w:rPr>
          <w:t xml:space="preserve">7.3.1.2</w:t>
        </w:r>
        <w:r>
          <w:rPr>
            <w:rStyle w:val="11"/>
          </w:rPr>
          <w:t xml:space="preserve"> </w:t>
        </w:r>
        <w:r>
          <w:rPr>
            <w:rStyle w:val="11"/>
          </w:rPr>
          <w:t xml:space="preserve">День 1 82</w:t>
        </w:r>
      </w:hyperlink>
    </w:p>
    <w:p>
      <w:pPr>
        <w:pStyle w:val="7"/>
      </w:pPr>
      <w:hyperlink r:id="rId20">
        <w:r>
          <w:rPr>
            <w:b/>
            <w:rStyle w:val="11"/>
          </w:rPr>
          <w:t xml:space="preserve">7.3.1.3</w:t>
        </w:r>
        <w:r>
          <w:rPr>
            <w:rStyle w:val="11"/>
          </w:rPr>
          <w:t xml:space="preserve"> </w:t>
        </w:r>
        <w:r>
          <w:rPr>
            <w:rStyle w:val="11"/>
          </w:rPr>
          <w:t xml:space="preserve">День 2 82</w:t>
        </w:r>
      </w:hyperlink>
    </w:p>
    <w:p>
      <w:pPr>
        <w:pStyle w:val="7"/>
      </w:pPr>
      <w:hyperlink r:id="rId20">
        <w:r>
          <w:rPr>
            <w:b/>
            <w:rStyle w:val="11"/>
          </w:rPr>
          <w:t xml:space="preserve">7.3.1.4</w:t>
        </w:r>
        <w:r>
          <w:rPr>
            <w:rStyle w:val="11"/>
          </w:rPr>
          <w:t xml:space="preserve"> </w:t>
        </w:r>
        <w:r>
          <w:rPr>
            <w:rStyle w:val="11"/>
          </w:rPr>
          <w:t xml:space="preserve">День 3 82</w:t>
        </w:r>
      </w:hyperlink>
    </w:p>
    <w:p>
      <w:pPr>
        <w:pStyle w:val="7"/>
      </w:pPr>
      <w:hyperlink r:id="rId20">
        <w:r>
          <w:rPr>
            <w:b/>
            <w:rStyle w:val="11"/>
          </w:rPr>
          <w:t xml:space="preserve">7.3.1.5</w:t>
        </w:r>
        <w:r>
          <w:rPr>
            <w:rStyle w:val="11"/>
          </w:rPr>
          <w:t xml:space="preserve"> </w:t>
        </w:r>
        <w:r>
          <w:rPr>
            <w:rStyle w:val="11"/>
          </w:rPr>
          <w:t xml:space="preserve">День 4 82</w:t>
        </w:r>
      </w:hyperlink>
    </w:p>
    <w:p>
      <w:pPr>
        <w:pStyle w:val="7"/>
      </w:pPr>
      <w:hyperlink r:id="rId20">
        <w:r>
          <w:rPr>
            <w:b/>
            <w:rStyle w:val="11"/>
          </w:rPr>
          <w:t xml:space="preserve">7.3.1.6</w:t>
        </w:r>
        <w:r>
          <w:rPr>
            <w:rStyle w:val="11"/>
          </w:rPr>
          <w:t xml:space="preserve"> </w:t>
        </w:r>
        <w:r>
          <w:rPr>
            <w:rStyle w:val="11"/>
          </w:rPr>
          <w:t xml:space="preserve">День 5 83</w:t>
        </w:r>
      </w:hyperlink>
    </w:p>
    <w:p>
      <w:pPr>
        <w:pStyle w:val="7"/>
      </w:pPr>
      <w:hyperlink r:id="rId20">
        <w:r>
          <w:rPr>
            <w:b/>
            <w:rStyle w:val="11"/>
          </w:rPr>
          <w:t xml:space="preserve">7.3.1.7</w:t>
        </w:r>
        <w:r>
          <w:rPr>
            <w:rStyle w:val="11"/>
          </w:rPr>
          <w:t xml:space="preserve"> </w:t>
        </w:r>
        <w:r>
          <w:rPr>
            <w:rStyle w:val="11"/>
          </w:rPr>
          <w:t xml:space="preserve">День 6 83</w:t>
        </w:r>
      </w:hyperlink>
    </w:p>
    <w:p>
      <w:pPr>
        <w:pStyle w:val="7"/>
      </w:pPr>
      <w:hyperlink r:id="rId20">
        <w:r>
          <w:rPr>
            <w:rStyle w:val="11"/>
          </w:rPr>
          <w:t xml:space="preserve"></w:t>
        </w:r>
        <w:r>
          <w:rPr>
            <w:rStyle w:val="11"/>
          </w:rPr>
          <w:t xml:space="preserve"> </w:t>
        </w:r>
        <w:r>
          <w:rPr>
            <w:i/>
            <w:rStyle w:val="11"/>
          </w:rPr>
          <w:t xml:space="preserve">Введение исследуемого препарата</w:t>
        </w:r>
        <w:r>
          <w:rPr>
            <w:rStyle w:val="11"/>
          </w:rPr>
          <w:t xml:space="preserve"> </w:t>
        </w:r>
        <w:r>
          <w:rPr>
            <w:rStyle w:val="11"/>
          </w:rPr>
          <w:t xml:space="preserve">83</w:t>
        </w:r>
      </w:hyperlink>
    </w:p>
    <w:p>
      <w:pPr>
        <w:pStyle w:val="7"/>
      </w:pPr>
      <w:hyperlink r:id="rId20">
        <w:r>
          <w:rPr>
            <w:b/>
            <w:rStyle w:val="11"/>
          </w:rPr>
          <w:t xml:space="preserve">7.3.1.8</w:t>
        </w:r>
        <w:r>
          <w:rPr>
            <w:rStyle w:val="11"/>
          </w:rPr>
          <w:t xml:space="preserve"> </w:t>
        </w:r>
        <w:r>
          <w:rPr>
            <w:rStyle w:val="11"/>
          </w:rPr>
          <w:t xml:space="preserve">День 7 83</w:t>
        </w:r>
      </w:hyperlink>
    </w:p>
    <w:p>
      <w:pPr>
        <w:pStyle w:val="7"/>
      </w:pPr>
      <w:hyperlink r:id="rId20">
        <w:r>
          <w:rPr>
            <w:b/>
            <w:rStyle w:val="11"/>
          </w:rPr>
          <w:t xml:space="preserve">7.3.1.9</w:t>
        </w:r>
        <w:r>
          <w:rPr>
            <w:rStyle w:val="11"/>
          </w:rPr>
          <w:t xml:space="preserve"> </w:t>
        </w:r>
        <w:r>
          <w:rPr>
            <w:rStyle w:val="11"/>
          </w:rPr>
          <w:t xml:space="preserve">День 8 83</w:t>
        </w:r>
      </w:hyperlink>
    </w:p>
    <w:p>
      <w:pPr>
        <w:pStyle w:val="7"/>
      </w:pPr>
      <w:hyperlink r:id="rId20">
        <w:r>
          <w:rPr>
            <w:b/>
            <w:rStyle w:val="11"/>
          </w:rPr>
          <w:t xml:space="preserve">7.3.1.10</w:t>
        </w:r>
        <w:r>
          <w:rPr>
            <w:rStyle w:val="11"/>
          </w:rPr>
          <w:t xml:space="preserve"> </w:t>
        </w:r>
        <w:r>
          <w:rPr>
            <w:rStyle w:val="11"/>
          </w:rPr>
          <w:t xml:space="preserve">День 9 83</w:t>
        </w:r>
      </w:hyperlink>
    </w:p>
    <w:p>
      <w:pPr>
        <w:pStyle w:val="7"/>
      </w:pPr>
      <w:hyperlink r:id="rId20">
        <w:r>
          <w:rPr>
            <w:b/>
            <w:rStyle w:val="11"/>
          </w:rPr>
          <w:t xml:space="preserve">7.3.2 Мониторинг</w:t>
        </w:r>
        <w:r>
          <w:rPr>
            <w:rStyle w:val="11"/>
          </w:rPr>
          <w:t xml:space="preserve"> </w:t>
        </w:r>
        <w:r>
          <w:rPr>
            <w:rStyle w:val="11"/>
          </w:rPr>
          <w:t xml:space="preserve">84</w:t>
        </w:r>
      </w:hyperlink>
    </w:p>
    <w:p>
      <w:pPr>
        <w:pStyle w:val="7"/>
      </w:pPr>
      <w:hyperlink r:id="rId20">
        <w:r>
          <w:rPr>
            <w:b/>
            <w:rStyle w:val="11"/>
          </w:rPr>
          <w:t xml:space="preserve">7.3.2.2</w:t>
        </w:r>
        <w:r>
          <w:rPr>
            <w:rStyle w:val="11"/>
          </w:rPr>
          <w:t xml:space="preserve"> </w:t>
        </w:r>
        <w:r>
          <w:rPr>
            <w:rStyle w:val="11"/>
          </w:rPr>
          <w:t xml:space="preserve">День 21 84</w:t>
        </w:r>
      </w:hyperlink>
    </w:p>
    <w:p>
      <w:pPr>
        <w:pStyle w:val="7"/>
      </w:pPr>
      <w:hyperlink r:id="rId20">
        <w:r>
          <w:rPr>
            <w:b/>
            <w:rStyle w:val="11"/>
          </w:rPr>
          <w:t xml:space="preserve">7.4 Неплановые визиты</w:t>
        </w:r>
        <w:r>
          <w:rPr>
            <w:rStyle w:val="11"/>
          </w:rPr>
          <w:t xml:space="preserve"> </w:t>
        </w:r>
        <w:r>
          <w:rPr>
            <w:rStyle w:val="11"/>
          </w:rPr>
          <w:t xml:space="preserve">84</w:t>
        </w:r>
      </w:hyperlink>
    </w:p>
    <w:p>
      <w:pPr>
        <w:pStyle w:val="7"/>
      </w:pPr>
      <w:hyperlink r:id="rId20">
        <w:r>
          <w:rPr>
            <w:b/>
            <w:rStyle w:val="11"/>
          </w:rPr>
          <w:t xml:space="preserve">7.5 Визит для ранней отмены (для групп с однократной и многократной дозой)</w:t>
        </w:r>
        <w:r>
          <w:rPr>
            <w:rStyle w:val="11"/>
          </w:rPr>
          <w:t xml:space="preserve"> </w:t>
        </w:r>
        <w:r>
          <w:rPr>
            <w:rStyle w:val="11"/>
          </w:rPr>
          <w:t xml:space="preserve">85</w:t>
        </w:r>
      </w:hyperlink>
    </w:p>
    <w:p>
      <w:pPr>
        <w:pStyle w:val="7"/>
      </w:pPr>
      <w:hyperlink r:id="rId20">
        <w:r>
          <w:rPr>
            <w:b/>
            <w:rStyle w:val="11"/>
          </w:rPr>
          <w:t xml:space="preserve">8</w:t>
        </w:r>
        <w:r>
          <w:rPr>
            <w:rStyle w:val="11"/>
          </w:rPr>
          <w:t xml:space="preserve"> </w:t>
        </w:r>
        <w:r>
          <w:rPr>
            <w:rStyle w:val="11"/>
          </w:rPr>
          <w:t xml:space="preserve">КОНТРОЛЬ КАЧЕСТВА 86</w:t>
        </w:r>
      </w:hyperlink>
    </w:p>
    <w:p>
      <w:pPr>
        <w:pStyle w:val="7"/>
      </w:pPr>
      <w:hyperlink r:id="rId20">
        <w:r>
          <w:rPr>
            <w:b/>
            <w:rStyle w:val="11"/>
          </w:rPr>
          <w:t xml:space="preserve">9</w:t>
        </w:r>
        <w:r>
          <w:rPr>
            <w:rStyle w:val="11"/>
          </w:rPr>
          <w:t xml:space="preserve"> </w:t>
        </w:r>
        <w:r>
          <w:rPr>
            <w:rStyle w:val="11"/>
          </w:rPr>
          <w:t xml:space="preserve">ПЛАНИРУЕМЫЕ СТАТИСТИЧЕСКИЕ МЕТОДЫ 87</w:t>
        </w:r>
      </w:hyperlink>
    </w:p>
    <w:p>
      <w:pPr>
        <w:pStyle w:val="7"/>
      </w:pPr>
      <w:hyperlink r:id="rId20">
        <w:r>
          <w:rPr>
            <w:b/>
            <w:rStyle w:val="11"/>
          </w:rPr>
          <w:t xml:space="preserve">9.1</w:t>
        </w:r>
        <w:r>
          <w:rPr>
            <w:rStyle w:val="11"/>
          </w:rPr>
          <w:t xml:space="preserve"> </w:t>
        </w:r>
        <w:r>
          <w:rPr>
            <w:rStyle w:val="11"/>
          </w:rPr>
          <w:t xml:space="preserve">Общие положения 87</w:t>
        </w:r>
      </w:hyperlink>
    </w:p>
    <w:p>
      <w:pPr>
        <w:pStyle w:val="7"/>
      </w:pPr>
      <w:hyperlink r:id="rId20">
        <w:r>
          <w:rPr>
            <w:b/>
            <w:rStyle w:val="11"/>
          </w:rPr>
          <w:t xml:space="preserve">9.2</w:t>
        </w:r>
        <w:r>
          <w:rPr>
            <w:rStyle w:val="11"/>
          </w:rPr>
          <w:t xml:space="preserve"> </w:t>
        </w:r>
        <w:r>
          <w:rPr>
            <w:rStyle w:val="11"/>
          </w:rPr>
          <w:t xml:space="preserve">Размер выборки 87</w:t>
        </w:r>
      </w:hyperlink>
    </w:p>
    <w:p>
      <w:pPr>
        <w:pStyle w:val="7"/>
      </w:pPr>
      <w:hyperlink r:id="rId20">
        <w:r>
          <w:rPr>
            <w:b/>
            <w:rStyle w:val="11"/>
          </w:rPr>
          <w:t xml:space="preserve">9.3</w:t>
        </w:r>
        <w:r>
          <w:rPr>
            <w:rStyle w:val="11"/>
          </w:rPr>
          <w:t xml:space="preserve"> </w:t>
        </w:r>
        <w:r>
          <w:rPr>
            <w:rStyle w:val="11"/>
          </w:rPr>
          <w:t xml:space="preserve">Рандомизация 87</w:t>
        </w:r>
      </w:hyperlink>
    </w:p>
    <w:p>
      <w:pPr>
        <w:pStyle w:val="7"/>
      </w:pPr>
      <w:hyperlink r:id="rId20">
        <w:r>
          <w:rPr>
            <w:b/>
            <w:rStyle w:val="11"/>
          </w:rPr>
          <w:t xml:space="preserve">9.4</w:t>
        </w:r>
        <w:r>
          <w:rPr>
            <w:rStyle w:val="11"/>
          </w:rPr>
          <w:t xml:space="preserve"> </w:t>
        </w:r>
        <w:r>
          <w:rPr>
            <w:rStyle w:val="11"/>
          </w:rPr>
          <w:t xml:space="preserve">Наборы для анализа 88</w:t>
        </w:r>
      </w:hyperlink>
    </w:p>
    <w:p>
      <w:pPr>
        <w:pStyle w:val="7"/>
      </w:pPr>
      <w:hyperlink r:id="rId20">
        <w:r>
          <w:rPr>
            <w:b/>
            <w:rStyle w:val="11"/>
          </w:rPr>
          <w:t xml:space="preserve">9.4.1</w:t>
        </w:r>
        <w:r>
          <w:rPr>
            <w:rStyle w:val="11"/>
          </w:rPr>
          <w:t xml:space="preserve"> </w:t>
        </w:r>
        <w:r>
          <w:rPr>
            <w:rStyle w:val="11"/>
          </w:rPr>
          <w:t xml:space="preserve">Набор для анализа безопасности 88</w:t>
        </w:r>
      </w:hyperlink>
    </w:p>
    <w:p>
      <w:pPr>
        <w:pStyle w:val="7"/>
      </w:pPr>
      <w:hyperlink r:id="rId20">
        <w:r>
          <w:rPr>
            <w:b/>
            <w:rStyle w:val="11"/>
          </w:rPr>
          <w:t xml:space="preserve">9.4.2</w:t>
        </w:r>
        <w:r>
          <w:rPr>
            <w:rStyle w:val="11"/>
          </w:rPr>
          <w:t xml:space="preserve"> </w:t>
        </w:r>
        <w:r>
          <w:rPr>
            <w:rStyle w:val="11"/>
          </w:rPr>
          <w:t xml:space="preserve">Набор для анализа фармакокинетики 88</w:t>
        </w:r>
      </w:hyperlink>
    </w:p>
    <w:p>
      <w:pPr>
        <w:pStyle w:val="7"/>
      </w:pPr>
      <w:hyperlink r:id="rId20">
        <w:r>
          <w:rPr>
            <w:b/>
            <w:rStyle w:val="11"/>
          </w:rPr>
          <w:t xml:space="preserve">9.4.3</w:t>
        </w:r>
        <w:r>
          <w:rPr>
            <w:rStyle w:val="11"/>
          </w:rPr>
          <w:t xml:space="preserve"> </w:t>
        </w:r>
        <w:r>
          <w:rPr>
            <w:rStyle w:val="11"/>
          </w:rPr>
          <w:t xml:space="preserve">Набор для анализа фармакодинамики 88</w:t>
        </w:r>
      </w:hyperlink>
    </w:p>
    <w:p>
      <w:pPr>
        <w:pStyle w:val="7"/>
      </w:pPr>
      <w:hyperlink r:id="rId20">
        <w:r>
          <w:rPr>
            <w:b/>
            <w:rStyle w:val="11"/>
          </w:rPr>
          <w:t xml:space="preserve">9.5</w:t>
        </w:r>
        <w:r>
          <w:rPr>
            <w:rStyle w:val="11"/>
          </w:rPr>
          <w:t xml:space="preserve"> </w:t>
        </w:r>
        <w:r>
          <w:rPr>
            <w:rStyle w:val="11"/>
          </w:rPr>
          <w:t xml:space="preserve">Процедуры учета недостающих, необработанных и сомнительных данных 88</w:t>
        </w:r>
      </w:hyperlink>
    </w:p>
    <w:p>
      <w:pPr>
        <w:pStyle w:val="7"/>
      </w:pPr>
      <w:hyperlink r:id="rId20">
        <w:r>
          <w:rPr>
            <w:b/>
            <w:rStyle w:val="11"/>
          </w:rPr>
          <w:t xml:space="preserve">9.6</w:t>
        </w:r>
        <w:r>
          <w:rPr>
            <w:rStyle w:val="11"/>
          </w:rPr>
          <w:t xml:space="preserve"> </w:t>
        </w:r>
        <w:r>
          <w:rPr>
            <w:rStyle w:val="11"/>
          </w:rPr>
          <w:t xml:space="preserve">Распределение субъектов, демографические характеристики и базовый анализ 88</w:t>
        </w:r>
      </w:hyperlink>
    </w:p>
    <w:p>
      <w:pPr>
        <w:pStyle w:val="7"/>
      </w:pPr>
      <w:hyperlink r:id="rId20">
        <w:r>
          <w:rPr>
            <w:b/>
            <w:rStyle w:val="11"/>
          </w:rPr>
          <w:t xml:space="preserve">9.7</w:t>
        </w:r>
        <w:r>
          <w:rPr>
            <w:rStyle w:val="11"/>
          </w:rPr>
          <w:t xml:space="preserve"> </w:t>
        </w:r>
        <w:r>
          <w:rPr>
            <w:rStyle w:val="11"/>
          </w:rPr>
          <w:t xml:space="preserve">Оценка эффективности 89</w:t>
        </w:r>
      </w:hyperlink>
    </w:p>
    <w:p>
      <w:pPr>
        <w:pStyle w:val="7"/>
      </w:pPr>
      <w:hyperlink r:id="rId20">
        <w:r>
          <w:rPr>
            <w:b/>
            <w:rStyle w:val="11"/>
          </w:rPr>
          <w:t xml:space="preserve">9.8</w:t>
        </w:r>
        <w:r>
          <w:rPr>
            <w:rStyle w:val="11"/>
          </w:rPr>
          <w:t xml:space="preserve"> </w:t>
        </w:r>
        <w:r>
          <w:rPr>
            <w:rStyle w:val="11"/>
          </w:rPr>
          <w:t xml:space="preserve">Оценка безопасности, конечные точки: 89</w:t>
        </w:r>
      </w:hyperlink>
    </w:p>
    <w:p>
      <w:pPr>
        <w:pStyle w:val="7"/>
      </w:pPr>
      <w:hyperlink r:id="rId20">
        <w:r>
          <w:rPr>
            <w:b/>
            <w:rStyle w:val="11"/>
          </w:rPr>
          <w:t xml:space="preserve">9.9</w:t>
        </w:r>
        <w:r>
          <w:rPr>
            <w:rStyle w:val="11"/>
          </w:rPr>
          <w:t xml:space="preserve"> </w:t>
        </w:r>
        <w:r>
          <w:rPr>
            <w:rStyle w:val="11"/>
          </w:rPr>
          <w:t xml:space="preserve">Оценка фармакокинетики</w:t>
        </w:r>
        <w:r>
          <w:rPr>
            <w:rStyle w:val="11"/>
          </w:rPr>
          <w:t xml:space="preserve"> </w:t>
        </w:r>
        <w:r>
          <w:rPr>
            <w:b/>
            <w:rStyle w:val="11"/>
          </w:rPr>
          <w:t xml:space="preserve">PK конечные точки</w:t>
        </w:r>
        <w:r>
          <w:rPr>
            <w:rStyle w:val="11"/>
          </w:rPr>
          <w:t xml:space="preserve">: 90</w:t>
        </w:r>
      </w:hyperlink>
    </w:p>
    <w:p>
      <w:pPr>
        <w:pStyle w:val="7"/>
      </w:pPr>
      <w:hyperlink r:id="rId20">
        <w:r>
          <w:rPr>
            <w:i/>
            <w:b/>
            <w:rStyle w:val="11"/>
          </w:rPr>
          <w:t xml:space="preserve">Режим с одной дозой</w:t>
        </w:r>
        <w:r>
          <w:rPr>
            <w:rStyle w:val="11"/>
          </w:rPr>
          <w:t xml:space="preserve"> </w:t>
        </w:r>
        <w:r>
          <w:rPr>
            <w:rStyle w:val="11"/>
          </w:rPr>
          <w:t xml:space="preserve">90</w:t>
        </w:r>
      </w:hyperlink>
    </w:p>
    <w:p>
      <w:pPr>
        <w:pStyle w:val="7"/>
      </w:pPr>
      <w:hyperlink r:id="rId20">
        <w:r>
          <w:rPr>
            <w:i/>
            <w:b/>
            <w:rStyle w:val="11"/>
          </w:rPr>
          <w:t xml:space="preserve">Режим с многократной дозой</w:t>
        </w:r>
        <w:r>
          <w:rPr>
            <w:rStyle w:val="11"/>
          </w:rPr>
          <w:t xml:space="preserve"> </w:t>
        </w:r>
        <w:r>
          <w:rPr>
            <w:rStyle w:val="11"/>
          </w:rPr>
          <w:t xml:space="preserve">90</w:t>
        </w:r>
      </w:hyperlink>
    </w:p>
    <w:p>
      <w:pPr>
        <w:pStyle w:val="7"/>
      </w:pPr>
      <w:hyperlink r:id="rId20">
        <w:r>
          <w:rPr>
            <w:b/>
            <w:rStyle w:val="11"/>
          </w:rPr>
          <w:t xml:space="preserve">9.10</w:t>
        </w:r>
        <w:r>
          <w:rPr>
            <w:rStyle w:val="11"/>
          </w:rPr>
          <w:t xml:space="preserve"> </w:t>
        </w:r>
        <w:r>
          <w:rPr>
            <w:rStyle w:val="11"/>
          </w:rPr>
          <w:t xml:space="preserve">Оценка фармакодинамики</w:t>
        </w:r>
        <w:r>
          <w:rPr>
            <w:rStyle w:val="11"/>
          </w:rPr>
          <w:t xml:space="preserve"> </w:t>
        </w:r>
        <w:r>
          <w:rPr>
            <w:b/>
            <w:rStyle w:val="11"/>
          </w:rPr>
          <w:t xml:space="preserve">PD конечные точки</w:t>
        </w:r>
        <w:r>
          <w:rPr>
            <w:rStyle w:val="11"/>
          </w:rPr>
          <w:t xml:space="preserve">: 90</w:t>
        </w:r>
      </w:hyperlink>
    </w:p>
    <w:p>
      <w:pPr>
        <w:pStyle w:val="7"/>
      </w:pPr>
      <w:hyperlink r:id="rId20">
        <w:r>
          <w:rPr>
            <w:b/>
            <w:rStyle w:val="11"/>
          </w:rPr>
          <w:t xml:space="preserve">9.11 Временный анализ</w:t>
        </w:r>
        <w:r>
          <w:rPr>
            <w:rStyle w:val="11"/>
          </w:rPr>
          <w:t xml:space="preserve"> </w:t>
        </w:r>
        <w:r>
          <w:rPr>
            <w:rStyle w:val="11"/>
          </w:rPr>
          <w:t xml:space="preserve">91</w:t>
        </w:r>
      </w:hyperlink>
    </w:p>
    <w:p>
      <w:pPr>
        <w:pStyle w:val="7"/>
      </w:pPr>
      <w:hyperlink r:id="rId20">
        <w:r>
          <w:rPr>
            <w:b/>
            <w:rStyle w:val="11"/>
          </w:rPr>
          <w:t xml:space="preserve">10</w:t>
        </w:r>
        <w:r>
          <w:rPr>
            <w:rStyle w:val="11"/>
          </w:rPr>
          <w:t xml:space="preserve"> </w:t>
        </w:r>
        <w:r>
          <w:rPr>
            <w:rStyle w:val="11"/>
          </w:rPr>
          <w:t xml:space="preserve">АДМИНИСТРАТИВНЫЕ ПРОЦЕДУРЫ 92</w:t>
        </w:r>
      </w:hyperlink>
    </w:p>
    <w:p>
      <w:pPr>
        <w:pStyle w:val="7"/>
      </w:pPr>
      <w:hyperlink r:id="rId20">
        <w:r>
          <w:rPr>
            <w:b/>
            <w:rStyle w:val="11"/>
          </w:rPr>
          <w:t xml:space="preserve">10.1</w:t>
        </w:r>
        <w:r>
          <w:rPr>
            <w:rStyle w:val="11"/>
          </w:rPr>
          <w:t xml:space="preserve"> </w:t>
        </w:r>
        <w:r>
          <w:rPr>
            <w:rStyle w:val="11"/>
          </w:rPr>
          <w:t xml:space="preserve">Юридические аспекты 92</w:t>
        </w:r>
      </w:hyperlink>
    </w:p>
    <w:p>
      <w:pPr>
        <w:pStyle w:val="7"/>
      </w:pPr>
      <w:hyperlink r:id="rId20">
        <w:r>
          <w:rPr>
            <w:b/>
            <w:rStyle w:val="11"/>
          </w:rPr>
          <w:t xml:space="preserve">10.1.1</w:t>
        </w:r>
        <w:r>
          <w:rPr>
            <w:rStyle w:val="11"/>
          </w:rPr>
          <w:t xml:space="preserve"> </w:t>
        </w:r>
        <w:r>
          <w:rPr>
            <w:rStyle w:val="11"/>
          </w:rPr>
          <w:t xml:space="preserve">Ответственность исследователя 92</w:t>
        </w:r>
      </w:hyperlink>
    </w:p>
    <w:p>
      <w:pPr>
        <w:pStyle w:val="7"/>
      </w:pPr>
      <w:hyperlink r:id="rId20">
        <w:r>
          <w:rPr>
            <w:b/>
            <w:rStyle w:val="11"/>
          </w:rPr>
          <w:t xml:space="preserve">10.2</w:t>
        </w:r>
        <w:r>
          <w:rPr>
            <w:rStyle w:val="11"/>
          </w:rPr>
          <w:t xml:space="preserve"> </w:t>
        </w:r>
        <w:r>
          <w:rPr>
            <w:rStyle w:val="11"/>
          </w:rPr>
          <w:t xml:space="preserve">Процедуры мониторинга 92</w:t>
        </w:r>
      </w:hyperlink>
    </w:p>
    <w:p>
      <w:pPr>
        <w:pStyle w:val="7"/>
      </w:pPr>
      <w:hyperlink r:id="rId20">
        <w:r>
          <w:rPr>
            <w:b/>
            <w:rStyle w:val="11"/>
          </w:rPr>
          <w:t xml:space="preserve">10.3</w:t>
        </w:r>
        <w:r>
          <w:rPr>
            <w:rStyle w:val="11"/>
          </w:rPr>
          <w:t xml:space="preserve"> </w:t>
        </w:r>
        <w:r>
          <w:rPr>
            <w:rStyle w:val="11"/>
          </w:rPr>
          <w:t xml:space="preserve">Отклонения от протокола 93</w:t>
        </w:r>
      </w:hyperlink>
    </w:p>
    <w:p>
      <w:pPr>
        <w:pStyle w:val="7"/>
      </w:pPr>
      <w:hyperlink r:id="rId20">
        <w:r>
          <w:rPr>
            <w:b/>
            <w:rStyle w:val="11"/>
          </w:rPr>
          <w:t xml:space="preserve">10.4</w:t>
        </w:r>
        <w:r>
          <w:rPr>
            <w:rStyle w:val="11"/>
          </w:rPr>
          <w:t xml:space="preserve"> </w:t>
        </w:r>
        <w:r>
          <w:rPr>
            <w:rStyle w:val="11"/>
          </w:rPr>
          <w:t xml:space="preserve">Ввод данных в eCRF 93</w:t>
        </w:r>
      </w:hyperlink>
    </w:p>
    <w:p>
      <w:pPr>
        <w:pStyle w:val="7"/>
      </w:pPr>
      <w:hyperlink r:id="rId20">
        <w:r>
          <w:rPr>
            <w:b/>
            <w:rStyle w:val="11"/>
          </w:rPr>
          <w:t xml:space="preserve">10.5</w:t>
        </w:r>
        <w:r>
          <w:rPr>
            <w:rStyle w:val="11"/>
          </w:rPr>
          <w:t xml:space="preserve"> </w:t>
        </w:r>
        <w:r>
          <w:rPr>
            <w:rStyle w:val="11"/>
          </w:rPr>
          <w:t xml:space="preserve">Ведение записей 93</w:t>
        </w:r>
      </w:hyperlink>
    </w:p>
    <w:p>
      <w:pPr>
        <w:pStyle w:val="7"/>
      </w:pPr>
      <w:hyperlink r:id="rId20">
        <w:r>
          <w:rPr>
            <w:b/>
            <w:rStyle w:val="11"/>
          </w:rPr>
          <w:t xml:space="preserve">10.6</w:t>
        </w:r>
        <w:r>
          <w:rPr>
            <w:rStyle w:val="11"/>
          </w:rPr>
          <w:t xml:space="preserve"> </w:t>
        </w:r>
        <w:r>
          <w:rPr>
            <w:rStyle w:val="11"/>
          </w:rPr>
          <w:t xml:space="preserve">Комитет по мониторингу данных 93</w:t>
        </w:r>
      </w:hyperlink>
    </w:p>
    <w:p>
      <w:pPr>
        <w:pStyle w:val="7"/>
      </w:pPr>
      <w:hyperlink r:id="rId20">
        <w:r>
          <w:rPr>
            <w:b/>
            <w:rStyle w:val="11"/>
          </w:rPr>
          <w:t xml:space="preserve">10.7</w:t>
        </w:r>
        <w:r>
          <w:rPr>
            <w:rStyle w:val="11"/>
          </w:rPr>
          <w:t xml:space="preserve"> </w:t>
        </w:r>
        <w:r>
          <w:rPr>
            <w:rStyle w:val="11"/>
          </w:rPr>
          <w:t xml:space="preserve">Этические аспекты 94</w:t>
        </w:r>
      </w:hyperlink>
    </w:p>
    <w:p>
      <w:pPr>
        <w:pStyle w:val="7"/>
      </w:pPr>
      <w:hyperlink r:id="rId20">
        <w:r>
          <w:rPr>
            <w:b/>
            <w:rStyle w:val="11"/>
          </w:rPr>
          <w:t xml:space="preserve">10.7.1</w:t>
        </w:r>
        <w:r>
          <w:rPr>
            <w:rStyle w:val="11"/>
          </w:rPr>
          <w:t xml:space="preserve"> </w:t>
        </w:r>
        <w:r>
          <w:rPr>
            <w:rStyle w:val="11"/>
          </w:rPr>
          <w:t xml:space="preserve">Независимый этический комитет 94</w:t>
        </w:r>
      </w:hyperlink>
    </w:p>
    <w:p>
      <w:pPr>
        <w:pStyle w:val="7"/>
      </w:pPr>
      <w:hyperlink r:id="rId20">
        <w:r>
          <w:rPr>
            <w:b/>
            <w:rStyle w:val="11"/>
          </w:rPr>
          <w:t xml:space="preserve">10.7.2</w:t>
        </w:r>
        <w:r>
          <w:rPr>
            <w:rStyle w:val="11"/>
          </w:rPr>
          <w:t xml:space="preserve"> </w:t>
        </w:r>
        <w:r>
          <w:rPr>
            <w:rStyle w:val="11"/>
          </w:rPr>
          <w:t xml:space="preserve">Этический аспект клинического исследования 95</w:t>
        </w:r>
      </w:hyperlink>
    </w:p>
    <w:p>
      <w:pPr>
        <w:pStyle w:val="7"/>
      </w:pPr>
      <w:hyperlink r:id="rId20">
        <w:r>
          <w:rPr>
            <w:b/>
            <w:rStyle w:val="11"/>
          </w:rPr>
          <w:t xml:space="preserve">10.7.3</w:t>
        </w:r>
        <w:r>
          <w:rPr>
            <w:rStyle w:val="11"/>
          </w:rPr>
          <w:t xml:space="preserve"> </w:t>
        </w:r>
        <w:r>
          <w:rPr>
            <w:rStyle w:val="11"/>
          </w:rPr>
          <w:t xml:space="preserve">Информированное согласие 95</w:t>
        </w:r>
      </w:hyperlink>
    </w:p>
    <w:p>
      <w:pPr>
        <w:pStyle w:val="7"/>
      </w:pPr>
      <w:hyperlink r:id="rId20">
        <w:r>
          <w:rPr>
            <w:b/>
            <w:rStyle w:val="11"/>
          </w:rPr>
          <w:t xml:space="preserve">10.7.4</w:t>
        </w:r>
        <w:r>
          <w:rPr>
            <w:rStyle w:val="11"/>
          </w:rPr>
          <w:t xml:space="preserve"> </w:t>
        </w:r>
        <w:r>
          <w:rPr>
            <w:rStyle w:val="11"/>
          </w:rPr>
          <w:t xml:space="preserve">Финансирование 96</w:t>
        </w:r>
      </w:hyperlink>
    </w:p>
    <w:p>
      <w:pPr>
        <w:pStyle w:val="7"/>
      </w:pPr>
      <w:hyperlink r:id="rId20">
        <w:r>
          <w:rPr>
            <w:b/>
            <w:rStyle w:val="11"/>
          </w:rPr>
          <w:t xml:space="preserve">11</w:t>
        </w:r>
        <w:r>
          <w:rPr>
            <w:rStyle w:val="11"/>
          </w:rPr>
          <w:t xml:space="preserve"> </w:t>
        </w:r>
        <w:r>
          <w:rPr>
            <w:rStyle w:val="11"/>
          </w:rPr>
          <w:t xml:space="preserve">ПЛАН ПУБЛИКАЦИИ 97</w:t>
        </w:r>
      </w:hyperlink>
    </w:p>
    <w:p>
      <w:pPr>
        <w:pStyle w:val="7"/>
      </w:pPr>
      <w:hyperlink r:id="rId20">
        <w:r>
          <w:rPr>
            <w:b/>
            <w:rStyle w:val="11"/>
          </w:rPr>
          <w:t xml:space="preserve">12</w:t>
        </w:r>
        <w:r>
          <w:rPr>
            <w:rStyle w:val="11"/>
          </w:rPr>
          <w:t xml:space="preserve"> </w:t>
        </w:r>
        <w:r>
          <w:rPr>
            <w:rStyle w:val="11"/>
          </w:rPr>
          <w:t xml:space="preserve">СПИСОК ЛИТЕРАТУРЫ 98</w:t>
        </w:r>
      </w:hyperlink>
    </w:p>
    <w:p>
      <w:pPr>
        <w:pStyle w:val="7"/>
      </w:pPr>
      <w:r>
        <w:t xml:space="preserve">СВЕРКА ПАРАГРАФОВ</w:t>
      </w:r>
    </w:p>
    <w:p>
      <w:pPr>
        <w:pStyle w:val="BlockText"/>
      </w:pPr>
      <w:hyperlink r:id="rId20">
        <w:r>
          <w:rPr>
            <w:rStyle w:val="11"/>
          </w:rPr>
          <w:t xml:space="preserve">Таблица 1. Расписание оценок: PSR-L08-0623 (группы с одной дозой)</w:t>
        </w:r>
      </w:hyperlink>
      <w:r>
        <w:t xml:space="preserve"> </w:t>
      </w:r>
      <w:hyperlink r:id="rId20">
        <w:r>
          <w:rPr>
            <w:rStyle w:val="11"/>
          </w:rPr>
          <w:t xml:space="preserve">4</w:t>
        </w:r>
      </w:hyperlink>
      <w:r>
        <w:t xml:space="preserve">1</w:t>
      </w:r>
      <w:r>
        <w:t xml:space="preserve"> </w:t>
      </w:r>
      <w:hyperlink r:id="rId20">
        <w:r>
          <w:rPr>
            <w:rStyle w:val="11"/>
          </w:rPr>
          <w:t xml:space="preserve">Таблица 2. Расписание оценок: PSR-L08-0623 (группы с многократной дозой)</w:t>
        </w:r>
      </w:hyperlink>
      <w:r>
        <w:t xml:space="preserve"> </w:t>
      </w:r>
      <w:hyperlink r:id="rId20">
        <w:r>
          <w:rPr>
            <w:rStyle w:val="11"/>
          </w:rPr>
          <w:t xml:space="preserve">4</w:t>
        </w:r>
      </w:hyperlink>
      <w:r>
        <w:t xml:space="preserve">3</w:t>
      </w:r>
      <w:r>
        <w:t xml:space="preserve"> </w:t>
      </w:r>
      <w:hyperlink r:id="rId20">
        <w:r>
          <w:rPr>
            <w:rStyle w:val="11"/>
          </w:rPr>
          <w:t xml:space="preserve">Таблица 3. Список лабораторных анализов крови 6</w:t>
        </w:r>
      </w:hyperlink>
      <w:r>
        <w:t xml:space="preserve">4</w:t>
      </w:r>
      <w:r>
        <w:t xml:space="preserve"> </w:t>
      </w:r>
      <w:hyperlink r:id="rId20">
        <w:r>
          <w:rPr>
            <w:rStyle w:val="11"/>
          </w:rPr>
          <w:t xml:space="preserve">Таблица 4. Список лабораторных анализов мочи 64</w:t>
        </w:r>
      </w:hyperlink>
      <w:r>
        <w:t xml:space="preserve"> </w:t>
      </w:r>
      <w:hyperlink r:id="rId20">
        <w:r>
          <w:rPr>
            <w:rStyle w:val="11"/>
          </w:rPr>
          <w:t xml:space="preserve">Таблица 5. Расписание отбора проб для групп с одной дозой</w:t>
        </w:r>
      </w:hyperlink>
      <w:r>
        <w:t xml:space="preserve"> </w:t>
      </w:r>
      <w:hyperlink r:id="rId20">
        <w:r>
          <w:rPr>
            <w:rStyle w:val="11"/>
          </w:rPr>
          <w:t xml:space="preserve">65</w:t>
        </w:r>
      </w:hyperlink>
      <w:r>
        <w:t xml:space="preserve"> </w:t>
      </w:r>
      <w:hyperlink r:id="rId20">
        <w:r>
          <w:rPr>
            <w:rStyle w:val="11"/>
          </w:rPr>
          <w:t xml:space="preserve">Таблица 6. Расписание отбора проб для групп с многократной дозой</w:t>
        </w:r>
      </w:hyperlink>
      <w:r>
        <w:t xml:space="preserve"> </w:t>
      </w:r>
      <w:hyperlink r:id="rId20">
        <w:r>
          <w:rPr>
            <w:rStyle w:val="11"/>
          </w:rPr>
          <w:t xml:space="preserve">65</w:t>
        </w:r>
      </w:hyperlink>
      <w:r>
        <w:t xml:space="preserve"> </w:t>
      </w:r>
      <w:hyperlink r:id="rId20">
        <w:r>
          <w:rPr>
            <w:rStyle w:val="11"/>
          </w:rPr>
          <w:t xml:space="preserve">Таблица 7. Серьезность АЭ, основанная на CTCAE 70</w:t>
        </w:r>
      </w:hyperlink>
      <w:r>
        <w:t xml:space="preserve"> </w:t>
      </w:r>
      <w:hyperlink r:id="rId20">
        <w:r>
          <w:rPr>
            <w:rStyle w:val="11"/>
          </w:rPr>
          <w:t xml:space="preserve">Таблица 8. Оценка причинно-следственной связи 70</w:t>
        </w:r>
      </w:hyperlink>
      <w:r>
        <w:t xml:space="preserve"> </w:t>
      </w:r>
      <w:hyperlink r:id="rId20">
        <w:r>
          <w:rPr>
            <w:rStyle w:val="11"/>
          </w:rPr>
          <w:t xml:space="preserve">Таблица 9. Оценка безопасности АЭ (CTCAE v5.0 – 27 ноября 2017 г.), АЭ, связанная с исследуемым препаратом</w:t>
        </w:r>
      </w:hyperlink>
    </w:p>
    <w:p>
      <w:pPr>
        <w:pStyle w:val="FirstParagraph"/>
      </w:pPr>
      <w:hyperlink r:id="rId20">
        <w:r>
          <w:rPr>
            <w:rStyle w:val="11"/>
          </w:rPr>
          <w:t xml:space="preserve">. 94</w:t>
        </w:r>
      </w:hyperlink>
    </w:p>
    <w:p>
      <w:pPr>
        <w:pStyle w:val="7"/>
      </w:pPr>
      <w:r>
        <w:t xml:space="preserve">СВЕРКА ИЗОБРАЖЕНИЙ</w:t>
      </w:r>
    </w:p>
    <w:p>
      <w:pPr>
        <w:pStyle w:val="BlockText"/>
      </w:pPr>
      <w:hyperlink r:id="rId20">
        <w:r>
          <w:rPr>
            <w:rStyle w:val="11"/>
          </w:rPr>
          <w:t xml:space="preserve">Фигура 1. Схема проведения исследования: PSR-L08-0623 3</w:t>
        </w:r>
      </w:hyperlink>
      <w:r>
        <w:t xml:space="preserve">9</w:t>
      </w:r>
      <w:r>
        <w:t xml:space="preserve"> </w:t>
      </w:r>
      <w:hyperlink r:id="rId20">
        <w:r>
          <w:rPr>
            <w:rStyle w:val="11"/>
          </w:rPr>
          <w:t xml:space="preserve">Фигура 2. Предварительный вариант маркировки для исследования № PSR-L08-0623 5</w:t>
        </w:r>
      </w:hyperlink>
      <w:r>
        <w:t xml:space="preserve">7</w:t>
      </w:r>
    </w:p>
    <w:p>
      <w:pPr>
        <w:pStyle w:val="FirstParagraph"/>
      </w:pPr>
      <w:r>
        <w:t xml:space="preserve">АБРЕВВИАЦИИ</w:t>
      </w:r>
      <w:r>
        <w:t xml:space="preserve"> </w:t>
      </w:r>
      <w:r>
        <w:t xml:space="preserve">| &gt; AUC | &gt; Площадь под кривой концентрации плазмы во времени |</w:t>
      </w:r>
      <w:r>
        <w:t xml:space="preserve"> </w:t>
      </w:r>
      <w:r>
        <w:t xml:space="preserve">| &gt; AUC0-inf | &gt; AUC от нуля до бесконечности |</w:t>
      </w:r>
      <w:r>
        <w:t xml:space="preserve"> </w:t>
      </w:r>
      <w:r>
        <w:t xml:space="preserve">| &gt; AUC0-t | &gt; AUC от нуля до последней измеряемой концентрации |</w:t>
      </w:r>
      <w:r>
        <w:t xml:space="preserve"> </w:t>
      </w:r>
      <w:r>
        <w:t xml:space="preserve">| &gt; AUC0-τ | AUC в пределах интервала дозирования |</w:t>
      </w:r>
      <w:r>
        <w:t xml:space="preserve"> </w:t>
      </w:r>
      <w:r>
        <w:t xml:space="preserve">| &gt; Cmax | &gt; Максимальная концентрация плазмы |</w:t>
      </w:r>
      <w:r>
        <w:t xml:space="preserve"> </w:t>
      </w:r>
      <w:r>
        <w:t xml:space="preserve">| &gt; Cmax ss | &gt; Максимальная концентрация в состоянии равновесия |</w:t>
      </w:r>
      <w:r>
        <w:t xml:space="preserve"> </w:t>
      </w:r>
      <w:r>
        <w:t xml:space="preserve">| &gt; Cτ ss | &gt; Концентрация в конце интервала дозирования после последней дозы (24 часа) |</w:t>
      </w:r>
      <w:r>
        <w:t xml:space="preserve"> </w:t>
      </w:r>
      <w:r>
        <w:t xml:space="preserve">| &gt; Сav | &gt; Средняя концентрация плазмы в состоянии равновесия |</w:t>
      </w:r>
      <w:r>
        <w:t xml:space="preserve"> </w:t>
      </w:r>
      <w:r>
        <w:t xml:space="preserve">| &gt; Сtrough | &gt; Концентрация перед следующим запланированным утренним приемом при нескольких режимах дозирования |</w:t>
      </w:r>
      <w:r>
        <w:t xml:space="preserve"> </w:t>
      </w:r>
      <w:r>
        <w:t xml:space="preserve">| &gt; Fc | &gt; Накопительный фактор для текущего режима дозирования |</w:t>
      </w:r>
      <w:r>
        <w:t xml:space="preserve"> </w:t>
      </w:r>
      <w:r>
        <w:t xml:space="preserve">| &gt; ICH | &gt; Международная конференция по гармонизации |</w:t>
      </w:r>
      <w:r>
        <w:t xml:space="preserve"> </w:t>
      </w:r>
      <w:r>
        <w:t xml:space="preserve">| &gt; ICH GCP | &gt; Руководство по хорошей клинической практике Международной конференции по гармонизации |</w:t>
      </w:r>
      <w:r>
        <w:t xml:space="preserve"> </w:t>
      </w:r>
      <w:r>
        <w:t xml:space="preserve">| &gt; IL | &gt; Интерлейкин |</w:t>
      </w:r>
      <w:r>
        <w:t xml:space="preserve"> </w:t>
      </w:r>
      <w:r>
        <w:t xml:space="preserve">| &gt; IFNγ | &gt; Интерферон-гамма |</w:t>
      </w:r>
      <w:r>
        <w:t xml:space="preserve"> </w:t>
      </w:r>
      <w:r>
        <w:t xml:space="preserve">| &gt; MedDRA | &gt; Медицинский словарь для регуляторной деятельности |</w:t>
      </w:r>
      <w:r>
        <w:t xml:space="preserve"> </w:t>
      </w:r>
      <w:r>
        <w:t xml:space="preserve">| &gt; NCI-CTCAE | &gt; Национальный институт рака, Общие критерии для неблагоприятных явлений |</w:t>
      </w:r>
      <w:r>
        <w:t xml:space="preserve"> </w:t>
      </w:r>
      <w:r>
        <w:t xml:space="preserve">| &gt; PTF % | &gt; Колебание (%) между максимальной и минимальной концентрациями в состоянии равновесия |</w:t>
      </w:r>
      <w:r>
        <w:t xml:space="preserve"> </w:t>
      </w:r>
      <w:r>
        <w:t xml:space="preserve">| &gt; T1/2 ss | &gt; Полупериод жизни при нескольких режимах дозирования |</w:t>
      </w:r>
      <w:r>
        <w:t xml:space="preserve"> </w:t>
      </w:r>
      <w:r>
        <w:t xml:space="preserve">| &gt; T1/2 | &gt; Полупериод жизни |</w:t>
      </w:r>
      <w:r>
        <w:t xml:space="preserve"> </w:t>
      </w:r>
      <w:r>
        <w:t xml:space="preserve">| &gt; Terminal T1/2 | &gt; Конечный полупериод жизни |</w:t>
      </w:r>
      <w:r>
        <w:t xml:space="preserve"> </w:t>
      </w:r>
      <w:r>
        <w:t xml:space="preserve">| &gt; Tmax | &gt; Время достижения максимальной концентрации плазмы |</w:t>
      </w:r>
      <w:r>
        <w:t xml:space="preserve"> </w:t>
      </w:r>
      <w:r>
        <w:t xml:space="preserve">| &gt; Тmax ss | &gt; Время достижения максимальной концентрации плазмы в состоянии равновесия |</w:t>
      </w:r>
      <w:r>
        <w:t xml:space="preserve"> </w:t>
      </w:r>
      <w:r>
        <w:t xml:space="preserve">| &gt; TNF | &gt; Фактор некроза опухоли |</w:t>
      </w:r>
      <w:r>
        <w:t xml:space="preserve"> </w:t>
      </w:r>
      <w:r>
        <w:t xml:space="preserve">| &gt; Vz/F | &gt; Видимая объемность распределения, скорректированная на биодоступность |</w:t>
      </w:r>
      <w:r>
        <w:t xml:space="preserve"> </w:t>
      </w:r>
      <w:r>
        <w:t xml:space="preserve">| &gt; VZ/F/M | &gt; Видимая объемность распределения, нормализованная к весу волонтера и скорректированная на биодоступность |</w:t>
      </w:r>
      <w:r>
        <w:t xml:space="preserve"> </w:t>
      </w:r>
      <w:r>
        <w:t xml:space="preserve">| &gt; λΖ | &gt; Конечная скорость элиминирования |</w:t>
      </w:r>
      <w:r>
        <w:t xml:space="preserve"> </w:t>
      </w:r>
      <w:r>
        <w:t xml:space="preserve">| &gt; BP | &gt; Артериальное давление |</w:t>
      </w:r>
      <w:r>
        <w:t xml:space="preserve"> </w:t>
      </w:r>
      <w:r>
        <w:t xml:space="preserve">| &gt; ALT | &gt; Аланинаминотрансфераза |</w:t>
      </w:r>
      <w:r>
        <w:t xml:space="preserve"> </w:t>
      </w:r>
      <w:r>
        <w:t xml:space="preserve">| &gt; AST | &gt; Аспартатаминотрансфераза |</w:t>
      </w:r>
      <w:r>
        <w:t xml:space="preserve"> </w:t>
      </w:r>
      <w:r>
        <w:t xml:space="preserve">| &gt; WHO | &gt; Всемирная организация здравоохранения |</w:t>
      </w:r>
      <w:r>
        <w:t xml:space="preserve"> </w:t>
      </w:r>
      <w:r>
        <w:t xml:space="preserve">| &gt; HPLC MS/MS | &gt; Высокоэффективная жидкостная хроматография |</w:t>
      </w:r>
      <w:r>
        <w:t xml:space="preserve"> </w:t>
      </w:r>
      <w:r>
        <w:t xml:space="preserve">| &gt; DBP | &gt; Систолическое артериальное давление |</w:t>
      </w:r>
      <w:r>
        <w:t xml:space="preserve"> </w:t>
      </w:r>
      <w:r>
        <w:t xml:space="preserve">| &gt; NOAEL | &gt; Уровень, при котором не наблюдается неблагоприятных эффектов |</w:t>
      </w:r>
      <w:r>
        <w:t xml:space="preserve"> </w:t>
      </w:r>
      <w:r>
        <w:t xml:space="preserve">| &gt; ET | &gt; Преждевременное прекращение |</w:t>
      </w:r>
      <w:r>
        <w:t xml:space="preserve"> </w:t>
      </w:r>
      <w:r>
        <w:t xml:space="preserve">| &gt; EAEU | &gt; Евразийский экономический союз |</w:t>
      </w:r>
      <w:r>
        <w:t xml:space="preserve"> </w:t>
      </w:r>
      <w:r>
        <w:t xml:space="preserve">| &gt; BMI | &gt; Индекс массы тела |</w:t>
      </w:r>
      <w:r>
        <w:t xml:space="preserve"> </w:t>
      </w:r>
      <w:r>
        <w:t xml:space="preserve">| &gt; SD | &gt; Исследовательское лекарство |</w:t>
      </w:r>
      <w:r>
        <w:t xml:space="preserve"> </w:t>
      </w:r>
      <w:r>
        <w:t xml:space="preserve">| &gt; DSMB | &gt; Комитет по безопасности данных |</w:t>
      </w:r>
      <w:r>
        <w:t xml:space="preserve"> </w:t>
      </w:r>
      <w:r>
        <w:t xml:space="preserve">| &gt; CPK | &gt; Креатинфосфокиназа |</w:t>
      </w:r>
      <w:r>
        <w:t xml:space="preserve"> </w:t>
      </w:r>
      <w:r>
        <w:t xml:space="preserve">| &gt; MRSD | &gt; Максимальная рекомендуемая начальная доза |</w:t>
      </w:r>
      <w:r>
        <w:t xml:space="preserve"> </w:t>
      </w:r>
      <w:r>
        <w:t xml:space="preserve">| &gt; AR | &gt; Неблагоприятное воздействие |</w:t>
      </w:r>
      <w:r>
        <w:t xml:space="preserve"> </w:t>
      </w:r>
      <w:r>
        <w:t xml:space="preserve">| &gt; IEC | &gt; Независимый этический комитет (местный) |</w:t>
      </w:r>
      <w:r>
        <w:t xml:space="preserve"> </w:t>
      </w:r>
      <w:r>
        <w:t xml:space="preserve">| &gt; AE | &gt; Неблагоприятное событие |</w:t>
      </w:r>
      <w:r>
        <w:t xml:space="preserve"> </w:t>
      </w:r>
      <w:r>
        <w:t xml:space="preserve">| &gt; LLC | &gt; Ограниченная ответственность |</w:t>
      </w:r>
      <w:r>
        <w:t xml:space="preserve"> </w:t>
      </w:r>
      <w:r>
        <w:t xml:space="preserve">| &gt; SBP | &gt; Диастолическое артериальное давление |</w:t>
      </w:r>
      <w:r>
        <w:t xml:space="preserve"> </w:t>
      </w:r>
      <w:r>
        <w:t xml:space="preserve">| &gt; SAR | &gt; Серьезное неблагоприятное воздействие |</w:t>
      </w:r>
      <w:r>
        <w:t xml:space="preserve"> </w:t>
      </w:r>
      <w:r>
        <w:t xml:space="preserve">| &gt; SAE | &gt; Серьезное неблагоприятное событие |</w:t>
      </w:r>
      <w:r>
        <w:t xml:space="preserve"> </w:t>
      </w:r>
      <w:r>
        <w:t xml:space="preserve">| &gt; SOP | &gt; Стандартная операционная процедура |</w:t>
      </w:r>
      <w:r>
        <w:t xml:space="preserve"> </w:t>
      </w:r>
      <w:r>
        <w:t xml:space="preserve">| &gt; USA | &gt; Соединенные Штаты Америки |</w:t>
      </w:r>
      <w:r>
        <w:t xml:space="preserve"> </w:t>
      </w:r>
      <w:r>
        <w:t xml:space="preserve">| &gt; TD | &gt; Терапевтическая доза |</w:t>
      </w:r>
      <w:r>
        <w:t xml:space="preserve"> </w:t>
      </w:r>
      <w:r>
        <w:t xml:space="preserve">| &gt; UV | &gt; Ультрафиолетовое излучение |</w:t>
      </w:r>
      <w:r>
        <w:t xml:space="preserve"> </w:t>
      </w:r>
      <w:r>
        <w:t xml:space="preserve">| &gt; PD | &gt; Фармакодинамика |</w:t>
      </w:r>
      <w:r>
        <w:t xml:space="preserve"> </w:t>
      </w:r>
      <w:r>
        <w:t xml:space="preserve">| &gt; PK | &gt; Фармакокинетика |</w:t>
      </w:r>
      <w:r>
        <w:t xml:space="preserve"> </w:t>
      </w:r>
      <w:r>
        <w:t xml:space="preserve">| &gt; API | &gt; Активный фармацевтический ингредиент |</w:t>
      </w:r>
      <w:r>
        <w:t xml:space="preserve"> </w:t>
      </w:r>
      <w:r>
        <w:t xml:space="preserve">| &gt; RR | &gt; Частота сердечных сокращений |</w:t>
      </w:r>
      <w:r>
        <w:t xml:space="preserve"> </w:t>
      </w:r>
      <w:r>
        <w:t xml:space="preserve">| &gt; HR | &gt; Частота сердечных сокращений |</w:t>
      </w:r>
      <w:r>
        <w:t xml:space="preserve"> </w:t>
      </w:r>
      <w:r>
        <w:t xml:space="preserve">| &gt; HED | &gt; Человеческий эквивалентный доза |</w:t>
      </w:r>
      <w:r>
        <w:t xml:space="preserve"> </w:t>
      </w:r>
      <w:r>
        <w:t xml:space="preserve">| &gt; eCRF | &gt; Электронная форма отчета о клиническом исследовании |</w:t>
      </w:r>
      <w:r>
        <w:t xml:space="preserve"> </w:t>
      </w:r>
      <w:r>
        <w:t xml:space="preserve">| &gt; ECG | &gt; Электрокардиограмма/электрокардиография |</w:t>
      </w:r>
    </w:p>
    <w:p>
      <w:pPr>
        <w:numPr>
          <w:numId w:val="1009"/>
          <w:ilvl w:val="0"/>
        </w:numPr>
      </w:pPr>
      <w:r>
        <w:t xml:space="preserve">ВВЕДЕНИЕ</w:t>
      </w:r>
    </w:p>
    <w:p>
      <w:pPr>
        <w:pStyle w:val="Compact"/>
        <w:numPr>
          <w:numId w:val="1010"/>
          <w:ilvl w:val="1"/>
        </w:numPr>
      </w:pPr>
      <w:r>
        <w:t xml:space="preserve">Псориаз.</w:t>
      </w:r>
    </w:p>
    <w:p>
      <w:pPr>
        <w:pStyle w:val="BlockText"/>
      </w:pPr>
      <w:r>
        <w:t xml:space="preserve">Псориаз – это распространенная хроническая воспалительная кожная болезнь, которая может проявляться в различных клинических формах. Хронический псориаз, наиболее распространенный подтип псориаза, характеризуется хорошо очерченными эритематозными папулами с перекрывающимися грубыми чешуйками. Псориаз – относительно распространенное заболевание, встречающееся у детей и взрослых во всем мире, хотя его распространенность варьируется среди разных популяций. Систематический глобальный обзор показал, что распространенность псориаза составляет от 0,5 до 11,4% у взрослых и от 0 до 1,4% у детей. Наблюдается тенденция к увеличению распространенности этого заболевания с увеличением расстояния от экватора. Согласно официальной статистике в Российской Федерации, распространенность псориаза в 2021 году составляет 243,7 случаев на 100 000 населения; заболеваемость – 59,3 на 100 000 населения [1, 2].</w:t>
      </w:r>
      <w:r>
        <w:t xml:space="preserve"> </w:t>
      </w:r>
      <w:r>
        <w:t xml:space="preserve">Существует множество факторов риска для псориаза. Генетическая предрасположенность считается ключевым фактором, но также могут играть роль и факторы окружающей среды и поведения. Примерно у 40% людей с псориазом или псориатическим артритом есть семейная история этого заболевания [3].</w:t>
      </w:r>
      <w:r>
        <w:t xml:space="preserve"> </w:t>
      </w:r>
      <w:r>
        <w:t xml:space="preserve">Генетические исследования выявили несколько локальных зон восприимчивости к псориазу, которые часто включают гены, участвующие в регуляции иммунной системы. Локальная зона PSORS1 в комплексе основных антиген-связывающих белков (MHC) на хромосоме 6p21 является основным генетическим фактором, определяющим псориаз [4,5]. Аллель HLA-Cw6 значительно связан с ранним началом псориаза и каплевидным псориазом [6]. HLA-B17 может быть связан с предрасположенностью к псориазу и более тяжелому псориатическому артриту [7].</w:t>
      </w:r>
      <w:r>
        <w:t xml:space="preserve"> </w:t>
      </w:r>
      <w:r>
        <w:t xml:space="preserve">Гены, связанные с интерлейкином-23 (IL-23), также важны для развития псориаза. Например, были идентифицированы гены, кодирующие общий субъединицу рецепторов для IL-12 и IL-23, в качестве локальных зон восприимчивости к псориазу. Полиморфизмы этих рецепторов могут способствовать развитию или защите от псориаза. Гены IL12B и IL23A, связанные с IL-12 и IL-23, также тесно связаны с развитием псориаза [8,9,10]. Другие гены, участвующие в регуляции иммунной системы, включают TNIP1 и TNFAIP3, которые регулируют сигналы NFkB, а также гены, кодирующие IL-4 и IL-13, которые модулируют ответы Th2, также играют роль [8,11]. Выраженные мутации в гене CARD14, гене ЛСЭ, расположенном на хромосоме 1q21 и кодирующем белки, важные для дифференцировки эпителиальных клеток, а также делеции генов ЛСЭ3B и ЛСЭ3С связаны с повышенным риском псориаза [12,13].</w:t>
      </w:r>
      <w:r>
        <w:t xml:space="preserve"> </w:t>
      </w:r>
      <w:r>
        <w:t xml:space="preserve">Помимо генетики, различные медицинские состояния, привычки и факторы окружающей среды могут быть факторами риска или усугублять псориаз. Медицинские и поведенческие факторы риска включают курение, ожирение и употребление алкоголя. Некоторые лекарства, такие как бета-блокаторы, литий и противомалярийные препараты, могут усугублять псориаз. Роль витамина D в патогенезе псориаза еще не установлена; однако псориаз связан с низким уровнем витамина D. Стресс также часто упоминается как фактор, вызывающий или усугубляющий псориаз, но данные о его влиянии требуют дальнейшей оценки [13].</w:t>
      </w:r>
    </w:p>
    <w:p>
      <w:pPr>
        <w:pStyle w:val="FirstParagraph"/>
      </w:pPr>
      <w:r>
        <w:t xml:space="preserve">Лечение умеренного и тяжелого псориаза</w:t>
      </w:r>
    </w:p>
    <w:p>
      <w:pPr>
        <w:pStyle w:val="BlockText"/>
      </w:pPr>
      <w:r>
        <w:t xml:space="preserve">Умеренные до тяжелые формы псориаза обычно определяются как поражение более 5–10% площади тела, или поражение лица, ладоней или подошв, или болезнь, вызывающая инвалидность. У пациентов с поражением более 5% площади тела обычно рассматриваются варианты фототерапии или системной терапии, поскольку нанесение местных препаратов на большую площадь непрактично или неприемлемо для большинства пациентов. Однако местные препараты полезны в качестве вспомогательных средств для лечения резистентных, локализованных поражений у пациентов, получающих фототерапию или системные препараты для лечения обширных заболеваний. К местным препаратам относятся кортикостероиды, смягчающие средства, местные аналоги витамина D, кальципотриол и кальцитриол (обладают гипопролиферативным эффектом на кератоциты), сажа, тазарротен (местный ретиноид), ингибиторы кальцинезу, тапинароф (местный агонист рецептора арильного гидрокарбона), антралин и рофлумиласт [14].</w:t>
      </w:r>
      <w:r>
        <w:t xml:space="preserve"> </w:t>
      </w:r>
      <w:r>
        <w:t xml:space="preserve">Ультрафиолетовое (УФ) облучение также используется для контроля кожных поражений при псориазе.</w:t>
      </w:r>
      <w:r>
        <w:t xml:space="preserve"> </w:t>
      </w:r>
      <w:r>
        <w:t xml:space="preserve">УФ-облучение является эффективным способом лечения псориаза, поскольку оно уменьшает воспаление и ускоряет процесс заживления кожи.</w:t>
      </w:r>
      <w:r>
        <w:t xml:space="preserve"> </w:t>
      </w:r>
      <w:r>
        <w:t xml:space="preserve">УФ-облучение, как правило, имеет меньше побочных эффектов, чем другие методы лечения.</w:t>
      </w:r>
      <w:r>
        <w:t xml:space="preserve"> </w:t>
      </w:r>
      <w:r>
        <w:t xml:space="preserve">УФ-облучение также может помочь уменьшить зуд и воспаление, которые часто сопровождают псориаз.</w:t>
      </w:r>
      <w:r>
        <w:t xml:space="preserve"> </w:t>
      </w:r>
      <w:r>
        <w:t xml:space="preserve">УФ-облучение также может помочь улучшить внешний вид кожи.</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УФ-облучение может быть использовано для лечения псориаза в сочетании с другими методами лечения, такими как местные препараты и фототерапия.</w:t>
      </w:r>
      <w:r>
        <w:t xml:space="preserve"> </w:t>
      </w:r>
      <w:r>
        <w:t xml:space="preserve">УФ</w:t>
      </w:r>
    </w:p>
    <w:p>
      <w:pPr>
        <w:pStyle w:val="FirstParagraph"/>
      </w:pPr>
      <w:r>
        <w:t xml:space="preserve">Разработка лекарственного средства L08-0623</w:t>
      </w:r>
    </w:p>
    <w:p>
      <w:pPr>
        <w:pStyle w:val="7"/>
      </w:pPr>
      <w:r>
        <w:t xml:space="preserve">В связи с недостаточной эффективностью существующих методов лечения, побочными эффектами и нестабильным эффектом, потребность в разработке новых типов терапии и режимов для пациентов с умеренными и тяжелыми формами псориаза остается актуальной [38]. Биологические препараты эффективны, но имеют ограничения: профиль побочных эффектов, иммуногенность, противопоказания и отсутствие или снижение эффективности у некоторых пациентов. Также, другие пероральные ингибиторы Janus kinase имеют ряд характерных побочных эффектов: нейтропения, анемия, чрезмерное подавление иммунитета, повышенные уровни ферментов печени и креатинина в сыворотке, дислипидемия). В настоящее время, единственный пероральный селективный ингибитор TYK2, деукравацитин (Sotyktu), не одобрен для использования в России.</w:t>
      </w:r>
    </w:p>
    <w:p>
      <w:pPr>
        <w:pStyle w:val="BlockText"/>
      </w:pPr>
      <w:r>
        <w:t xml:space="preserve">L08-0623 представляет собой новый селективный аллостерический ингибитор TYK2 (разработан компанией BetaRex LLC, Россия), предназначенный для лечения различных аутоиммунных заболеваний. Селективное воздействие на TYK2 может помочь избежать степени подавления иммунитета, наблюдаемой при других ингибиторах JAK. L08-0623 был создан путем разработки структуры с ингибирующей активностью в отношении TYK2, которая селективна по отношению к другим киназам JAK, путем связывания с доменной областью JH2 псевдокиназы TYK2. L08-0623 обладает высокой активностью в отношении сигнализации, зависящей от TYK2 (IL-12, IL-23 и IFN-γ), и низкой активностью в отношении сигнализации, опосредованной JAK1-3 (IL-6, IL-2 и эритропоэтин). Таким образом, он может помочь избежать побочных эффектов, связанных с другими типами ингибиторов JAK.</w:t>
      </w:r>
      <w:r>
        <w:t xml:space="preserve"> </w:t>
      </w:r>
      <w:r>
        <w:t xml:space="preserve">Преклинические данные показывают, что L08-0623 может замедлить прогрессирование псориаза, обеспечить значительную клиническую пользу и иметь более благоприятный профиль безопасности по сравнению с существующими режимами лечения [</w:t>
      </w:r>
      <w:hyperlink r:id="rId20">
        <w:r>
          <w:rPr>
            <w:rStyle w:val="11"/>
          </w:rPr>
          <w:t xml:space="preserve">30</w:t>
        </w:r>
      </w:hyperlink>
      <w:r>
        <w:t xml:space="preserve">].</w:t>
      </w:r>
    </w:p>
    <w:p>
      <w:pPr>
        <w:pStyle w:val="FirstParagraph"/>
      </w:pPr>
      <w:r>
        <w:t xml:space="preserve">План клинического развития L08-0623</w:t>
      </w:r>
    </w:p>
    <w:p>
      <w:pPr>
        <w:pStyle w:val="BlockText"/>
      </w:pPr>
      <w:r>
        <w:t xml:space="preserve">План клинического развития предусматривает одно исследование безопасности, фармакокинетики и фармакодинамики L08-0623 при различных дозах в состоянии голодания и при питании (Фаза I).</w:t>
      </w:r>
      <w:r>
        <w:t xml:space="preserve"> </w:t>
      </w:r>
      <w:r>
        <w:t xml:space="preserve">Будут привлечены до 84 мужчин и женщин в возрасте от 18 до 45 лет, из которых 64 будут включены в исследование и получать SD в дозе, определенной для соответствующей группы.</w:t>
      </w:r>
      <w:r>
        <w:t xml:space="preserve"> </w:t>
      </w:r>
      <w:r>
        <w:t xml:space="preserve">После завершения исследования результаты будут представлены Министерству здравоохранения России для подтверждения безопасности и переносимости лекарственного средства L08-0623. Это приведет к проведению Фазы II исследования для определения эффективных доз и оценки его фармакодинамики и безопасности у пациентов. В случае одобрения, будет проведено исследование Фазы III для подтверждения эффективности и безопасности, а также для получения разрешения на маркетинг лекарственного средства L08-0623 на территории Российской Федерации (для указанных показаний).</w:t>
      </w:r>
      <w:r>
        <w:t xml:space="preserve"> </w:t>
      </w:r>
      <w:r>
        <w:t xml:space="preserve">Эффективность и безопасность препарата у людей будут оценены в ходе клинических исследований для следующих показаний:</w:t>
      </w:r>
    </w:p>
    <w:p>
      <w:pPr>
        <w:numPr>
          <w:numId w:val="1011"/>
          <w:ilvl w:val="0"/>
        </w:numPr>
      </w:pPr>
      <w:r>
        <w:t xml:space="preserve">умеренный и тяжелый псориаз,</w:t>
      </w:r>
    </w:p>
    <w:p>
      <w:pPr>
        <w:numPr>
          <w:numId w:val="1011"/>
          <w:ilvl w:val="0"/>
        </w:numPr>
      </w:pPr>
      <w:r>
        <w:t xml:space="preserve">псориатический артрит,</w:t>
      </w:r>
    </w:p>
    <w:p>
      <w:pPr>
        <w:numPr>
          <w:numId w:val="1011"/>
          <w:ilvl w:val="0"/>
        </w:numPr>
      </w:pPr>
      <w:r>
        <w:t xml:space="preserve">ревматоидный артрит,</w:t>
      </w:r>
    </w:p>
    <w:p>
      <w:pPr>
        <w:numPr>
          <w:numId w:val="1011"/>
          <w:ilvl w:val="0"/>
        </w:numPr>
      </w:pPr>
      <w:r>
        <w:t xml:space="preserve">системный, дискоидный и субакутний системный склероз,</w:t>
      </w:r>
    </w:p>
    <w:p>
      <w:pPr>
        <w:numPr>
          <w:numId w:val="1011"/>
          <w:ilvl w:val="0"/>
        </w:numPr>
      </w:pPr>
      <w:r>
        <w:t xml:space="preserve">неспецифический язвенный колит,</w:t>
      </w:r>
    </w:p>
    <w:p>
      <w:pPr>
        <w:numPr>
          <w:numId w:val="1011"/>
          <w:ilvl w:val="0"/>
        </w:numPr>
      </w:pPr>
      <w:r>
        <w:t xml:space="preserve">болезнь Крона</w:t>
      </w:r>
    </w:p>
    <w:p>
      <w:pPr>
        <w:pStyle w:val="BlockText"/>
      </w:pPr>
      <w:r>
        <w:t xml:space="preserve">В зависимости от полученных результатов, план исследования может быть скорректирован, пересмотрен или изменен.</w:t>
      </w:r>
    </w:p>
    <w:p>
      <w:pPr>
        <w:numPr>
          <w:numId w:val="1012"/>
          <w:ilvl w:val="0"/>
        </w:numPr>
      </w:pPr>
      <w:r>
        <w:t xml:space="preserve">ЦЕЛИ ИССЛЕДОВАНИЯ</w:t>
      </w:r>
    </w:p>
    <w:p>
      <w:pPr>
        <w:pStyle w:val="Compact"/>
        <w:numPr>
          <w:numId w:val="1013"/>
          <w:ilvl w:val="1"/>
        </w:numPr>
      </w:pPr>
      <w:r>
        <w:t xml:space="preserve">Первичная цель</w:t>
      </w:r>
    </w:p>
    <w:p>
      <w:pPr>
        <w:pStyle w:val="BlockText"/>
      </w:pPr>
      <w:r>
        <w:rPr>
          <w:b/>
        </w:rPr>
        <w:t xml:space="preserve">Первичной целью данного исследования является оценка профиля безопасности и переносимости L08-0623 после однократного и многократного применения у здоровых добровольцев.</w:t>
      </w:r>
    </w:p>
    <w:p>
      <w:pPr>
        <w:pStyle w:val="FirstParagraph"/>
      </w:pPr>
      <w:r>
        <w:t xml:space="preserve">Вторичные цели</w:t>
      </w:r>
    </w:p>
    <w:p>
      <w:pPr>
        <w:pStyle w:val="BlockText"/>
      </w:pPr>
      <w:r>
        <w:rPr>
          <w:b/>
        </w:rPr>
        <w:t xml:space="preserve">Вторичной целью данного исследования является оценка фармакокинетических и фармакодинамических параметров L08-0623 после однократного и многократного применения у здоровых добровольцев.</w:t>
      </w:r>
    </w:p>
    <w:p>
      <w:pPr>
        <w:pStyle w:val="FirstParagraph"/>
      </w:pPr>
      <w:r>
        <w:t xml:space="preserve">Цели исследования</w:t>
      </w:r>
    </w:p>
    <w:p>
      <w:pPr>
        <w:pStyle w:val="BlockText"/>
      </w:pPr>
      <w:r>
        <w:t xml:space="preserve">Для оценки безопасности, переносимости, фармакокинетики и фармакодинамики L08-0623 были разработаны следующие цели:</w:t>
      </w:r>
    </w:p>
    <w:p>
      <w:pPr>
        <w:numPr>
          <w:numId w:val="1014"/>
          <w:ilvl w:val="0"/>
        </w:numPr>
      </w:pPr>
      <w:r>
        <w:t xml:space="preserve">Для оценки частоты неблагоприятных событий (НС) и серьезных неблагоприятных событий (СС) и НС/СС, связанных со исследуемым лекарственным средством (ИС), после однократного и многократного перорального приема L08-0623 при различных дозах.</w:t>
      </w:r>
    </w:p>
    <w:p>
      <w:pPr>
        <w:numPr>
          <w:numId w:val="1014"/>
          <w:ilvl w:val="0"/>
        </w:numPr>
      </w:pPr>
      <w:r>
        <w:t xml:space="preserve">Для оценки фармакокинетических параметров L08-0623 после однократного (включая оценку влияния пищи) и многократного перорального приема при различных дозах.</w:t>
      </w:r>
    </w:p>
    <w:p>
      <w:pPr>
        <w:numPr>
          <w:numId w:val="1014"/>
          <w:ilvl w:val="0"/>
        </w:numPr>
      </w:pPr>
      <w:r>
        <w:t xml:space="preserve">Для оценки фармакодинамических параметров однократного и многократного перорального приема L08-0623 при различных дозах.</w:t>
      </w:r>
    </w:p>
    <w:p>
      <w:pPr>
        <w:numPr>
          <w:numId w:val="1015"/>
          <w:ilvl w:val="0"/>
        </w:numPr>
      </w:pPr>
      <w:r>
        <w:t xml:space="preserve">ПЛАН ИССЛЕДОВАНИЯ</w:t>
      </w:r>
    </w:p>
    <w:p>
      <w:pPr>
        <w:pStyle w:val="Compact"/>
        <w:numPr>
          <w:numId w:val="1016"/>
          <w:ilvl w:val="1"/>
        </w:numPr>
      </w:pPr>
      <w:r>
        <w:t xml:space="preserve">Дизайн и план исследования</w:t>
      </w:r>
    </w:p>
    <w:p>
      <w:pPr>
        <w:pStyle w:val="BlockText"/>
      </w:pPr>
      <w:r>
        <w:t xml:space="preserve">Это двойное слепое, рандомизированное, плацебо-контролируемое, пероральное исследование однократного (включая оценку влияния пищи) и многократного дозирования ИС L08-0623 в здоровых добровольцах.</w:t>
      </w:r>
      <w:r>
        <w:t xml:space="preserve"> </w:t>
      </w:r>
      <w:r>
        <w:t xml:space="preserve">Исследование будет проводиться в одном российском месте (в соответствии с утвержденным списком мест).</w:t>
      </w:r>
    </w:p>
    <w:p>
      <w:pPr>
        <w:pStyle w:val="FirstParagraph"/>
      </w:pPr>
      <w:r>
        <w:t xml:space="preserve">Дизайн исследования</w:t>
      </w:r>
    </w:p>
    <w:p>
      <w:pPr>
        <w:pStyle w:val="BlockText"/>
      </w:pPr>
      <w:r>
        <w:t xml:space="preserve">Это двойное слепое, рандомизированное, плацебо-контролируемое, пероральное исследование однократного и многократного дозирования ИС L08-0623 в здоровых добровольцах.</w:t>
      </w:r>
      <w:r>
        <w:t xml:space="preserve"> </w:t>
      </w:r>
      <w:r>
        <w:t xml:space="preserve">Целью исследования является включение 8 групп по 8 добровольцев, которые получат однократную или многократную дозу ИС L08-0623 или плацебо (L08-0623 или плацебо, соотношение для добровольцев в основной контрольной группе составляет 1:1, для остальных добровольцев в группе — 5:1). Добровольцы будут включены в каждую последующую группу после рассмотрения всех данных о безопасности и получения одобрения от DSMB.</w:t>
      </w:r>
      <w:r>
        <w:t xml:space="preserve"> </w:t>
      </w:r>
      <w:r>
        <w:rPr>
          <w:u w:val="single"/>
        </w:rPr>
        <w:t xml:space="preserve">Однократная доза:</w:t>
      </w:r>
    </w:p>
    <w:p>
      <w:pPr>
        <w:numPr>
          <w:numId w:val="1017"/>
          <w:ilvl w:val="0"/>
        </w:numPr>
      </w:pPr>
      <w:r>
        <w:t xml:space="preserve">Группа 1 (N=8). Однократная доза (10 мг), натощак</w:t>
      </w:r>
    </w:p>
    <w:p>
      <w:pPr>
        <w:numPr>
          <w:numId w:val="1017"/>
          <w:ilvl w:val="0"/>
        </w:numPr>
      </w:pPr>
      <w:r>
        <w:t xml:space="preserve">Группа 2 (N=8). Однократная доза (20 мг), натощак</w:t>
      </w:r>
    </w:p>
    <w:p>
      <w:pPr>
        <w:numPr>
          <w:numId w:val="1017"/>
          <w:ilvl w:val="0"/>
        </w:numPr>
      </w:pPr>
      <w:r>
        <w:t xml:space="preserve">Группа 3 (N=8). Однократная доза (50 мг), натощак.</w:t>
      </w:r>
    </w:p>
    <w:p>
      <w:pPr>
        <w:numPr>
          <w:numId w:val="1017"/>
          <w:ilvl w:val="0"/>
        </w:numPr>
      </w:pPr>
      <w:r>
        <w:t xml:space="preserve">Группа 4 (N=8). Однократная доза (100 мг), натощак.</w:t>
      </w:r>
    </w:p>
    <w:p>
      <w:pPr>
        <w:numPr>
          <w:numId w:val="1000"/>
          <w:ilvl w:val="0"/>
        </w:numPr>
      </w:pPr>
      <w:r>
        <w:rPr>
          <w:u w:val="single"/>
        </w:rPr>
        <w:t xml:space="preserve">Многократное дозирование:</w:t>
      </w:r>
    </w:p>
    <w:p>
      <w:pPr>
        <w:numPr>
          <w:numId w:val="1017"/>
          <w:ilvl w:val="0"/>
        </w:numPr>
      </w:pPr>
      <w:r>
        <w:t xml:space="preserve">Группа 5 (N=8). 50 мг, один раз в день в течение 7 дней, натощак.</w:t>
      </w:r>
    </w:p>
    <w:p>
      <w:pPr>
        <w:numPr>
          <w:numId w:val="1017"/>
          <w:ilvl w:val="0"/>
        </w:numPr>
      </w:pPr>
      <w:r>
        <w:t xml:space="preserve">Группа 6 (N=8). 100 мг, один раз в день в течение 7 дней, натощак.</w:t>
      </w:r>
    </w:p>
    <w:p>
      <w:pPr>
        <w:numPr>
          <w:numId w:val="1000"/>
          <w:ilvl w:val="0"/>
        </w:numPr>
      </w:pPr>
      <w:r>
        <w:rPr>
          <w:u w:val="single"/>
        </w:rPr>
        <w:t xml:space="preserve">Однократная доза, при употреблении пищи:</w:t>
      </w:r>
    </w:p>
    <w:p>
      <w:pPr>
        <w:numPr>
          <w:numId w:val="1017"/>
          <w:ilvl w:val="0"/>
        </w:numPr>
      </w:pPr>
      <w:r>
        <w:t xml:space="preserve">Группа 7 (N=8). Однократная доза (Х мг), при употреблении пищи (доза была определена DSMB после рассмотрения данных о безопасности и фармакокинетике (ФК) в других группах).</w:t>
      </w:r>
    </w:p>
    <w:p>
      <w:pPr>
        <w:numPr>
          <w:numId w:val="1017"/>
          <w:ilvl w:val="0"/>
        </w:numPr>
      </w:pPr>
      <w:r>
        <w:t xml:space="preserve">Группа 8 (N=8). Однократная доза (Х мг), при употреблении пищи (доза была определена DSMB после рассмотрения данных о безопасности и фармакокинетике (ФК) в других группах).</w:t>
      </w:r>
    </w:p>
    <w:p>
      <w:pPr>
        <w:pStyle w:val="BlockText"/>
      </w:pPr>
      <w:r>
        <w:t xml:space="preserve">В каждой группе будут определены два волонтера, являющихся основной контрольной группой (наблюдатели), и они получат препарат раньше, чем остальные волонтеры в группе. Волонтеры будут рандомизированы в соотношении 1:1 (один волонтер получит препарат L08-0623, а другой — плацебо). Волонтеры, являющиеся основной контрольной группой, будут находиться под наблюдением в месте проведения исследования не менее 48 часов после получения первой дозы препарата для отслеживания показателей безопасности. Критерием приемлемости и безопасности дозы будет отсутствие серьезных нежелательных явлений (СНЯ), связанных с препаратом, или нежелательных явлений (НЯ), связанных с препаратом, которые привели к преждевременному выходу волонтера из исследования. Если оценка безопасности и приемлемости препарата для этих волонтеров будет положительной, то руководитель исследования примет решение о начале дозирования для оставшихся 6 волонтеров в группе. Волонтеры в других группах будут дозироваться аналогично.</w:t>
      </w:r>
      <w:r>
        <w:t xml:space="preserve"> </w:t>
      </w:r>
      <w:r>
        <w:t xml:space="preserve">На основании всех данных о безопасности и приемлемости препарата, полученных до посещения в День 14 у всех волонтеров из Группы 1 (10 мг, одна доза, натощак), DSMB рассмотрит возможность увеличения дозы для дальнейшей оценки и включения Группы 2 (20 мг, одна доза, натощак). Критерием приемлемости и безопасности дозы будет в первую очередь отсутствие СНЯ или НЯ, связанных с препаратом, которые привели к преждевременному выходу волонтера из исследования. Руководитель исследования представит результаты оценки безопасности в День 7 после дозирования первой группы на встрече DSMB. Решение о продолжении исследования в соответствии с критериями оценки безопасности, переходе к следующему этапу и включении второй группы для оценки препарата в дозе 20 мг при условии соблюдения диеты будет принято исследователем совместно с членами DSMB. В случае одобрения, исследование продолжится.</w:t>
      </w:r>
      <w:r>
        <w:t xml:space="preserve"> </w:t>
      </w:r>
      <w:r>
        <w:t xml:space="preserve">Аналогичная процедура предусмотрена для перехода к последующим группам. Пациенты в Группах 5 и 6 (группы с многократным дозированием) могут быть включены одновременно после рассмотрения данных о безопасности для волонтеров Групп 3 и 4 соответственно. Результаты оценки безопасности для каждой группы будут предоставлены спонсору исследования и этическому комитету.</w:t>
      </w:r>
      <w:r>
        <w:t xml:space="preserve"> </w:t>
      </w:r>
      <w:r>
        <w:t xml:space="preserve">В случае неблагоприятного профиля безопасности, дозу препарата может быть скорректирована в последующих группах в соответствии с изменением протокола. Дозу в последующих группах также может быть изменена на основе оценки показателей фармакокинетики, которые также будут рассмотрены DSMB, если соответствующие данные будут доступны.</w:t>
      </w:r>
      <w:r>
        <w:t xml:space="preserve"> </w:t>
      </w:r>
      <w:r>
        <w:t xml:space="preserve">Критерии приемлемости для дозирования будут оценены и подтверждены DSMB на основании всех полученных данных о толерантности препарата для каждого волонтера. Каждый случай преждевременного выхода волонтера из исследования из-за непереносимости препарата (если таковой имеется) будет рассматриваться в рамках совокупных данных для каждого волонтера из дозирующей группы.</w:t>
      </w:r>
      <w:r>
        <w:t xml:space="preserve"> </w:t>
      </w:r>
      <w:r>
        <w:t xml:space="preserve">Для групп с одной дозой, исследование будет включать 3 периода: период скрининга, период однократного дозирования и период наблюдения в стационаре на месте проведения исследования, а также период наблюдения вне стационара.</w:t>
      </w:r>
      <w:r>
        <w:t xml:space="preserve"> </w:t>
      </w:r>
      <w:r>
        <w:t xml:space="preserve">Для групп с многократным дозированием, исследование будет включать 3 периода: период скрининга, период многократного дозирования и период наблюдения в стационаре на месте проведения исследования, а также период наблюдения вне стационара.</w:t>
      </w:r>
    </w:p>
    <w:p>
      <w:pPr>
        <w:pStyle w:val="FirstParagraph"/>
      </w:pPr>
      <w:r>
        <w:t xml:space="preserve">Расписание приема пищи</w:t>
      </w:r>
    </w:p>
    <w:p>
      <w:pPr>
        <w:pStyle w:val="BlockText"/>
      </w:pPr>
      <w:r>
        <w:rPr>
          <w:i/>
        </w:rPr>
        <w:t xml:space="preserve">Расписание приема пищи</w:t>
      </w:r>
    </w:p>
    <w:p>
      <w:pPr>
        <w:pStyle w:val="FirstParagraph"/>
      </w:pPr>
      <w:r>
        <w:t xml:space="preserve">Волонтеры, принимающие препарат натощак (после не менее 8 часов голодания), будут принимать стандартный завтрак не ранее, чем через 4 часа после приема препарата.</w:t>
      </w:r>
    </w:p>
    <w:p>
      <w:pPr>
        <w:pStyle w:val="7"/>
      </w:pPr>
      <w:r>
        <w:t xml:space="preserve">Волонтеры, принимающие препарат после еды, будут принимать стандартный завтрак с высокой калорийностью за 30 минут до приема препарата и заканчивать прием пищи не позднее, чем за 10 минут до приема препарата.</w:t>
      </w:r>
    </w:p>
    <w:p>
      <w:pPr>
        <w:pStyle w:val="7"/>
      </w:pPr>
      <w:r>
        <w:t xml:space="preserve">Волонтеры должны употреблять стандартный прием пищи не ранее, чем через 6 часов после приема лекарства (обед - не ранее, чем через 10 часов). После приема лекарства волонтеры должны придерживаться регулярного режима питания, за исключением 8-часового периода голодания перед забор крови для анализа общего анализа крови и биохимических тестов.</w:t>
      </w:r>
    </w:p>
    <w:p>
      <w:pPr>
        <w:pStyle w:val="BlockText"/>
      </w:pPr>
      <w:r>
        <w:rPr>
          <w:i/>
        </w:rPr>
        <w:t xml:space="preserve">Стандартный прием пищи с высоким содержанием калорий</w:t>
      </w:r>
    </w:p>
    <w:p>
      <w:pPr>
        <w:pStyle w:val="FirstParagraph"/>
      </w:pPr>
      <w:r>
        <w:t xml:space="preserve">Общая энергетическая ценность стандартного приема пищи с высоким содержанием жиров составляет 900-1000 ккал (энергетическая ценность белков, углеводов и жиров составляет 150 ккал, 250 ккал и 500-600 ккал соответственно).</w:t>
      </w:r>
    </w:p>
    <w:p>
      <w:pPr>
        <w:pStyle w:val="BlockText"/>
      </w:pPr>
      <w:r>
        <w:rPr>
          <w:i/>
        </w:rPr>
        <w:t xml:space="preserve">Режим питья</w:t>
      </w:r>
    </w:p>
    <w:p>
      <w:pPr>
        <w:pStyle w:val="FirstParagraph"/>
      </w:pPr>
      <w:r>
        <w:t xml:space="preserve">Утром, не позднее, чем за 1 час до приема лекарства, волонтер должен выпить 200 мл кипяченой воды комнатной температуры или бутилированной воды. После приема лекарства употребление жидкости запрещено в течение 1 часа до и 2 часа после (за исключением жидкостей, указанных в разделе «Прием лекарства»). Волонтеры должны придерживаться регулярного режима питья.</w:t>
      </w:r>
    </w:p>
    <w:p>
      <w:pPr>
        <w:pStyle w:val="7"/>
      </w:pPr>
      <w:r>
        <w:t xml:space="preserve">В День 0 (первая доза) волонтеры в группах 1, 2, 3 и 4, а также в День 7 (последняя доза) волонтеры в многодозовых группах (группы 5 и 6) должны ограничить потребление жидкости на 1 час до и 1 час после дозирования. В остальные дни волонтеры могут пить воду без ограничений. В дни 0 и 6, когда собирается кровь для оценки PK, волонтеры также должны воздержаться от еды в течение 4 часов после дозирования. В остальные дни дозирования (в многодозовых группах) волонтеры могут есть сразу после дозирования.</w:t>
      </w:r>
    </w:p>
    <w:p>
      <w:pPr>
        <w:numPr>
          <w:numId w:val="1018"/>
          <w:ilvl w:val="0"/>
        </w:numPr>
      </w:pPr>
      <w:r>
        <w:t xml:space="preserve">Группы с однократным дозированием</w:t>
      </w:r>
    </w:p>
    <w:p>
      <w:pPr>
        <w:pStyle w:val="Compact"/>
        <w:numPr>
          <w:numId w:val="1019"/>
          <w:ilvl w:val="1"/>
        </w:numPr>
      </w:pPr>
      <w:r>
        <w:rPr>
          <w:b/>
        </w:rPr>
        <w:t xml:space="preserve">Период скрининга</w:t>
      </w:r>
    </w:p>
    <w:p>
      <w:pPr>
        <w:pStyle w:val="FirstParagraph"/>
      </w:pPr>
      <w:r>
        <w:t xml:space="preserve">Во время визита в День -14 будут проведены процедуры скрининга для оценки критериев включения/исключения.</w:t>
      </w:r>
    </w:p>
    <w:p>
      <w:pPr>
        <w:pStyle w:val="7"/>
      </w:pPr>
      <w:r>
        <w:t xml:space="preserve">После подписания Информационной листовки и Формы согласия волонтеры пройдут процедуры скрининга, включая демографическую информацию и медицинскую историю, назначение уникального идентификатора, физический осмотр (рост, вес, ИМТ), жизненные показатели, ЭКГ, биоматериал для биохимических, серологических и общего анализа крови, мочу, проверку на алкоголь, наркотики и другие вещества, проверку на котинин и оценку побочных эффектов и сопутствующих лекарств. Женщины детородного возраста пройдут тест на беременность.</w:t>
      </w:r>
    </w:p>
    <w:p>
      <w:pPr>
        <w:pStyle w:val="BlockText"/>
      </w:pPr>
      <w:r>
        <w:t xml:space="preserve">Волонтеров пригласят на место проведения исследования для госпитализации накануне Дня -1 после окончательной оценки всех критериев включения/исключения. Во время этой визиты будут проведены физический осмотр, оценка жизненных показателей, тестирование на наличие алкоголя и наркотиков, проверка на котинин, оценка критериев включения/исключения и оценка побочных эффектов и сопутствующих лекарств. Женщины детородного возраста пройдут тест на беременность.</w:t>
      </w:r>
    </w:p>
    <w:p>
      <w:pPr>
        <w:pStyle w:val="FirstParagraph"/>
      </w:pPr>
      <w:r>
        <w:t xml:space="preserve">Терапия исследования</w:t>
      </w:r>
    </w:p>
    <w:p>
      <w:pPr>
        <w:pStyle w:val="BlockText"/>
      </w:pPr>
      <w:r>
        <w:t xml:space="preserve">В День 0, после окончательной подтверждения всех критериев включения/исключения, оценки побочных эффектов и сопутствующей терапии, а также перед приемом SD, волонтеров будут рандомизированы. Волонтерам будет предоставлена карточка волонтера. Перед приемом SD волонтеры также пройдут базовую оценку, включая жизненные показатели, ЭКГ, общий анализ крови, биохимию, анализ мочи и биопсию для анализа PK и базовых фармакодинамических параметров.</w:t>
      </w:r>
      <w:r>
        <w:t xml:space="preserve"> </w:t>
      </w:r>
      <w:r>
        <w:t xml:space="preserve">Волонтеры должны принять SD (L08-0623 или плацебо, в соотношении 1:1 для волонтеров в основной контрольной группе и в соотношении 5:1 для волонтеров в остальных группах) в дозировке, соответствующей дозировке для группы:</w:t>
      </w:r>
    </w:p>
    <w:p>
      <w:pPr>
        <w:numPr>
          <w:numId w:val="1020"/>
          <w:ilvl w:val="0"/>
        </w:numPr>
      </w:pPr>
      <w:r>
        <w:t xml:space="preserve">Группа 1 (N=8). Однократная доза (10 мг), натощак.</w:t>
      </w:r>
    </w:p>
    <w:p>
      <w:pPr>
        <w:numPr>
          <w:numId w:val="1020"/>
          <w:ilvl w:val="0"/>
        </w:numPr>
      </w:pPr>
      <w:r>
        <w:t xml:space="preserve">Группа 2 (N=8). Однократная доза (20 мг), натощак.</w:t>
      </w:r>
    </w:p>
    <w:p>
      <w:pPr>
        <w:numPr>
          <w:numId w:val="1020"/>
          <w:ilvl w:val="0"/>
        </w:numPr>
      </w:pPr>
      <w:r>
        <w:t xml:space="preserve">Группа 3 (N=8). Однократная доза (50 мг), натощак.</w:t>
      </w:r>
    </w:p>
    <w:p>
      <w:pPr>
        <w:numPr>
          <w:numId w:val="1020"/>
          <w:ilvl w:val="0"/>
        </w:numPr>
      </w:pPr>
      <w:r>
        <w:t xml:space="preserve">Группа 4 (N=8). Однократная доза (100 мг), натощак.</w:t>
      </w:r>
    </w:p>
    <w:p>
      <w:pPr>
        <w:numPr>
          <w:numId w:val="1020"/>
          <w:ilvl w:val="0"/>
        </w:numPr>
      </w:pPr>
      <w:r>
        <w:t xml:space="preserve">Группа 5 (N=8). Доза 50 мг, натощак, один раз в день в течение 7 дней.</w:t>
      </w:r>
    </w:p>
    <w:p>
      <w:pPr>
        <w:numPr>
          <w:numId w:val="1020"/>
          <w:ilvl w:val="0"/>
        </w:numPr>
      </w:pPr>
      <w:r>
        <w:t xml:space="preserve">Группа 6 (N=8). Доза 100 мг, натощак, один раз в день в течение 7 дней.</w:t>
      </w:r>
    </w:p>
    <w:p>
      <w:pPr>
        <w:numPr>
          <w:numId w:val="1020"/>
          <w:ilvl w:val="0"/>
        </w:numPr>
      </w:pPr>
      <w:r>
        <w:t xml:space="preserve">Группа 7 (N=8). Однократная доза (Х мг), при еде (дозу определит DSMB после оценки данных о безопасности и PK в других группах).</w:t>
      </w:r>
    </w:p>
    <w:p>
      <w:pPr>
        <w:numPr>
          <w:numId w:val="1020"/>
          <w:ilvl w:val="0"/>
        </w:numPr>
      </w:pPr>
      <w:r>
        <w:t xml:space="preserve">Группа 8 (N=8). Одна доза (Х мг), при приеме пищи (дозу определит DSMB после рассмотрения данных о безопасности и фармакокинетике в других группах).</w:t>
      </w:r>
    </w:p>
    <w:p>
      <w:pPr>
        <w:pStyle w:val="BlockText"/>
      </w:pPr>
      <w:r>
        <w:t xml:space="preserve">Участники останутся на месте проведения исследования не менее 72 часов после введения препарата для мониторинга показателей безопасности после введения SD и сбора образцов для оценки фармакокинетики и фармакодинамики.</w:t>
      </w:r>
      <w:r>
        <w:t xml:space="preserve"> </w:t>
      </w:r>
      <w:r>
        <w:t xml:space="preserve">Через 4 часа после введения SD будут оценены жизненные показатели и проведено ЭКГ.</w:t>
      </w:r>
      <w:r>
        <w:t xml:space="preserve"> </w:t>
      </w:r>
      <w:r>
        <w:t xml:space="preserve">На основе данных, полученных в ходе предварительных исследований L08-0623, будет проведена оценка фармакокинетики в 16 временных точках:</w:t>
      </w:r>
      <w:r>
        <w:t xml:space="preserve"> </w:t>
      </w:r>
      <w:r>
        <w:t xml:space="preserve">День 0 – до введения препарата и через 15 минут, 30 минут, 45 минут, 1 час, 1 час 30 минут, 2 часа, 3 часа, 4 часа, 5 часов, 6 часов, 8 часов и 12 часов после введения одной дозы препарата;</w:t>
      </w:r>
      <w:r>
        <w:t xml:space="preserve"> </w:t>
      </w:r>
      <w:r>
        <w:t xml:space="preserve">День 1 – через 24 часа после введения одной дозы препарата; День 2 – через 48 часов после введения одной дозы препарата; День 3 – через 72 часа после введения одной дозы препарата;</w:t>
      </w:r>
      <w:r>
        <w:t xml:space="preserve"> </w:t>
      </w:r>
      <w:r>
        <w:t xml:space="preserve">День 7 – оценка фармакокинетики будет проведена в день посещения места проведения исследования.</w:t>
      </w:r>
      <w:r>
        <w:t xml:space="preserve"> </w:t>
      </w:r>
      <w:r>
        <w:t xml:space="preserve">Образцы крови для оценки фармакодинамики (стимуляция IFNγ ex vivo) будут собраны в следующие временные точки:</w:t>
      </w:r>
      <w:r>
        <w:t xml:space="preserve"> </w:t>
      </w:r>
      <w:r>
        <w:t xml:space="preserve">День 0 – до введения препарата и через 1 час, 2 часа, 3 часа, 4 часа, 6 часов, 8 часов и 12 часов после введения одной дозы препарата;</w:t>
      </w:r>
      <w:r>
        <w:t xml:space="preserve"> </w:t>
      </w:r>
      <w:r>
        <w:t xml:space="preserve">День 1 – через 24 часа после введения одной дозы препарата;</w:t>
      </w:r>
      <w:r>
        <w:t xml:space="preserve"> </w:t>
      </w:r>
      <w:r>
        <w:t xml:space="preserve">День 2 – через 48 часов после введения одной дозы препарата;</w:t>
      </w:r>
      <w:r>
        <w:t xml:space="preserve"> </w:t>
      </w:r>
      <w:r>
        <w:t xml:space="preserve">День 3 – через 72 часа после введения одной дозы препарата.</w:t>
      </w:r>
      <w:r>
        <w:t xml:space="preserve"> </w:t>
      </w:r>
      <w:r>
        <w:t xml:space="preserve">День 1 будет включать оценку жизненных показателей, физический осмотр, ЭКГ, общий анализ крови, биохимический анализ, анализ мочи и оценку нежелательных явлений и сопутствующей терапии.</w:t>
      </w:r>
      <w:r>
        <w:t xml:space="preserve"> </w:t>
      </w:r>
      <w:r>
        <w:t xml:space="preserve">День 2 будет включать оценку жизненных показателей и нежелательных явлений, а также сопутствующую терапию.</w:t>
      </w:r>
      <w:r>
        <w:t xml:space="preserve"> </w:t>
      </w:r>
      <w:r>
        <w:t xml:space="preserve">День 3 будет включать оценку жизненных показателей и нежелательных явлений, а также сопутствующую терапию. После этого участники будут выписаны из стационара, и их посещение места проведения исследования завершится.</w:t>
      </w:r>
    </w:p>
    <w:p>
      <w:pPr>
        <w:pStyle w:val="FirstParagraph"/>
      </w:pPr>
      <w:r>
        <w:t xml:space="preserve">Последующий период</w:t>
      </w:r>
    </w:p>
    <w:p>
      <w:pPr>
        <w:pStyle w:val="BlockText"/>
      </w:pPr>
      <w:r>
        <w:t xml:space="preserve">В дни 5 и 7 участники будут посещать место проведения исследования на амбулаторной основе, проходить контрольные процедуры, оцениваться по жизненным показателям, нежелательным явлениям и сопутствующей терапии.</w:t>
      </w:r>
      <w:r>
        <w:t xml:space="preserve"> </w:t>
      </w:r>
      <w:r>
        <w:t xml:space="preserve">В день 7 также будет проведен физический осмотр, ЭКГ, сбор биоматериала для общего анализа крови и биохимического анализа, анализ мочи и измерение веса тела.</w:t>
      </w:r>
    </w:p>
    <w:p>
      <w:pPr>
        <w:numPr>
          <w:numId w:val="1021"/>
          <w:ilvl w:val="0"/>
        </w:numPr>
      </w:pPr>
      <w:r>
        <w:t xml:space="preserve">Группы с многократным введением</w:t>
      </w:r>
    </w:p>
    <w:p>
      <w:pPr>
        <w:pStyle w:val="Compact"/>
        <w:numPr>
          <w:numId w:val="1022"/>
          <w:ilvl w:val="1"/>
        </w:numPr>
      </w:pPr>
      <w:r>
        <w:rPr>
          <w:b/>
        </w:rPr>
        <w:t xml:space="preserve">Период отбора</w:t>
      </w:r>
    </w:p>
    <w:p>
      <w:pPr>
        <w:pStyle w:val="BlockText"/>
      </w:pPr>
      <w:r>
        <w:t xml:space="preserve">Во время посещения в день -14 будут проведены процедуры отбора для оценки соответствия критериям включения/исключения.</w:t>
      </w:r>
      <w:r>
        <w:t xml:space="preserve"> </w:t>
      </w:r>
      <w:r>
        <w:t xml:space="preserve">После подписания Информационной листовки и Формы информированного согласия, участники пройдут процедуры отбора, включая демографические данные и медицинскую историю, присвоение уникального идентификатора, физический осмотр (рост, вес, индекс массы тела), жизненные показатели, ЭКГ, сбор биоматериала для биохимического анализа, серологические тесты и общий анализ крови, анализ мочи, тестирование на алкоголь, наркотики и другие лекарственные средства, тестирование на котинин, а также оценку нежелательных явлений и сопутствующей терапии. Женщины детородного возраста пройдут тест на беременность.</w:t>
      </w:r>
      <w:r>
        <w:t xml:space="preserve"> </w:t>
      </w:r>
      <w:r>
        <w:t xml:space="preserve">Участников будут приглашать в место проведения исследования для госпитализации накануне дня -1 после окончательной оценки всех критериев включения/исключения. Во время этого посещения будет проведен физический осмотр, оценка жизненных показателей, тестирование на алкоголь и наркотики, тестирование на котинин, оценка соответствия критериям включения/исключения, а также оценка нежелательных явлений и сопутствующих лекарственных средств. Женщины детородного возраста пройдут тест на беременность.</w:t>
      </w:r>
    </w:p>
    <w:p>
      <w:pPr>
        <w:pStyle w:val="FirstParagraph"/>
      </w:pPr>
      <w:r>
        <w:t xml:space="preserve">Терапия</w:t>
      </w:r>
    </w:p>
    <w:p>
      <w:pPr>
        <w:pStyle w:val="BlockText"/>
      </w:pPr>
      <w:r>
        <w:t xml:space="preserve">В день 0, после окончательного подтверждения всех критериев включения/исключения и перед началом дозирования, участники будут рандомизированы. Участникам будет предоставлена карточка участника. До первой дозы SD участники также будут проходить следующие исследования: ЭКГ, общий анализ крови, биохимия, анализ мочи и биопсия для анализа PK и базовых фармакодинамических параметров.</w:t>
      </w:r>
      <w:r>
        <w:t xml:space="preserve"> </w:t>
      </w:r>
      <w:r>
        <w:t xml:space="preserve">Участники получат SD (L08-0623 или плацебо, в соотношении 1:1 для участников основной контрольной группы и 5:1 для участников остальной группы) натощак, в дозе 50 мг, один раз в день в течение 7 дней (группа 5), или в дозе 100 мг, один раз в день в течение 7 дней (группа 6). Участники останутся на объекте в течение следующих 9 дней, чтобы получать SD ежедневно и контролировать безопасность и параметры PK.</w:t>
      </w:r>
      <w:r>
        <w:t xml:space="preserve"> </w:t>
      </w:r>
      <w:r>
        <w:t xml:space="preserve">На основе данных, полученных в ходе предоклинических исследований L08-0623, анализ PK будет проводиться в следующие моменты времени:</w:t>
      </w:r>
      <w:r>
        <w:t xml:space="preserve"> </w:t>
      </w:r>
      <w:r>
        <w:t xml:space="preserve">День 0: до дозирования и через 15 мин, 30 мин, 45 мин, 1 час, 1 час 30 мин, 2 часа, 3 часа, 4 часа, 5 часов, 6 часов, 8 часов, 12 часов после получения первой дозы лекарства;</w:t>
      </w:r>
      <w:r>
        <w:t xml:space="preserve"> </w:t>
      </w:r>
      <w:r>
        <w:t xml:space="preserve">День 1: перед следующей дозой SD; День 2: перед следующей дозой SD; День 3: перед следующей дозой SD; День 5: перед следующей дозой SD;</w:t>
      </w:r>
      <w:r>
        <w:t xml:space="preserve"> </w:t>
      </w:r>
      <w:r>
        <w:t xml:space="preserve">День 6: до дозирования и через 15 мин, 30 мин, 45 мин, 1 час, 1 час 30 мин, 2 часа, 2 часа 30 мин, 3 часа, 4 часа, 5 часов, 6 часов, 8 часов, 12 часов после получения последней дозы лекарства;</w:t>
      </w:r>
      <w:r>
        <w:t xml:space="preserve"> </w:t>
      </w:r>
      <w:r>
        <w:t xml:space="preserve">День 7: через 24 часа после получения последней дозы лекарства;</w:t>
      </w:r>
      <w:r>
        <w:t xml:space="preserve"> </w:t>
      </w:r>
      <w:r>
        <w:t xml:space="preserve">День 8: через 48 часов после получения последней дозы лекарства;</w:t>
      </w:r>
      <w:r>
        <w:t xml:space="preserve"> </w:t>
      </w:r>
      <w:r>
        <w:t xml:space="preserve">День 9: через 72 часа после получения последней дозы лекарства.</w:t>
      </w:r>
      <w:r>
        <w:t xml:space="preserve"> </w:t>
      </w:r>
      <w:r>
        <w:t xml:space="preserve">Анализ PK также будет проведен в День 14.</w:t>
      </w:r>
      <w:r>
        <w:t xml:space="preserve"> </w:t>
      </w:r>
      <w:r>
        <w:t xml:space="preserve">Образцы крови для фармакодинамической оценки (стимуляция IFNγ in vitro) будут собираться в следующие моменты времени:</w:t>
      </w:r>
      <w:r>
        <w:t xml:space="preserve"> </w:t>
      </w:r>
      <w:r>
        <w:t xml:space="preserve">День 0: до дозирования и через 1 час, 2 часа, 3 часа, 4 часа, 6 часов, 8 часов и 12 часов после получения первой дозы лекарства;</w:t>
      </w:r>
      <w:r>
        <w:t xml:space="preserve"> </w:t>
      </w:r>
      <w:r>
        <w:t xml:space="preserve">День 1: перед второй дозой лекарства;</w:t>
      </w:r>
      <w:r>
        <w:t xml:space="preserve"> </w:t>
      </w:r>
      <w:r>
        <w:t xml:space="preserve">День 2: перед следующей дозой лекарства;</w:t>
      </w:r>
      <w:r>
        <w:t xml:space="preserve"> </w:t>
      </w:r>
      <w:r>
        <w:t xml:space="preserve">День 3: перед следующей дозой лекарства;</w:t>
      </w:r>
      <w:r>
        <w:t xml:space="preserve"> </w:t>
      </w:r>
      <w:r>
        <w:t xml:space="preserve">День 6: до дозирования и через 1 час, 2 часа, 3 часа, 4 часа, 6 часов, 8 часов и 12 часов после получения первой дозы лекарства;</w:t>
      </w:r>
      <w:r>
        <w:t xml:space="preserve"> </w:t>
      </w:r>
      <w:r>
        <w:t xml:space="preserve">День 7: через 24 часа после получения последней дозы лекарства;</w:t>
      </w:r>
      <w:r>
        <w:t xml:space="preserve"> </w:t>
      </w:r>
      <w:r>
        <w:t xml:space="preserve">День 8: через 48 часов после получения последней дозы лекарства;</w:t>
      </w:r>
      <w:r>
        <w:t xml:space="preserve"> </w:t>
      </w:r>
      <w:r>
        <w:t xml:space="preserve">День 9: через 72 часа после получения последней дозы лекарства; День 14: во время визита в клинику.</w:t>
      </w:r>
      <w:r>
        <w:t xml:space="preserve"> </w:t>
      </w:r>
      <w:r>
        <w:t xml:space="preserve">В День 0 также будут оценены жизненные показатели и ЭКГ через 4 часа</w:t>
      </w:r>
      <w:r>
        <w:rPr>
          <w:rStyle w:val="8"/>
        </w:rPr>
        <w:footnoteReference w:id="31"/>
      </w:r>
      <w:r>
        <w:t xml:space="preserve"> </w:t>
      </w:r>
      <w:r>
        <w:t xml:space="preserve">после первой дозы.</w:t>
      </w:r>
      <w:r>
        <w:t xml:space="preserve"> </w:t>
      </w:r>
      <w:r>
        <w:t xml:space="preserve">С Дня 1 по День 9 (дни госпитализации) будут оцениваться жизненные показатели, нежелательные явления и сопутствующая терапия.</w:t>
      </w:r>
      <w:r>
        <w:t xml:space="preserve"> </w:t>
      </w:r>
      <w:r>
        <w:t xml:space="preserve">С Дня 0 по День 6 будет проводиться ежедневное введение исследуемого препарата.</w:t>
      </w:r>
      <w:r>
        <w:t xml:space="preserve"> </w:t>
      </w:r>
      <w:r>
        <w:t xml:space="preserve">В День 2 будет проведена ЭКГ, и перед получением следующей дозы будет собран материал для общего анализа крови, биохимии и анализа мочи.</w:t>
      </w:r>
      <w:r>
        <w:t xml:space="preserve"> </w:t>
      </w:r>
      <w:r>
        <w:t xml:space="preserve">В День 5 будет проведена ЭКГ, и будет собран материал для общего анализа крови, биохимии и анализа мочи.</w:t>
      </w:r>
      <w:r>
        <w:t xml:space="preserve"> </w:t>
      </w:r>
      <w:r>
        <w:t xml:space="preserve">В День 9 будут проводиться физический осмотр, оценка жизненных показателей, ЭКГ, биохимия, общий анализ крови, анализ мочи и оценка нежелательных явлений и сопутствующей терапии. После этого госпитализация будет завершена.</w:t>
      </w:r>
      <w:r>
        <w:t xml:space="preserve"> </w:t>
      </w:r>
      <w:r>
        <w:t xml:space="preserve">Период наблюдения</w:t>
      </w:r>
      <w:r>
        <w:t xml:space="preserve"> </w:t>
      </w:r>
      <w:r>
        <w:t xml:space="preserve">В День 14 и День 21 участники будут посещать клинику на амбулаторной основе.</w:t>
      </w:r>
      <w:r>
        <w:t xml:space="preserve"> </w:t>
      </w:r>
      <w:r>
        <w:t xml:space="preserve">В День 14 и День 21 будут проведены процедуры наблюдения, включая физический осмотр, оценку жизненных показателей, ЭКГ, сбор материала для общего анализа крови и биохимии, анализа мочи и оценку нежелательных явлений и сопутствующей терапии.</w:t>
      </w:r>
      <w:r>
        <w:t xml:space="preserve"> </w:t>
      </w:r>
      <w:r>
        <w:t xml:space="preserve">В День 14 также будет измерена масса тела.</w:t>
      </w:r>
      <w:r>
        <w:t xml:space="preserve"> </w:t>
      </w:r>
      <w:r>
        <w:t xml:space="preserve">В День 21 участники завершат участие в исследовании.</w:t>
      </w:r>
      <w:r>
        <w:t xml:space="preserve"> </w:t>
      </w:r>
      <w:r>
        <w:t xml:space="preserve">Рисунок 1. Схема исследования: PSR-L08-0623</w:t>
      </w:r>
      <w:r>
        <w:t xml:space="preserve"> </w:t>
      </w:r>
      <w:r>
        <w:t xml:space="preserve">ПЕРЕВОД:</w:t>
      </w:r>
    </w:p>
    <w:p>
      <w:pPr>
        <w:pStyle w:val="FirstParagraph"/>
      </w:pPr>
      <w:r>
        <w:t xml:space="preserve">Группа 8 –  Скрининг SD День 7</w:t>
      </w:r>
      <w:r>
        <w:br w:type="textWrapping"/>
      </w:r>
      <w:r>
        <w:t xml:space="preserve">Одна доза, приемом с пищей (N=6+2)</w:t>
      </w:r>
    </w:p>
    <w:p>
      <w:pPr>
        <w:pStyle w:val="7"/>
      </w:pPr>
      <w:r>
        <w:t xml:space="preserve">Группа 7 –  Скрининг SD День 7</w:t>
      </w:r>
      <w:r>
        <w:t xml:space="preserve"> </w:t>
      </w:r>
      <w:r>
        <w:rPr>
          <w:b/>
        </w:rPr>
        <w:t xml:space="preserve">DSMB ↑</w:t>
      </w:r>
      <w:r>
        <w:t xml:space="preserve"> </w:t>
      </w:r>
      <w:r>
        <w:t xml:space="preserve">Одна доза, приемом с пищей (N=6+2)</w:t>
      </w:r>
    </w:p>
    <w:p>
      <w:pPr>
        <w:pStyle w:val="7"/>
      </w:pPr>
      <w:r>
        <w:t xml:space="preserve">Группа 6 –  Скрининг MD День 21</w:t>
      </w:r>
      <w:r>
        <w:t xml:space="preserve"> </w:t>
      </w:r>
      <w:r>
        <w:rPr>
          <w:b/>
        </w:rPr>
        <w:t xml:space="preserve">DSMB ↑</w:t>
      </w:r>
      <w:r>
        <w:t xml:space="preserve"> </w:t>
      </w:r>
      <w:r>
        <w:t xml:space="preserve">100 мг, многократный прием, в состоянии голодания (N=6+2)</w:t>
      </w:r>
    </w:p>
    <w:p>
      <w:pPr>
        <w:pStyle w:val="7"/>
      </w:pPr>
      <w:r>
        <w:t xml:space="preserve">Группа 5 –  Скрининг MD День 21</w:t>
      </w:r>
      <w:r>
        <w:t xml:space="preserve"> </w:t>
      </w:r>
      <w:r>
        <w:rPr>
          <w:b/>
        </w:rPr>
        <w:t xml:space="preserve">DSMB ↑</w:t>
      </w:r>
      <w:r>
        <w:t xml:space="preserve"> </w:t>
      </w:r>
      <w:r>
        <w:t xml:space="preserve">50 мг или плацебо, многократный прием, в состоянии голодания (N=6+2)</w:t>
      </w:r>
    </w:p>
    <w:p>
      <w:pPr>
        <w:pStyle w:val="7"/>
      </w:pPr>
      <w:r>
        <w:t xml:space="preserve">Группа 4 –  Скрининг SD День 7</w:t>
      </w:r>
      <w:r>
        <w:t xml:space="preserve"> </w:t>
      </w:r>
      <w:r>
        <w:rPr>
          <w:b/>
        </w:rPr>
        <w:t xml:space="preserve">DSMB ↑</w:t>
      </w:r>
      <w:r>
        <w:t xml:space="preserve"> </w:t>
      </w:r>
      <w:r>
        <w:t xml:space="preserve">100 мг, одна доза, в состоянии голодания (N=6+2)</w:t>
      </w:r>
    </w:p>
    <w:p>
      <w:pPr>
        <w:pStyle w:val="7"/>
      </w:pPr>
      <w:r>
        <w:t xml:space="preserve">Группа 3 –  Скрининг SD День 7</w:t>
      </w:r>
      <w:r>
        <w:t xml:space="preserve"> </w:t>
      </w:r>
      <w:r>
        <w:rPr>
          <w:b/>
        </w:rPr>
        <w:t xml:space="preserve">DSMB ↑</w:t>
      </w:r>
      <w:r>
        <w:t xml:space="preserve"> </w:t>
      </w:r>
      <w:r>
        <w:t xml:space="preserve">50 мг или плацебо, одна доза, в состоянии голодания (N=6+2)</w:t>
      </w:r>
    </w:p>
    <w:p>
      <w:pPr>
        <w:pStyle w:val="7"/>
      </w:pPr>
      <w:r>
        <w:t xml:space="preserve">Группа 2 –  Скрининг SD День 7</w:t>
      </w:r>
      <w:r>
        <w:t xml:space="preserve"> </w:t>
      </w:r>
      <w:r>
        <w:rPr>
          <w:b/>
        </w:rPr>
        <w:t xml:space="preserve">DSMB ↑</w:t>
      </w:r>
      <w:r>
        <w:t xml:space="preserve"> </w:t>
      </w:r>
      <w:r>
        <w:t xml:space="preserve">20 мг или плацебо, одна доза, в состоянии голодания (N=6+2)</w:t>
      </w:r>
    </w:p>
    <w:p>
      <w:pPr>
        <w:pStyle w:val="7"/>
      </w:pPr>
      <w:r>
        <w:t xml:space="preserve">Группа 1 –  Скрининг SD День 7</w:t>
      </w:r>
      <w:r>
        <w:t xml:space="preserve"> </w:t>
      </w:r>
      <w:r>
        <w:rPr>
          <w:b/>
        </w:rPr>
        <w:t xml:space="preserve">DSMB ↑</w:t>
      </w:r>
      <w:r>
        <w:br w:type="textWrapping"/>
      </w:r>
      <w:r>
        <w:t xml:space="preserve">10 мг, одна доза, в состоянии голодания (N=6+2)</w:t>
      </w:r>
    </w:p>
    <w:p>
      <w:pPr>
        <w:pStyle w:val="BlockText"/>
      </w:pPr>
      <w:r>
        <w:t xml:space="preserve">DSMB – Комитет по мониторингу безопасности; SD - одна доза; MD – многократный прием.</w:t>
      </w:r>
    </w:p>
    <w:p>
      <w:pPr>
        <w:pStyle w:val="FirstParagraph"/>
      </w:pPr>
      <w:r>
        <w:t xml:space="preserve">Таблица 1.</w:t>
      </w:r>
      <w:r>
        <w:t xml:space="preserve"> </w:t>
      </w:r>
      <w:r>
        <w:rPr>
          <w:b/>
        </w:rPr>
        <w:t xml:space="preserve">График обследований</w:t>
      </w:r>
      <w:r>
        <w:t xml:space="preserve">: PSR-L08-0623 (группы с однократным приемом)</w:t>
      </w:r>
    </w:p>
    <w:p>
      <w:pPr>
        <w:pStyle w:val="Compact"/>
      </w:pPr>
      <w:r>
        <w:t xml:space="preserve">Период</w:t>
      </w:r>
    </w:p>
    <w:p>
      <w:pPr>
        <w:pStyle w:val="Compact"/>
      </w:pPr>
      <w:r>
        <w:t xml:space="preserve">Скрининг</w:t>
      </w:r>
    </w:p>
    <w:p>
      <w:pPr>
        <w:pStyle w:val="Compact"/>
      </w:pPr>
      <w:r>
        <w:t xml:space="preserve">Терапия исследования</w:t>
      </w:r>
    </w:p>
    <w:p>
      <w:pPr>
        <w:pStyle w:val="Compact"/>
      </w:pPr>
      <w:r>
        <w:t xml:space="preserve">Последующее наблюдение</w:t>
      </w:r>
    </w:p>
    <w:p>
      <w:pPr>
        <w:pStyle w:val="Compact"/>
      </w:pPr>
      <w:r>
        <w:t xml:space="preserve">ET</w:t>
      </w:r>
    </w:p>
    <w:p>
      <w:pPr>
        <w:pStyle w:val="Compact"/>
      </w:pPr>
      <w:r>
        <w:t xml:space="preserve">День</w:t>
      </w:r>
    </w:p>
    <w:p>
      <w:pPr>
        <w:pStyle w:val="Compact"/>
      </w:pPr>
      <w:r>
        <w:t xml:space="preserve">D14</w:t>
      </w:r>
    </w:p>
    <w:p>
      <w:pPr>
        <w:pStyle w:val="Compact"/>
      </w:pPr>
      <w:r>
        <w:t xml:space="preserve">D1</w:t>
      </w:r>
    </w:p>
    <w:p>
      <w:pPr>
        <w:pStyle w:val="Compact"/>
      </w:pPr>
      <w:r>
        <w:t xml:space="preserve">D0</w:t>
      </w:r>
    </w:p>
    <w:p>
      <w:pPr>
        <w:pStyle w:val="Compact"/>
      </w:pPr>
      <w:r>
        <w:t xml:space="preserve">D1</w:t>
      </w:r>
    </w:p>
    <w:p>
      <w:pPr>
        <w:pStyle w:val="Compact"/>
      </w:pPr>
      <w:r>
        <w:t xml:space="preserve">D2</w:t>
      </w:r>
    </w:p>
    <w:p>
      <w:pPr>
        <w:pStyle w:val="Compact"/>
      </w:pPr>
      <w:r>
        <w:t xml:space="preserve">D3</w:t>
      </w:r>
    </w:p>
    <w:p>
      <w:pPr>
        <w:pStyle w:val="Compact"/>
      </w:pPr>
      <w:r>
        <w:t xml:space="preserve">D5</w:t>
      </w:r>
    </w:p>
    <w:p>
      <w:pPr>
        <w:pStyle w:val="Compact"/>
      </w:pPr>
      <w:r>
        <w:t xml:space="preserve">D7</w:t>
      </w:r>
    </w:p>
    <w:p>
      <w:pPr>
        <w:pStyle w:val="Compact"/>
      </w:pPr>
      <w:r>
        <w:t xml:space="preserve">Окно визита</w:t>
      </w:r>
    </w:p>
    <w:p>
      <w:pPr>
        <w:pStyle w:val="Compact"/>
      </w:pPr>
      <w:r>
        <w:t xml:space="preserve">Дни -14 -1</w:t>
      </w:r>
    </w:p>
    <w:p>
      <w:pPr>
        <w:pStyle w:val="Compact"/>
      </w:pPr>
      <w:r>
        <w:t xml:space="preserve">Информированное согласие</w:t>
      </w:r>
    </w:p>
    <w:p>
      <w:pPr>
        <w:pStyle w:val="Compact"/>
      </w:pPr>
      <w:r>
        <w:t xml:space="preserve">Да</w:t>
      </w:r>
    </w:p>
    <w:p>
      <w:pPr>
        <w:pStyle w:val="Compact"/>
      </w:pPr>
      <w:r>
        <w:t xml:space="preserve"> </w:t>
      </w:r>
    </w:p>
    <w:p>
      <w:pPr>
        <w:pStyle w:val="Compact"/>
      </w:pPr>
      <w:r>
        <w:t xml:space="preserve"> </w:t>
      </w:r>
    </w:p>
    <w:p>
      <w:pPr>
        <w:pStyle w:val="Compact"/>
      </w:pPr>
      <w:r>
        <w:t xml:space="preserve"> </w:t>
      </w:r>
    </w:p>
    <w:p>
      <w:pPr>
        <w:pStyle w:val="Compact"/>
      </w:pPr>
      <w:r>
        <w:t xml:space="preserve"> </w:t>
      </w:r>
    </w:p>
    <w:p>
      <w:pPr>
        <w:pStyle w:val="Compact"/>
      </w:pPr>
      <w:r>
        <w:t xml:space="preserve"> </w:t>
      </w:r>
    </w:p>
    <w:p>
      <w:pPr>
        <w:pStyle w:val="Compact"/>
      </w:pPr>
      <w:r>
        <w:t xml:space="preserve">Присвоение уникального идентификатора</w:t>
      </w:r>
    </w:p>
    <w:p>
      <w:pPr>
        <w:pStyle w:val="Compact"/>
      </w:pPr>
      <w:r>
        <w:t xml:space="preserve">Да</w:t>
      </w:r>
    </w:p>
    <w:p>
      <w:pPr>
        <w:pStyle w:val="Compact"/>
      </w:pPr>
      <w:r>
        <w:t xml:space="preserve">Карта волонтера</w:t>
      </w:r>
    </w:p>
    <w:p>
      <w:pPr>
        <w:pStyle w:val="Compact"/>
      </w:pPr>
      <w:r>
        <w:t xml:space="preserve">Да</w:t>
      </w:r>
    </w:p>
    <w:p>
      <w:pPr>
        <w:pStyle w:val="Compact"/>
      </w:pPr>
      <w:r>
        <w:t xml:space="preserve">Демографические данные и медицинская история</w:t>
      </w:r>
    </w:p>
    <w:p>
      <w:pPr>
        <w:pStyle w:val="Compact"/>
      </w:pPr>
      <w:r>
        <w:t xml:space="preserve">Да</w:t>
      </w:r>
    </w:p>
    <w:p>
      <w:pPr>
        <w:pStyle w:val="Compact"/>
      </w:pPr>
      <w:r>
        <w:t xml:space="preserve"> </w:t>
      </w:r>
    </w:p>
    <w:p>
      <w:pPr>
        <w:pStyle w:val="Compact"/>
      </w:pPr>
      <w:r>
        <w:t xml:space="preserve"> </w:t>
      </w:r>
    </w:p>
    <w:p>
      <w:pPr>
        <w:pStyle w:val="Compact"/>
      </w:pPr>
      <w:r>
        <w:t xml:space="preserve"> </w:t>
      </w:r>
    </w:p>
    <w:p>
      <w:pPr>
        <w:pStyle w:val="Compact"/>
      </w:pPr>
      <w:r>
        <w:t xml:space="preserve"> </w:t>
      </w:r>
    </w:p>
    <w:p>
      <w:pPr>
        <w:pStyle w:val="Compact"/>
      </w:pPr>
      <w:r>
        <w:t xml:space="preserve"> </w:t>
      </w:r>
    </w:p>
    <w:p>
      <w:pPr>
        <w:pStyle w:val="Compact"/>
      </w:pPr>
      <w:r>
        <w:t xml:space="preserve">Физический осмотр</w:t>
      </w:r>
    </w:p>
    <w:p>
      <w:pPr>
        <w:pStyle w:val="Compact"/>
      </w:pPr>
      <w:r>
        <w:t xml:space="preserve">Да</w:t>
      </w:r>
    </w:p>
    <w:p>
      <w:pPr>
        <w:pStyle w:val="Compact"/>
      </w:pPr>
      <w:r>
        <w:t xml:space="preserve">Да</w:t>
      </w:r>
    </w:p>
    <w:p>
      <w:pPr>
        <w:pStyle w:val="Compact"/>
      </w:pPr>
      <w:r>
        <w:t xml:space="preserve">Да</w:t>
      </w:r>
    </w:p>
    <w:p>
      <w:pPr>
        <w:pStyle w:val="Compact"/>
      </w:pPr>
      <w:r>
        <w:t xml:space="preserve"> Да</w:t>
      </w:r>
    </w:p>
    <w:p>
      <w:pPr>
        <w:pStyle w:val="Compact"/>
      </w:pPr>
      <w:r>
        <w:t xml:space="preserve">Да</w:t>
      </w:r>
    </w:p>
    <w:p>
      <w:pPr>
        <w:pStyle w:val="Compact"/>
      </w:pPr>
      <w:r>
        <w:t xml:space="preserve">Да</w:t>
      </w:r>
    </w:p>
    <w:p>
      <w:pPr>
        <w:pStyle w:val="Compact"/>
      </w:pPr>
      <w:r>
        <w:t xml:space="preserve">Рост</w:t>
      </w:r>
      <w:r>
        <w:t xml:space="preserve"> </w:t>
      </w:r>
      <w:r>
        <w:t xml:space="preserve">1</w:t>
      </w:r>
      <w:r>
        <w:t xml:space="preserve">, вес, ИМТ</w:t>
      </w:r>
    </w:p>
    <w:p>
      <w:pPr>
        <w:pStyle w:val="Compact"/>
      </w:pPr>
      <w:r>
        <w:t xml:space="preserve">Да</w:t>
      </w:r>
    </w:p>
    <w:p>
      <w:pPr>
        <w:pStyle w:val="Compact"/>
      </w:pPr>
      <w:r>
        <w:t xml:space="preserve"> </w:t>
      </w:r>
    </w:p>
    <w:p>
      <w:pPr>
        <w:pStyle w:val="Compact"/>
      </w:pPr>
      <w:r>
        <w:t xml:space="preserve"> </w:t>
      </w:r>
    </w:p>
    <w:p>
      <w:pPr>
        <w:pStyle w:val="Compact"/>
      </w:pPr>
      <w:r>
        <w:t xml:space="preserve"> </w:t>
      </w:r>
    </w:p>
    <w:p>
      <w:pPr>
        <w:pStyle w:val="Compact"/>
      </w:pPr>
      <w:r>
        <w:t xml:space="preserve"> </w:t>
      </w:r>
    </w:p>
    <w:p>
      <w:pPr>
        <w:pStyle w:val="Compact"/>
      </w:pPr>
      <w:r>
        <w:t xml:space="preserve">Да</w:t>
      </w:r>
    </w:p>
    <w:p>
      <w:pPr>
        <w:pStyle w:val="Compact"/>
      </w:pPr>
      <w:r>
        <w:t xml:space="preserve">Да</w:t>
      </w:r>
    </w:p>
    <w:p>
      <w:pPr>
        <w:pStyle w:val="Compact"/>
      </w:pPr>
      <w:r>
        <w:t xml:space="preserve">Жизненные показатели</w:t>
      </w:r>
    </w:p>
    <w:p>
      <w:pPr>
        <w:pStyle w:val="Compact"/>
      </w:pPr>
      <w:r>
        <w:t xml:space="preserve">Да</w:t>
      </w:r>
    </w:p>
    <w:p>
      <w:pPr>
        <w:pStyle w:val="Compact"/>
      </w:pPr>
      <w:r>
        <w:t xml:space="preserve">Да</w:t>
      </w:r>
    </w:p>
    <w:p>
      <w:pPr>
        <w:pStyle w:val="Compact"/>
      </w:pPr>
      <w:r>
        <w:t xml:space="preserve">Да</w:t>
      </w:r>
    </w:p>
    <w:p>
      <w:pPr>
        <w:pStyle w:val="Compact"/>
      </w:pPr>
      <w:r>
        <w:t xml:space="preserve">Да</w:t>
      </w:r>
    </w:p>
    <w:p>
      <w:pPr>
        <w:pStyle w:val="Compact"/>
      </w:pPr>
      <w:r>
        <w:t xml:space="preserve">Да</w:t>
      </w:r>
    </w:p>
    <w:p>
      <w:pPr>
        <w:pStyle w:val="Compact"/>
      </w:pPr>
      <w:r>
        <w:t xml:space="preserve">Да</w:t>
      </w:r>
    </w:p>
    <w:p>
      <w:pPr>
        <w:pStyle w:val="Compact"/>
      </w:pPr>
      <w:r>
        <w:t xml:space="preserve">Да</w:t>
      </w:r>
    </w:p>
    <w:p>
      <w:pPr>
        <w:pStyle w:val="Compact"/>
      </w:pPr>
      <w:r>
        <w:t xml:space="preserve">Да</w:t>
      </w:r>
    </w:p>
    <w:p>
      <w:pPr>
        <w:pStyle w:val="Compact"/>
      </w:pPr>
      <w:r>
        <w:t xml:space="preserve">Да</w:t>
      </w:r>
    </w:p>
    <w:p>
      <w:pPr>
        <w:pStyle w:val="Compact"/>
      </w:pPr>
      <w:r>
        <w:t xml:space="preserve">ЭКГ с 12 отведениями</w:t>
      </w:r>
    </w:p>
    <w:p>
      <w:pPr>
        <w:pStyle w:val="Compact"/>
      </w:pPr>
      <w:r>
        <w:t xml:space="preserve">Да</w:t>
      </w:r>
    </w:p>
    <w:p>
      <w:pPr>
        <w:pStyle w:val="Compact"/>
      </w:pPr>
      <w:r>
        <w:t xml:space="preserve"> </w:t>
      </w:r>
    </w:p>
    <w:p>
      <w:pPr>
        <w:pStyle w:val="Compact"/>
      </w:pPr>
      <w:r>
        <w:t xml:space="preserve">Да</w:t>
      </w:r>
      <w:r>
        <w:t xml:space="preserve">2</w:t>
      </w:r>
    </w:p>
    <w:p>
      <w:pPr>
        <w:pStyle w:val="Compact"/>
      </w:pPr>
      <w:r>
        <w:t xml:space="preserve"> Да</w:t>
      </w:r>
    </w:p>
    <w:p>
      <w:pPr>
        <w:pStyle w:val="Compact"/>
      </w:pPr>
      <w:r>
        <w:t xml:space="preserve">Да</w:t>
      </w:r>
    </w:p>
    <w:p>
      <w:pPr>
        <w:pStyle w:val="Compact"/>
      </w:pPr>
      <w:r>
        <w:t xml:space="preserve">Да</w:t>
      </w:r>
    </w:p>
    <w:p>
      <w:pPr>
        <w:pStyle w:val="Compact"/>
      </w:pPr>
      <w:r>
        <w:t xml:space="preserve">Лабораторные исследования:</w:t>
      </w:r>
    </w:p>
    <w:p>
      <w:pPr>
        <w:pStyle w:val="Compact"/>
      </w:pPr>
      <w:r>
        <w:t xml:space="preserve"> </w:t>
      </w:r>
    </w:p>
    <w:p>
      <w:pPr>
        <w:pStyle w:val="Compact"/>
      </w:pPr>
      <w:r>
        <w:t xml:space="preserve"> </w:t>
      </w:r>
    </w:p>
    <w:p>
      <w:pPr>
        <w:pStyle w:val="Compact"/>
      </w:pPr>
      <w:r>
        <w:t xml:space="preserve"> </w:t>
      </w:r>
    </w:p>
    <w:p>
      <w:pPr>
        <w:pStyle w:val="Compact"/>
      </w:pPr>
      <w:r>
        <w:t xml:space="preserve"> </w:t>
      </w:r>
    </w:p>
    <w:p>
      <w:pPr>
        <w:pStyle w:val="Compact"/>
      </w:pPr>
      <w:r>
        <w:t xml:space="preserve"> </w:t>
      </w:r>
    </w:p>
    <w:p>
      <w:pPr>
        <w:pStyle w:val="Compact"/>
      </w:pPr>
      <w:r>
        <w:t xml:space="preserve"> </w:t>
      </w:r>
    </w:p>
    <w:p>
      <w:pPr>
        <w:pStyle w:val="Compact"/>
      </w:pPr>
      <w:r>
        <w:t xml:space="preserve"> </w:t>
      </w:r>
    </w:p>
    <w:p>
      <w:pPr>
        <w:pStyle w:val="Compact"/>
        <w:numPr>
          <w:numId w:val="1023"/>
          <w:ilvl w:val="0"/>
        </w:numPr>
      </w:pPr>
      <w:r>
        <w:t xml:space="preserve">Серологическое исследование (ВИЧ, гепатит В и С, сифилис)</w:t>
      </w:r>
    </w:p>
    <w:p>
      <w:pPr>
        <w:pStyle w:val="Compact"/>
        <w:numPr>
          <w:numId w:val="1000"/>
          <w:ilvl w:val="0"/>
        </w:numPr>
      </w:pPr>
      <w:r>
        <w:t xml:space="preserve">Да</w:t>
      </w:r>
    </w:p>
    <w:p>
      <w:pPr>
        <w:pStyle w:val="Compact"/>
        <w:numPr>
          <w:numId w:val="1000"/>
          <w:ilvl w:val="0"/>
        </w:numPr>
      </w:pPr>
      <w:r>
        <w:t xml:space="preserve"> </w:t>
      </w:r>
    </w:p>
    <w:p>
      <w:pPr>
        <w:pStyle w:val="Compact"/>
        <w:numPr>
          <w:numId w:val="1000"/>
          <w:ilvl w:val="0"/>
        </w:numPr>
      </w:pPr>
      <w:r>
        <w:t xml:space="preserve"> </w:t>
      </w:r>
    </w:p>
    <w:p>
      <w:pPr>
        <w:pStyle w:val="Compact"/>
        <w:numPr>
          <w:numId w:val="1000"/>
          <w:ilvl w:val="0"/>
        </w:numPr>
      </w:pPr>
      <w:r>
        <w:t xml:space="preserve"> </w:t>
      </w:r>
    </w:p>
    <w:p>
      <w:pPr>
        <w:pStyle w:val="Compact"/>
        <w:numPr>
          <w:numId w:val="1000"/>
          <w:ilvl w:val="0"/>
        </w:numPr>
      </w:pPr>
      <w:r>
        <w:t xml:space="preserve"> </w:t>
      </w:r>
    </w:p>
    <w:p>
      <w:pPr>
        <w:pStyle w:val="Compact"/>
        <w:numPr>
          <w:numId w:val="1000"/>
          <w:ilvl w:val="0"/>
        </w:numPr>
      </w:pPr>
      <w:r>
        <w:t xml:space="preserve"> </w:t>
      </w:r>
    </w:p>
    <w:p>
      <w:pPr>
        <w:pStyle w:val="Compact"/>
        <w:numPr>
          <w:numId w:val="1000"/>
          <w:ilvl w:val="0"/>
        </w:numPr>
      </w:pPr>
      <w:r>
        <w:t xml:space="preserve"> </w:t>
      </w:r>
    </w:p>
    <w:p>
      <w:pPr>
        <w:pStyle w:val="Compact"/>
        <w:numPr>
          <w:numId w:val="1024"/>
          <w:ilvl w:val="1"/>
        </w:numPr>
      </w:pPr>
      <w:r>
        <w:t xml:space="preserve">Исследование на запрещенные вещества</w:t>
      </w:r>
      <w:r>
        <w:t xml:space="preserve"> </w:t>
      </w:r>
      <w:r>
        <w:t xml:space="preserve">3</w:t>
      </w:r>
    </w:p>
    <w:p>
      <w:pPr>
        <w:pStyle w:val="Compact"/>
        <w:numPr>
          <w:numId w:val="1000"/>
          <w:ilvl w:val="1"/>
        </w:numPr>
      </w:pPr>
      <w:r>
        <w:t xml:space="preserve">Да</w:t>
      </w:r>
    </w:p>
    <w:p>
      <w:pPr>
        <w:pStyle w:val="Compact"/>
        <w:numPr>
          <w:numId w:val="1000"/>
          <w:ilvl w:val="1"/>
        </w:numPr>
      </w:pPr>
      <w:r>
        <w:t xml:space="preserve">Да</w:t>
      </w:r>
    </w:p>
    <w:p>
      <w:pPr>
        <w:pStyle w:val="Compact"/>
        <w:numPr>
          <w:numId w:val="1000"/>
          <w:ilvl w:val="1"/>
        </w:numPr>
      </w:pPr>
      <w:r>
        <w:t xml:space="preserve"> </w:t>
      </w:r>
    </w:p>
    <w:p>
      <w:pPr>
        <w:pStyle w:val="Compact"/>
        <w:numPr>
          <w:numId w:val="1000"/>
          <w:ilvl w:val="1"/>
        </w:numPr>
      </w:pPr>
      <w:r>
        <w:t xml:space="preserve"> </w:t>
      </w:r>
    </w:p>
    <w:p>
      <w:pPr>
        <w:pStyle w:val="Compact"/>
        <w:numPr>
          <w:numId w:val="1000"/>
          <w:ilvl w:val="1"/>
        </w:numPr>
      </w:pPr>
      <w:r>
        <w:t xml:space="preserve"> </w:t>
      </w:r>
    </w:p>
    <w:p>
      <w:pPr>
        <w:pStyle w:val="Compact"/>
        <w:numPr>
          <w:numId w:val="1000"/>
          <w:ilvl w:val="1"/>
        </w:numPr>
      </w:pPr>
      <w:r>
        <w:t xml:space="preserve"> </w:t>
      </w:r>
    </w:p>
    <w:p>
      <w:pPr>
        <w:pStyle w:val="Compact"/>
        <w:numPr>
          <w:numId w:val="1000"/>
          <w:ilvl w:val="1"/>
        </w:numPr>
      </w:pPr>
      <w:r>
        <w:t xml:space="preserve"> </w:t>
      </w:r>
    </w:p>
    <w:p>
      <w:pPr>
        <w:pStyle w:val="Compact"/>
        <w:numPr>
          <w:numId w:val="1025"/>
          <w:ilvl w:val="2"/>
        </w:numPr>
      </w:pPr>
      <w:r>
        <w:t xml:space="preserve">Исследование на алкоголь в выдыхаемом воздухе</w:t>
      </w:r>
      <w:r>
        <w:t xml:space="preserve"> </w:t>
      </w:r>
      <w:r>
        <w:t xml:space="preserve">4</w:t>
      </w:r>
    </w:p>
    <w:p>
      <w:pPr>
        <w:pStyle w:val="Compact"/>
        <w:numPr>
          <w:numId w:val="1000"/>
          <w:ilvl w:val="2"/>
        </w:numPr>
      </w:pPr>
      <w:r>
        <w:t xml:space="preserve">Да</w:t>
      </w:r>
    </w:p>
    <w:p>
      <w:pPr>
        <w:pStyle w:val="Compact"/>
        <w:numPr>
          <w:numId w:val="1000"/>
          <w:ilvl w:val="2"/>
        </w:numPr>
      </w:pPr>
      <w:r>
        <w:t xml:space="preserve">Да</w:t>
      </w:r>
    </w:p>
    <w:p>
      <w:pPr>
        <w:pStyle w:val="Compact"/>
        <w:numPr>
          <w:numId w:val="1000"/>
          <w:ilvl w:val="2"/>
        </w:numPr>
      </w:pPr>
      <w:r>
        <w:t xml:space="preserve"> </w:t>
      </w:r>
    </w:p>
    <w:p>
      <w:pPr>
        <w:pStyle w:val="Compact"/>
        <w:numPr>
          <w:numId w:val="1000"/>
          <w:ilvl w:val="2"/>
        </w:numPr>
      </w:pPr>
      <w:r>
        <w:t xml:space="preserve"> </w:t>
      </w:r>
    </w:p>
    <w:p>
      <w:pPr>
        <w:pStyle w:val="Compact"/>
        <w:numPr>
          <w:numId w:val="1000"/>
          <w:ilvl w:val="2"/>
        </w:numPr>
      </w:pPr>
      <w:r>
        <w:t xml:space="preserve"> </w:t>
      </w:r>
    </w:p>
    <w:p>
      <w:pPr>
        <w:pStyle w:val="Compact"/>
        <w:numPr>
          <w:numId w:val="1000"/>
          <w:ilvl w:val="2"/>
        </w:numPr>
      </w:pPr>
      <w:r>
        <w:t xml:space="preserve"> </w:t>
      </w:r>
    </w:p>
    <w:p>
      <w:pPr>
        <w:pStyle w:val="Compact"/>
        <w:numPr>
          <w:numId w:val="1000"/>
          <w:ilvl w:val="2"/>
        </w:numPr>
      </w:pPr>
      <w:r>
        <w:t xml:space="preserve"> </w:t>
      </w:r>
    </w:p>
    <w:p>
      <w:pPr>
        <w:pStyle w:val="Compact"/>
        <w:numPr>
          <w:numId w:val="1026"/>
          <w:ilvl w:val="3"/>
        </w:numPr>
      </w:pPr>
      <w:r>
        <w:t xml:space="preserve">Исследование мочи</w:t>
      </w:r>
      <w:r>
        <w:t xml:space="preserve"> </w:t>
      </w:r>
      <w:r>
        <w:t xml:space="preserve">5</w:t>
      </w:r>
    </w:p>
    <w:p>
      <w:pPr>
        <w:pStyle w:val="Compact"/>
        <w:numPr>
          <w:numId w:val="1000"/>
          <w:ilvl w:val="3"/>
        </w:numPr>
      </w:pPr>
      <w:r>
        <w:t xml:space="preserve">Да</w:t>
      </w:r>
    </w:p>
    <w:p>
      <w:pPr>
        <w:pStyle w:val="Compact"/>
        <w:numPr>
          <w:numId w:val="1000"/>
          <w:ilvl w:val="3"/>
        </w:numPr>
      </w:pPr>
      <w:r>
        <w:t xml:space="preserve">Да</w:t>
      </w:r>
    </w:p>
    <w:p>
      <w:pPr>
        <w:pStyle w:val="Compact"/>
        <w:numPr>
          <w:numId w:val="1000"/>
          <w:ilvl w:val="3"/>
        </w:numPr>
      </w:pPr>
      <w:r>
        <w:t xml:space="preserve"> </w:t>
      </w:r>
    </w:p>
    <w:p>
      <w:pPr>
        <w:pStyle w:val="Compact"/>
        <w:numPr>
          <w:numId w:val="1000"/>
          <w:ilvl w:val="3"/>
        </w:numPr>
      </w:pPr>
      <w:r>
        <w:t xml:space="preserve"> </w:t>
      </w:r>
    </w:p>
    <w:p>
      <w:pPr>
        <w:pStyle w:val="Compact"/>
        <w:numPr>
          <w:numId w:val="1000"/>
          <w:ilvl w:val="3"/>
        </w:numPr>
      </w:pPr>
      <w:r>
        <w:t xml:space="preserve"> </w:t>
      </w:r>
    </w:p>
    <w:p>
      <w:pPr>
        <w:pStyle w:val="Compact"/>
        <w:numPr>
          <w:numId w:val="1000"/>
          <w:ilvl w:val="3"/>
        </w:numPr>
      </w:pPr>
      <w:r>
        <w:t xml:space="preserve"> </w:t>
      </w:r>
    </w:p>
    <w:p>
      <w:pPr>
        <w:pStyle w:val="Compact"/>
        <w:numPr>
          <w:numId w:val="1000"/>
          <w:ilvl w:val="3"/>
        </w:numPr>
      </w:pPr>
      <w:r>
        <w:t xml:space="preserve"> </w:t>
      </w:r>
    </w:p>
    <w:p>
      <w:pPr>
        <w:pStyle w:val="Compact"/>
        <w:numPr>
          <w:numId w:val="1027"/>
          <w:ilvl w:val="4"/>
        </w:numPr>
      </w:pPr>
      <w:r>
        <w:t xml:space="preserve">Тест на беременность</w:t>
      </w:r>
      <w:r>
        <w:t xml:space="preserve"> </w:t>
      </w:r>
      <w:r>
        <w:t xml:space="preserve">6</w:t>
      </w:r>
    </w:p>
    <w:p>
      <w:pPr>
        <w:pStyle w:val="Compact"/>
        <w:numPr>
          <w:numId w:val="1000"/>
          <w:ilvl w:val="4"/>
        </w:numPr>
      </w:pPr>
      <w:r>
        <w:t xml:space="preserve">Да</w:t>
      </w:r>
    </w:p>
    <w:p>
      <w:pPr>
        <w:pStyle w:val="Compact"/>
        <w:numPr>
          <w:numId w:val="1000"/>
          <w:ilvl w:val="4"/>
        </w:numPr>
      </w:pPr>
      <w:r>
        <w:t xml:space="preserve">Да</w:t>
      </w:r>
    </w:p>
    <w:p>
      <w:pPr>
        <w:pStyle w:val="Compact"/>
        <w:numPr>
          <w:numId w:val="1000"/>
          <w:ilvl w:val="4"/>
        </w:numPr>
      </w:pPr>
      <w:r>
        <w:t xml:space="preserve"> </w:t>
      </w:r>
    </w:p>
    <w:p>
      <w:pPr>
        <w:pStyle w:val="Compact"/>
        <w:numPr>
          <w:numId w:val="1000"/>
          <w:ilvl w:val="4"/>
        </w:numPr>
      </w:pPr>
      <w:r>
        <w:t xml:space="preserve"> </w:t>
      </w:r>
    </w:p>
    <w:p>
      <w:pPr>
        <w:pStyle w:val="Compact"/>
        <w:numPr>
          <w:numId w:val="1000"/>
          <w:ilvl w:val="4"/>
        </w:numPr>
      </w:pPr>
      <w:r>
        <w:t xml:space="preserve"> </w:t>
      </w:r>
    </w:p>
    <w:p>
      <w:pPr>
        <w:pStyle w:val="Compact"/>
        <w:numPr>
          <w:numId w:val="1000"/>
          <w:ilvl w:val="4"/>
        </w:numPr>
      </w:pPr>
      <w:r>
        <w:t xml:space="preserve"> </w:t>
      </w:r>
    </w:p>
    <w:p>
      <w:pPr>
        <w:pStyle w:val="Compact"/>
        <w:numPr>
          <w:numId w:val="1000"/>
          <w:ilvl w:val="4"/>
        </w:numPr>
      </w:pPr>
      <w:r>
        <w:t xml:space="preserve"> </w:t>
      </w:r>
    </w:p>
    <w:p>
      <w:pPr>
        <w:pStyle w:val="Compact"/>
        <w:numPr>
          <w:numId w:val="1028"/>
          <w:ilvl w:val="5"/>
        </w:numPr>
      </w:pPr>
      <w:r>
        <w:t xml:space="preserve">Общий анализ крови</w:t>
      </w:r>
    </w:p>
    <w:p>
      <w:pPr>
        <w:pStyle w:val="Compact"/>
        <w:numPr>
          <w:numId w:val="1000"/>
          <w:ilvl w:val="5"/>
        </w:numPr>
      </w:pPr>
      <w:r>
        <w:t xml:space="preserve">Да</w:t>
      </w:r>
    </w:p>
    <w:p>
      <w:pPr>
        <w:pStyle w:val="Compact"/>
        <w:numPr>
          <w:numId w:val="1000"/>
          <w:ilvl w:val="5"/>
        </w:numPr>
      </w:pPr>
      <w:r>
        <w:t xml:space="preserve">Да</w:t>
      </w:r>
    </w:p>
    <w:p>
      <w:pPr>
        <w:pStyle w:val="Compact"/>
        <w:numPr>
          <w:numId w:val="1000"/>
          <w:ilvl w:val="5"/>
        </w:numPr>
      </w:pPr>
      <w:r>
        <w:t xml:space="preserve">Да</w:t>
      </w:r>
    </w:p>
    <w:p>
      <w:pPr>
        <w:pStyle w:val="Compact"/>
        <w:numPr>
          <w:numId w:val="1000"/>
          <w:ilvl w:val="5"/>
        </w:numPr>
      </w:pPr>
      <w:r>
        <w:t xml:space="preserve">Да</w:t>
      </w:r>
    </w:p>
    <w:p>
      <w:pPr>
        <w:pStyle w:val="Compact"/>
        <w:numPr>
          <w:numId w:val="1000"/>
          <w:ilvl w:val="5"/>
        </w:numPr>
      </w:pPr>
      <w:r>
        <w:t xml:space="preserve">Да</w:t>
      </w:r>
    </w:p>
    <w:p>
      <w:pPr>
        <w:pStyle w:val="Compact"/>
        <w:numPr>
          <w:numId w:val="1029"/>
          <w:ilvl w:val="6"/>
        </w:numPr>
      </w:pPr>
      <w:r>
        <w:t xml:space="preserve">Биохимический анализ</w:t>
      </w:r>
    </w:p>
    <w:p>
      <w:pPr>
        <w:pStyle w:val="Compact"/>
        <w:numPr>
          <w:numId w:val="1000"/>
          <w:ilvl w:val="6"/>
        </w:numPr>
      </w:pPr>
      <w:r>
        <w:t xml:space="preserve">Да</w:t>
      </w:r>
    </w:p>
    <w:p>
      <w:pPr>
        <w:pStyle w:val="Compact"/>
        <w:numPr>
          <w:numId w:val="1000"/>
          <w:ilvl w:val="6"/>
        </w:numPr>
      </w:pPr>
      <w:r>
        <w:t xml:space="preserve"> </w:t>
      </w:r>
    </w:p>
    <w:p>
      <w:pPr>
        <w:pStyle w:val="Compact"/>
        <w:numPr>
          <w:numId w:val="1000"/>
          <w:ilvl w:val="6"/>
        </w:numPr>
      </w:pPr>
      <w:r>
        <w:t xml:space="preserve">Да</w:t>
      </w:r>
    </w:p>
    <w:p>
      <w:pPr>
        <w:pStyle w:val="Compact"/>
        <w:numPr>
          <w:numId w:val="1000"/>
          <w:ilvl w:val="6"/>
        </w:numPr>
      </w:pPr>
      <w:r>
        <w:t xml:space="preserve">Да</w:t>
      </w:r>
    </w:p>
    <w:p>
      <w:pPr>
        <w:pStyle w:val="Compact"/>
        <w:numPr>
          <w:numId w:val="1000"/>
          <w:ilvl w:val="6"/>
        </w:numPr>
      </w:pPr>
      <w:r>
        <w:t xml:space="preserve">Да</w:t>
      </w:r>
    </w:p>
    <w:p>
      <w:pPr>
        <w:pStyle w:val="Compact"/>
        <w:numPr>
          <w:numId w:val="1000"/>
          <w:ilvl w:val="6"/>
        </w:numPr>
      </w:pPr>
      <w:r>
        <w:t xml:space="preserve">Да</w:t>
      </w:r>
    </w:p>
    <w:p>
      <w:pPr>
        <w:pStyle w:val="Compact"/>
        <w:numPr>
          <w:numId w:val="1030"/>
          <w:ilvl w:val="7"/>
        </w:numPr>
      </w:pPr>
      <w:r>
        <w:t xml:space="preserve">Фармакокинетика</w:t>
      </w:r>
      <w:r>
        <w:t xml:space="preserve"> </w:t>
      </w:r>
      <w:r>
        <w:t xml:space="preserve">7</w:t>
      </w:r>
    </w:p>
    <w:p>
      <w:pPr>
        <w:pStyle w:val="Compact"/>
        <w:numPr>
          <w:numId w:val="1000"/>
          <w:ilvl w:val="7"/>
        </w:numPr>
      </w:pPr>
      <w:r>
        <w:t xml:space="preserve"> </w:t>
      </w:r>
    </w:p>
    <w:p>
      <w:pPr>
        <w:pStyle w:val="Compact"/>
        <w:numPr>
          <w:numId w:val="1000"/>
          <w:ilvl w:val="7"/>
        </w:numPr>
      </w:pPr>
      <w:r>
        <w:t xml:space="preserve"> </w:t>
      </w:r>
    </w:p>
    <w:p>
      <w:pPr>
        <w:pStyle w:val="Compact"/>
        <w:numPr>
          <w:numId w:val="1000"/>
          <w:ilvl w:val="7"/>
        </w:numPr>
      </w:pPr>
      <w:r>
        <w:t xml:space="preserve">Да</w:t>
      </w:r>
    </w:p>
    <w:p>
      <w:pPr>
        <w:pStyle w:val="Compact"/>
        <w:numPr>
          <w:numId w:val="1000"/>
          <w:ilvl w:val="7"/>
        </w:numPr>
      </w:pPr>
      <w:r>
        <w:t xml:space="preserve">Да</w:t>
      </w:r>
    </w:p>
    <w:p>
      <w:pPr>
        <w:pStyle w:val="Compact"/>
        <w:numPr>
          <w:numId w:val="1000"/>
          <w:ilvl w:val="7"/>
        </w:numPr>
      </w:pPr>
      <w:r>
        <w:t xml:space="preserve">Да</w:t>
      </w:r>
    </w:p>
    <w:p>
      <w:pPr>
        <w:pStyle w:val="Compact"/>
        <w:numPr>
          <w:numId w:val="1000"/>
          <w:ilvl w:val="7"/>
        </w:numPr>
      </w:pPr>
      <w:r>
        <w:t xml:space="preserve">Да</w:t>
      </w:r>
    </w:p>
    <w:p>
      <w:pPr>
        <w:pStyle w:val="Compact"/>
        <w:numPr>
          <w:numId w:val="1000"/>
          <w:ilvl w:val="7"/>
        </w:numPr>
      </w:pPr>
      <w:r>
        <w:t xml:space="preserve">Да</w:t>
      </w:r>
    </w:p>
    <w:p>
      <w:pPr>
        <w:pStyle w:val="Compact"/>
        <w:numPr>
          <w:numId w:val="1000"/>
          <w:ilvl w:val="7"/>
        </w:numPr>
      </w:pPr>
      <w:r>
        <w:t xml:space="preserve"> Да</w:t>
      </w:r>
    </w:p>
    <w:p>
      <w:pPr>
        <w:pStyle w:val="Compact"/>
        <w:numPr>
          <w:numId w:val="1031"/>
          <w:ilvl w:val="8"/>
        </w:numPr>
      </w:pPr>
      <w:r>
        <w:t xml:space="preserve">Фармакодинамика (ex vivo стимулированная IFNγ)</w:t>
      </w:r>
      <w:r>
        <w:t xml:space="preserve"> </w:t>
      </w:r>
      <w:r>
        <w:t xml:space="preserve">8</w:t>
      </w:r>
    </w:p>
    <w:p>
      <w:pPr>
        <w:pStyle w:val="Compact"/>
        <w:numPr>
          <w:numId w:val="1000"/>
          <w:ilvl w:val="8"/>
        </w:numPr>
      </w:pPr>
      <w:r>
        <w:t xml:space="preserve"> </w:t>
      </w:r>
    </w:p>
    <w:p>
      <w:pPr>
        <w:pStyle w:val="Compact"/>
        <w:numPr>
          <w:numId w:val="1000"/>
          <w:ilvl w:val="8"/>
        </w:numPr>
      </w:pPr>
      <w:r>
        <w:t xml:space="preserve">Да</w:t>
      </w:r>
    </w:p>
    <w:p>
      <w:pPr>
        <w:pStyle w:val="Compact"/>
        <w:numPr>
          <w:numId w:val="1000"/>
          <w:ilvl w:val="8"/>
        </w:numPr>
      </w:pPr>
      <w:r>
        <w:t xml:space="preserve">Да</w:t>
      </w:r>
    </w:p>
    <w:p>
      <w:pPr>
        <w:pStyle w:val="Compact"/>
        <w:numPr>
          <w:numId w:val="1000"/>
          <w:ilvl w:val="8"/>
        </w:numPr>
      </w:pPr>
      <w:r>
        <w:t xml:space="preserve">Да</w:t>
      </w:r>
    </w:p>
    <w:p>
      <w:pPr>
        <w:pStyle w:val="Compact"/>
        <w:numPr>
          <w:numId w:val="1000"/>
          <w:ilvl w:val="8"/>
        </w:numPr>
      </w:pPr>
      <w:r>
        <w:t xml:space="preserve">Да</w:t>
      </w:r>
    </w:p>
    <w:p>
      <w:pPr>
        <w:pStyle w:val="Compact"/>
        <w:numPr>
          <w:numId w:val="1000"/>
          <w:ilvl w:val="8"/>
        </w:numPr>
      </w:pPr>
      <w:r>
        <w:t xml:space="preserve">Да</w:t>
      </w:r>
    </w:p>
    <w:p>
      <w:pPr>
        <w:pStyle w:val="Compact"/>
        <w:numPr>
          <w:numId w:val="1032"/>
          <w:ilvl w:val="9"/>
        </w:numPr>
      </w:pPr>
      <w:r>
        <w:t xml:space="preserve">Анализ мочи</w:t>
      </w:r>
    </w:p>
    <w:p>
      <w:pPr>
        <w:pStyle w:val="Compact"/>
        <w:numPr>
          <w:numId w:val="1000"/>
          <w:ilvl w:val="9"/>
        </w:numPr>
      </w:pPr>
      <w:r>
        <w:t xml:space="preserve">Да</w:t>
      </w:r>
    </w:p>
    <w:p>
      <w:pPr>
        <w:pStyle w:val="Compact"/>
        <w:numPr>
          <w:numId w:val="1000"/>
          <w:ilvl w:val="9"/>
        </w:numPr>
      </w:pPr>
      <w:r>
        <w:t xml:space="preserve"> </w:t>
      </w:r>
    </w:p>
    <w:p>
      <w:pPr>
        <w:pStyle w:val="Compact"/>
        <w:numPr>
          <w:numId w:val="1000"/>
          <w:ilvl w:val="9"/>
        </w:numPr>
      </w:pPr>
      <w:r>
        <w:t xml:space="preserve">Да</w:t>
      </w:r>
    </w:p>
    <w:p>
      <w:pPr>
        <w:pStyle w:val="Compact"/>
        <w:numPr>
          <w:numId w:val="1000"/>
          <w:ilvl w:val="9"/>
        </w:numPr>
      </w:pPr>
      <w:r>
        <w:t xml:space="preserve">Да</w:t>
      </w:r>
    </w:p>
    <w:p>
      <w:pPr>
        <w:pStyle w:val="Compact"/>
        <w:numPr>
          <w:numId w:val="1000"/>
          <w:ilvl w:val="9"/>
        </w:numPr>
      </w:pPr>
      <w:r>
        <w:t xml:space="preserve">Да</w:t>
      </w:r>
    </w:p>
    <w:p>
      <w:pPr>
        <w:pStyle w:val="Compact"/>
        <w:numPr>
          <w:numId w:val="1000"/>
          <w:ilvl w:val="9"/>
        </w:numPr>
      </w:pPr>
      <w:r>
        <w:t xml:space="preserve">Да</w:t>
      </w:r>
    </w:p>
    <w:p>
      <w:pPr>
        <w:pStyle w:val="Compact"/>
        <w:numPr>
          <w:numId w:val="1000"/>
          <w:ilvl w:val="9"/>
        </w:numPr>
      </w:pPr>
      <w:r>
        <w:t xml:space="preserve">Оценка критериев включения/исключения</w:t>
      </w:r>
    </w:p>
    <w:p>
      <w:pPr>
        <w:pStyle w:val="Compact"/>
        <w:numPr>
          <w:numId w:val="1000"/>
          <w:ilvl w:val="9"/>
        </w:numPr>
      </w:pPr>
      <w:r>
        <w:t xml:space="preserve">Да</w:t>
      </w:r>
    </w:p>
    <w:p>
      <w:pPr>
        <w:pStyle w:val="Compact"/>
        <w:numPr>
          <w:numId w:val="1000"/>
          <w:ilvl w:val="9"/>
        </w:numPr>
      </w:pPr>
      <w:r>
        <w:t xml:space="preserve">Да</w:t>
      </w:r>
    </w:p>
    <w:p>
      <w:pPr>
        <w:pStyle w:val="Compact"/>
        <w:numPr>
          <w:numId w:val="1000"/>
          <w:ilvl w:val="9"/>
        </w:numPr>
      </w:pPr>
      <w:r>
        <w:t xml:space="preserve">Да</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Рандомизация</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Да</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Госпитализация</w:t>
      </w:r>
      <w:r>
        <w:t xml:space="preserve"> </w:t>
      </w:r>
      <w:r>
        <w:t xml:space="preserve">9</w:t>
      </w:r>
    </w:p>
    <w:p>
      <w:pPr>
        <w:pStyle w:val="Compact"/>
        <w:numPr>
          <w:numId w:val="1000"/>
          <w:ilvl w:val="9"/>
        </w:numPr>
      </w:pPr>
      <w:r>
        <w:t xml:space="preserve"> </w:t>
      </w:r>
    </w:p>
    <w:p>
      <w:pPr>
        <w:pStyle w:val="Compact"/>
        <w:numPr>
          <w:numId w:val="1000"/>
          <w:ilvl w:val="9"/>
        </w:numPr>
      </w:pPr>
      <w:r>
        <w:t xml:space="preserve">Да</w:t>
      </w:r>
    </w:p>
    <w:p>
      <w:pPr>
        <w:pStyle w:val="Compact"/>
        <w:numPr>
          <w:numId w:val="1000"/>
          <w:ilvl w:val="9"/>
        </w:numPr>
      </w:pPr>
      <w:r>
        <w:t xml:space="preserve">(в конце дня)</w:t>
      </w:r>
    </w:p>
    <w:p>
      <w:pPr>
        <w:pStyle w:val="Compact"/>
        <w:numPr>
          <w:numId w:val="1000"/>
          <w:ilvl w:val="9"/>
        </w:numPr>
      </w:pPr>
      <w:r>
        <w:t xml:space="preserve">Да</w:t>
      </w:r>
    </w:p>
    <w:p>
      <w:pPr>
        <w:pStyle w:val="Compact"/>
        <w:numPr>
          <w:numId w:val="1000"/>
          <w:ilvl w:val="9"/>
        </w:numPr>
      </w:pPr>
      <w:r>
        <w:t xml:space="preserve">Да</w:t>
      </w:r>
    </w:p>
    <w:p>
      <w:pPr>
        <w:pStyle w:val="Compact"/>
        <w:numPr>
          <w:numId w:val="1000"/>
          <w:ilvl w:val="9"/>
        </w:numPr>
      </w:pPr>
      <w:r>
        <w:t xml:space="preserve">Да</w:t>
      </w:r>
    </w:p>
    <w:p>
      <w:pPr>
        <w:pStyle w:val="Compact"/>
        <w:numPr>
          <w:numId w:val="1000"/>
          <w:ilvl w:val="9"/>
        </w:numPr>
      </w:pPr>
      <w:r>
        <w:t xml:space="preserve">Да</w:t>
      </w:r>
    </w:p>
    <w:p>
      <w:pPr>
        <w:pStyle w:val="Compact"/>
        <w:numPr>
          <w:numId w:val="1000"/>
          <w:ilvl w:val="9"/>
        </w:numPr>
      </w:pPr>
      <w:r>
        <w:t xml:space="preserve">(утром)</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Администрирование лекарства в месте проведения исследования</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Да</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 </w:t>
      </w:r>
    </w:p>
    <w:p>
      <w:pPr>
        <w:pStyle w:val="Compact"/>
        <w:numPr>
          <w:numId w:val="1000"/>
          <w:ilvl w:val="9"/>
        </w:numPr>
      </w:pPr>
      <w:r>
        <w:t xml:space="preserve">Сопутствующие лекарства и побочные эффекты</w:t>
      </w:r>
    </w:p>
    <w:p>
      <w:pPr>
        <w:pStyle w:val="Compact"/>
        <w:numPr>
          <w:numId w:val="1000"/>
          <w:ilvl w:val="9"/>
        </w:numPr>
      </w:pPr>
      <w:r>
        <w:t xml:space="preserve">Да</w:t>
      </w:r>
    </w:p>
    <w:p>
      <w:pPr>
        <w:pStyle w:val="Compact"/>
        <w:numPr>
          <w:numId w:val="1000"/>
          <w:ilvl w:val="9"/>
        </w:numPr>
      </w:pPr>
      <w:r>
        <w:t xml:space="preserve">Да </w:t>
      </w:r>
    </w:p>
    <w:p>
      <w:pPr>
        <w:pStyle w:val="Compact"/>
        <w:numPr>
          <w:numId w:val="1000"/>
          <w:ilvl w:val="9"/>
        </w:numPr>
      </w:pPr>
      <w:r>
        <w:t xml:space="preserve">Да</w:t>
      </w:r>
    </w:p>
    <w:p>
      <w:pPr>
        <w:pStyle w:val="Compact"/>
        <w:numPr>
          <w:numId w:val="1000"/>
          <w:ilvl w:val="9"/>
        </w:numPr>
      </w:pPr>
      <w:r>
        <w:t xml:space="preserve">Да</w:t>
      </w:r>
    </w:p>
    <w:p>
      <w:pPr>
        <w:pStyle w:val="Compact"/>
        <w:numPr>
          <w:numId w:val="1000"/>
          <w:ilvl w:val="9"/>
        </w:numPr>
      </w:pPr>
      <w:r>
        <w:t xml:space="preserve">Да</w:t>
      </w:r>
    </w:p>
    <w:p>
      <w:pPr>
        <w:pStyle w:val="Compact"/>
        <w:numPr>
          <w:numId w:val="1000"/>
          <w:ilvl w:val="9"/>
        </w:numPr>
      </w:pPr>
      <w:r>
        <w:t xml:space="preserve">Да</w:t>
      </w:r>
    </w:p>
    <w:p>
      <w:pPr>
        <w:pStyle w:val="Compact"/>
        <w:numPr>
          <w:numId w:val="1000"/>
          <w:ilvl w:val="9"/>
        </w:numPr>
      </w:pPr>
      <w:r>
        <w:t xml:space="preserve">Да</w:t>
      </w:r>
    </w:p>
    <w:p>
      <w:pPr>
        <w:pStyle w:val="Compact"/>
        <w:numPr>
          <w:numId w:val="1000"/>
          <w:ilvl w:val="9"/>
        </w:numPr>
      </w:pPr>
      <w:r>
        <w:t xml:space="preserve">Да</w:t>
      </w:r>
    </w:p>
    <w:p>
      <w:pPr>
        <w:pStyle w:val="BlockText"/>
      </w:pPr>
      <w:r>
        <w:t xml:space="preserve">Аббревиатуры: D – День, SD – лекарство для поддержания сна, ET – досрочное прекращение</w:t>
      </w:r>
      <w:r>
        <w:t xml:space="preserve"> </w:t>
      </w:r>
      <w:r>
        <w:rPr>
          <w:vertAlign w:val="superscript"/>
        </w:rPr>
        <w:t xml:space="preserve">1</w:t>
      </w:r>
      <w:r>
        <w:t xml:space="preserve"> </w:t>
      </w:r>
      <w:r>
        <w:t xml:space="preserve">Рост измеряется один раз на этапе скрининга. Индекс массы тела рассчитывается по формуле: BMI = вес / (рост)</w:t>
      </w:r>
      <w:r>
        <w:rPr>
          <w:vertAlign w:val="superscript"/>
        </w:rPr>
        <w:t xml:space="preserve">2</w:t>
      </w:r>
      <w:r>
        <w:t xml:space="preserve"> </w:t>
      </w:r>
      <w:r>
        <w:t xml:space="preserve">(кг/м</w:t>
      </w:r>
      <w:r>
        <w:rPr>
          <w:vertAlign w:val="superscript"/>
        </w:rPr>
        <w:t xml:space="preserve">2</w:t>
      </w:r>
      <w:r>
        <w:t xml:space="preserve">), и измеряется только на этапе скрининга. Во время последующих визитов, при необходимости, измеряется только вес.</w:t>
      </w:r>
      <w:r>
        <w:t xml:space="preserve"> </w:t>
      </w:r>
      <w:r>
        <w:rPr>
          <w:vertAlign w:val="superscript"/>
        </w:rPr>
        <w:t xml:space="preserve">2</w:t>
      </w:r>
      <w:r>
        <w:t xml:space="preserve"> </w:t>
      </w:r>
      <w:r>
        <w:t xml:space="preserve">В День 0 проводятся измерение жизненно важных показателей и ЭКГ до приема и через 4 часа после приема SD. Если время этих процедур совпадает со временем сбора образцов для фармакокинетических исследований, процедуры проводятся строго после сбора образцов.</w:t>
      </w:r>
      <w:r>
        <w:t xml:space="preserve"> </w:t>
      </w:r>
      <w:r>
        <w:rPr>
          <w:vertAlign w:val="superscript"/>
        </w:rPr>
        <w:t xml:space="preserve">3</w:t>
      </w:r>
      <w:r>
        <w:t xml:space="preserve"> </w:t>
      </w:r>
      <w:r>
        <w:t xml:space="preserve">Анализ мочи на наличие наркотических веществ проводится на месте с использованием тест-полоски. Моча анализируется на наличие опиоидных веществ и мощных лекарств, таких как морфин, амфетамин, метамфетамин, кокаин, марихуана, бензодиазепины, метон, фенокциклидин.</w:t>
      </w:r>
      <w:r>
        <w:t xml:space="preserve"> </w:t>
      </w:r>
      <w:r>
        <w:rPr>
          <w:vertAlign w:val="superscript"/>
        </w:rPr>
        <w:t xml:space="preserve">4</w:t>
      </w:r>
      <w:r>
        <w:t xml:space="preserve"> </w:t>
      </w:r>
      <w:r>
        <w:t xml:space="preserve">Тест на содержание алкоголя в выдыхаемом воздухе проводится на месте.</w:t>
      </w:r>
      <w:r>
        <w:t xml:space="preserve"> </w:t>
      </w:r>
      <w:r>
        <w:rPr>
          <w:vertAlign w:val="superscript"/>
        </w:rPr>
        <w:t xml:space="preserve">5</w:t>
      </w:r>
      <w:r>
        <w:t xml:space="preserve"> </w:t>
      </w:r>
      <w:r>
        <w:t xml:space="preserve">Тест на содержание котинина в моче проводится на месте с использованием тест-полоски.</w:t>
      </w:r>
      <w:r>
        <w:t xml:space="preserve"> </w:t>
      </w:r>
      <w:r>
        <w:rPr>
          <w:vertAlign w:val="superscript"/>
        </w:rPr>
        <w:t xml:space="preserve">6</w:t>
      </w:r>
      <w:r>
        <w:t xml:space="preserve"> </w:t>
      </w:r>
      <w:r>
        <w:t xml:space="preserve">Тест на беременность проводится путем быстрого определения наличия β-субъединицы хорионической гонадотропины (β-hCG) в моче с использованием тест-полоски на месте проведения исследования. Тест на беременность должен проводиться для всех женщин детородного возраста, включая женщин, которые находятся в состоянии менопаузы менее двух лет.</w:t>
      </w:r>
      <w:r>
        <w:t xml:space="preserve"> </w:t>
      </w:r>
      <w:r>
        <w:rPr>
          <w:vertAlign w:val="superscript"/>
        </w:rPr>
        <w:t xml:space="preserve">7</w:t>
      </w:r>
      <w:r>
        <w:t xml:space="preserve"> </w:t>
      </w:r>
      <w:r>
        <w:t xml:space="preserve">Образцы крови для фармакокинетических исследований собираются до приема, через 15 мин, 30 мин, 45 мин, 1 час, 1 час 30 мин, 2 часа, 3 часа, 4 часа, 5 часов, 6 часов, 8 часов, 12 часов, 24 часа, 48 часов и 72 часа после первой дозы исследуемого препарата, а также в День 7.</w:t>
      </w:r>
      <w:r>
        <w:t xml:space="preserve"> </w:t>
      </w:r>
      <w:r>
        <w:rPr>
          <w:vertAlign w:val="superscript"/>
        </w:rPr>
        <w:t xml:space="preserve">8</w:t>
      </w:r>
      <w:r>
        <w:t xml:space="preserve"> </w:t>
      </w:r>
      <w:r>
        <w:t xml:space="preserve">Образцы крови для фармакокинетических исследований в День 0 собираются до приема и через 1 час, 2 часа, 3 часа, 4 часа, 6 часов, 8 часов и 12 часов после приема SD, а также в День 7.</w:t>
      </w:r>
      <w:r>
        <w:t xml:space="preserve"> </w:t>
      </w:r>
      <w:r>
        <w:rPr>
          <w:vertAlign w:val="superscript"/>
        </w:rPr>
        <w:t xml:space="preserve">9</w:t>
      </w:r>
      <w:r>
        <w:t xml:space="preserve"> </w:t>
      </w:r>
      <w:r>
        <w:t xml:space="preserve">Участники будут помещены в место проведения исследования накануне периода однократного приема (День -1) и останутся в стационаре не менее 72 часов после первой дозы исследуемого препарата (День 0 – День 3).</w:t>
      </w:r>
    </w:p>
    <w:p>
      <w:pPr>
        <w:pStyle w:val="FirstParagraph"/>
      </w:pPr>
      <w:r>
        <w:t xml:space="preserve">Таблица 2.</w:t>
      </w:r>
      <w:r>
        <w:t xml:space="preserve"> </w:t>
      </w:r>
      <w:r>
        <w:rPr>
          <w:b/>
        </w:rPr>
        <w:t xml:space="preserve">График обследований</w:t>
      </w:r>
      <w:r>
        <w:t xml:space="preserve">: PSR-L08-0623 (группы с многократным применением)</w:t>
      </w:r>
    </w:p>
    <w:p>
      <w:pPr>
        <w:pStyle w:val="7"/>
      </w:pPr>
      <w:r>
        <w:t xml:space="preserve">** For better understanding, it’s essential to have accurate translations of the Russian terms.</w:t>
      </w:r>
    </w:p>
    <w:p>
      <w:pPr>
        <w:pStyle w:val="7"/>
      </w:pPr>
      <w:r>
        <w:t xml:space="preserve">If you can provide more context about the research study (e.g., its purpose, the type of study), I can provide a more detailed and accurate explanation.</w:t>
      </w:r>
    </w:p>
    <w:p>
      <w:pPr>
        <w:pStyle w:val="BlockText"/>
      </w:pPr>
      <w:r>
        <w:t xml:space="preserve">Аббревиатуры: D – День, SD – препарат для приема перед сном, ET – раннее прекращение</w:t>
      </w:r>
      <w:r>
        <w:t xml:space="preserve"> </w:t>
      </w:r>
      <w:r>
        <w:rPr>
          <w:vertAlign w:val="superscript"/>
        </w:rPr>
        <w:t xml:space="preserve">1</w:t>
      </w:r>
      <w:r>
        <w:t xml:space="preserve"> </w:t>
      </w:r>
      <w:r>
        <w:t xml:space="preserve">Рост измеряется один раз на этапе скрининга. Индекс массы тела рассчитывается по формуле: BMI = вес / (рост)</w:t>
      </w:r>
      <w:r>
        <w:rPr>
          <w:vertAlign w:val="superscript"/>
        </w:rPr>
        <w:t xml:space="preserve">2</w:t>
      </w:r>
      <w:r>
        <w:t xml:space="preserve"> </w:t>
      </w:r>
      <w:r>
        <w:t xml:space="preserve">(кг/м</w:t>
      </w:r>
      <w:r>
        <w:rPr>
          <w:vertAlign w:val="superscript"/>
        </w:rPr>
        <w:t xml:space="preserve">2</w:t>
      </w:r>
      <w:r>
        <w:t xml:space="preserve">).</w:t>
      </w:r>
      <w:r>
        <w:t xml:space="preserve"> </w:t>
      </w:r>
      <w:r>
        <w:rPr>
          <w:vertAlign w:val="superscript"/>
        </w:rPr>
        <w:t xml:space="preserve">2</w:t>
      </w:r>
      <w:r>
        <w:t xml:space="preserve"> </w:t>
      </w:r>
      <w:r>
        <w:t xml:space="preserve">В день 0 проводятся измерение жизненно важных показателей и ЭКГ до приема и через 4 часа после приема SD. Если время проведения этих процедур совпадает со временем сбора образцов для фармакокинетических исследований, процедуры проводятся строго после сбора образцов.</w:t>
      </w:r>
      <w:r>
        <w:t xml:space="preserve"> </w:t>
      </w:r>
      <w:r>
        <w:rPr>
          <w:vertAlign w:val="superscript"/>
        </w:rPr>
        <w:t xml:space="preserve">3</w:t>
      </w:r>
      <w:r>
        <w:t xml:space="preserve"> </w:t>
      </w:r>
      <w:r>
        <w:t xml:space="preserve">Анализ мочи на наличие наркотических веществ проводится на месте с использованием тест-полоски. Моча анализируется на наличие опиоидных веществ и других мощных препаратов, таких как морфин, амфетамин, метамфетамин, кокаин, марихуана, бензодиазепины, метон, феноксилпидин.</w:t>
      </w:r>
      <w:r>
        <w:t xml:space="preserve"> </w:t>
      </w:r>
      <w:r>
        <w:rPr>
          <w:vertAlign w:val="superscript"/>
        </w:rPr>
        <w:t xml:space="preserve">4</w:t>
      </w:r>
      <w:r>
        <w:t xml:space="preserve"> </w:t>
      </w:r>
      <w:r>
        <w:t xml:space="preserve">Тест на содержание алкоголя в выдыхаемом воздухе проводится на месте.</w:t>
      </w:r>
      <w:r>
        <w:t xml:space="preserve"> </w:t>
      </w:r>
      <w:r>
        <w:rPr>
          <w:vertAlign w:val="superscript"/>
        </w:rPr>
        <w:t xml:space="preserve">5</w:t>
      </w:r>
      <w:r>
        <w:t xml:space="preserve"> </w:t>
      </w:r>
      <w:r>
        <w:t xml:space="preserve">Тест на содержание котинолина в моче проводится на месте с использованием тест-полоски.</w:t>
      </w:r>
      <w:r>
        <w:t xml:space="preserve"> </w:t>
      </w:r>
      <w:r>
        <w:rPr>
          <w:vertAlign w:val="superscript"/>
        </w:rPr>
        <w:t xml:space="preserve">6</w:t>
      </w:r>
      <w:r>
        <w:t xml:space="preserve"> </w:t>
      </w:r>
      <w:r>
        <w:t xml:space="preserve">Тест на беременность проводится путем быстрого определения наличия β-субъединицы хорионического гонадотропина (β-hCG) в моче с использованием тест-полоски в месте проведения исследования. Тест на беременность должен проводиться у всех женщин детородного возраста, включая тех, кто находился в менопаузе менее двух лет.</w:t>
      </w:r>
      <w:r>
        <w:t xml:space="preserve"> </w:t>
      </w:r>
      <w:r>
        <w:rPr>
          <w:vertAlign w:val="superscript"/>
        </w:rPr>
        <w:t xml:space="preserve">7</w:t>
      </w:r>
      <w:r>
        <w:t xml:space="preserve"> </w:t>
      </w:r>
      <w:r>
        <w:t xml:space="preserve">Образцы для фармакокинетического анализа крови собираются до приема, через 15 мин, 30 мин, 45 мин, 1 час, 1 час 30 мин, 2 часа, 3 часа, 4 часа, 5 часов, 6 часов, 8 часов, 12 часов, 24 часа, 48 часов и 72 часа после первой дозы препарата.</w:t>
      </w:r>
      <w:r>
        <w:t xml:space="preserve"> </w:t>
      </w:r>
      <w:r>
        <w:rPr>
          <w:vertAlign w:val="superscript"/>
        </w:rPr>
        <w:t xml:space="preserve">8</w:t>
      </w:r>
      <w:r>
        <w:t xml:space="preserve"> </w:t>
      </w:r>
      <w:r>
        <w:t xml:space="preserve">Образцы для фармакокинетического анализа крови в день 0 и день 6 собираются до приема и через 1 час, 2 часа, 3 часа, 4 часа, 6 часов, 8 часов и 12 часов после приема SD.</w:t>
      </w:r>
      <w:r>
        <w:t xml:space="preserve"> </w:t>
      </w:r>
      <w:r>
        <w:rPr>
          <w:vertAlign w:val="superscript"/>
        </w:rPr>
        <w:t xml:space="preserve">9</w:t>
      </w:r>
      <w:r>
        <w:t xml:space="preserve"> </w:t>
      </w:r>
      <w:r>
        <w:t xml:space="preserve">Участников исследования будут принимать на месте проведения исследования накануне первой дозы (День -1) и оставаться в стационаре в течение 10 дней (День -1 – День 9).</w:t>
      </w:r>
    </w:p>
    <w:p>
      <w:pPr>
        <w:pStyle w:val="FirstParagraph"/>
      </w:pPr>
      <w:r>
        <w:t xml:space="preserve">Обоснование дизайна исследования</w:t>
      </w:r>
    </w:p>
    <w:p>
      <w:pPr>
        <w:pStyle w:val="7"/>
      </w:pPr>
      <w:r>
        <w:t xml:space="preserve">Компания BetaRex LLC разрабатывает новый препарат - L08-0623. L08-0623 – это новый селективный аллостерический ингибитор TYK2, который разрабатывается для лечения псориаза и других аутоиммунных заболеваний. В настоящее время единственный доступный на рынке пероральный селективный ингибитор TYK2, деукравацитин (Sotyktu), не одобрен для использования в России. Высокая функциональная селективность L08-0623 для TYK2 по сравнению с ингибиторами JAK 1/2/3 может привести к уменьшению побочных эффектов и более благоприятному профилю безопасности по сравнению с доступными ингибиторами JAK 1/2/3.</w:t>
      </w:r>
    </w:p>
    <w:p>
      <w:pPr>
        <w:pStyle w:val="7"/>
      </w:pPr>
      <w:r>
        <w:t xml:space="preserve">Это первое исследование в отношении человека, которое в основном направлено на оценку безопасности и переносимости препарата.</w:t>
      </w:r>
    </w:p>
    <w:p>
      <w:pPr>
        <w:pStyle w:val="7"/>
      </w:pPr>
      <w:r>
        <w:t xml:space="preserve">Во время исследования будут отслеживаться параметры безопасности, и данные об нежелательных явлениях будут собираться в максимально возможной степени для первого исследования препарата в отношении здоровых добровольцев. В период однократного приема участники останутся на месте проведения исследования в течение 3 дней после приема препарата. В период многократного приема участники останутся на месте проведения исследования на протяжении всего периода терапии SD с целью мониторинга безопасности.</w:t>
      </w:r>
    </w:p>
    <w:p>
      <w:pPr>
        <w:pStyle w:val="7"/>
      </w:pPr>
      <w:r>
        <w:t xml:space="preserve">Учитывая запланированную оценку параметров фармакокинетики и фармадинамики, препарат будет приниматься натощак и после еды.</w:t>
      </w:r>
    </w:p>
    <w:p>
      <w:pPr>
        <w:pStyle w:val="7"/>
      </w:pPr>
      <w:r>
        <w:t xml:space="preserve">Целью исследования является оценка безопасности, переносимости и фармакокинетики L08-0623, сначала с однократным приемом, а затем с многократным приемом в течение 7 дней. Решение о включении последующих групп будет принято DSMB после тщательного анализа собранных ранее данных о безопасности, в зависимости от дозы. После каждой встречи DSMB будет предоставлен отчет о безопасности и переносимости препарата, который будет представлен в IEC.</w:t>
      </w:r>
    </w:p>
    <w:p>
      <w:pPr>
        <w:pStyle w:val="7"/>
      </w:pPr>
      <w:r>
        <w:t xml:space="preserve">Также исследование направлено на оценку одного из параметров фармадинамики – уровней плазмы IFN-γ (стимулированных in vitro) после приема препарата, в группах с однократным и многократным приемом, по сравнению с базовыми значениями. Стимуляция образцов крови будет проводиться путем добавления цитокинов IL-12/IL-18. Подобное фармадинамическое исследование было проведено при разработке деукравацитина [40].</w:t>
      </w:r>
    </w:p>
    <w:p>
      <w:pPr>
        <w:pStyle w:val="7"/>
      </w:pPr>
      <w:r>
        <w:t xml:space="preserve">Препарат был оценен в предварительных исследованиях на животных, при приеме в течение 1 месяца, что позволяет оценить многократный прием L08-0623 у людей в течение 7 дней.</w:t>
      </w:r>
    </w:p>
    <w:p>
      <w:pPr>
        <w:pStyle w:val="7"/>
      </w:pPr>
      <w:r>
        <w:t xml:space="preserve">Перевод:</w:t>
      </w:r>
    </w:p>
    <w:p>
      <w:pPr>
        <w:pStyle w:val="7"/>
      </w:pPr>
      <w:r>
        <w:t xml:space="preserve">Благодаря двойному слепому дизайну исследования и использованию плацебо, можно получить наиболее объективные данные о безопасности и потенциальных рисках изучаемого препарата. Размер групп является наименьшим возможным для пилотного исследования безопасности и переносимости препарата.</w:t>
      </w:r>
    </w:p>
    <w:p>
      <w:pPr>
        <w:pStyle w:val="7"/>
      </w:pPr>
      <w:r>
        <w:t xml:space="preserve">На основании результатов исследования будет принято решение о проведении фазы II для определения дозы L08-0623 у пациентов с псориазом.</w:t>
      </w:r>
    </w:p>
    <w:p>
      <w:pPr>
        <w:pStyle w:val="7"/>
      </w:pPr>
      <w:r>
        <w:t xml:space="preserve">Обоснование дозы</w:t>
      </w:r>
    </w:p>
    <w:p>
      <w:pPr>
        <w:pStyle w:val="BlockText"/>
      </w:pPr>
      <w:r>
        <w:rPr>
          <w:b/>
        </w:rPr>
        <w:t xml:space="preserve">Начальная доза L08-0623 для первого в человеке исследования была выбрана на основе результатов предокспериментальных исследований токсичности и эффективности в отношении животных (с учетом требуемого коэффициента безопасности) и предокспериментальных фармакологических и фармакокинетических исследований.</w:t>
      </w:r>
      <w:r>
        <w:t xml:space="preserve"> </w:t>
      </w:r>
      <w:r>
        <w:rPr>
          <w:b/>
        </w:rPr>
        <w:t xml:space="preserve">На основании исследования токсичности, при многократном введении крысам (самый чувствительный вид животных), L08-0623 продемонстрировал NOAEL в размере 50 мг/кг/день</w:t>
      </w:r>
      <w:r>
        <w:t xml:space="preserve"> </w:t>
      </w:r>
      <w:r>
        <w:t xml:space="preserve">[</w:t>
      </w:r>
      <w:hyperlink r:id="rId20">
        <w:r>
          <w:rPr>
            <w:rStyle w:val="11"/>
          </w:rPr>
          <w:t xml:space="preserve">30</w:t>
        </w:r>
      </w:hyperlink>
      <w:r>
        <w:t xml:space="preserve">].</w:t>
      </w:r>
    </w:p>
    <w:p>
      <w:pPr>
        <w:pStyle w:val="FirstParagraph"/>
      </w:pPr>
      <w:r>
        <w:rPr>
          <w:b/>
        </w:rPr>
        <w:t xml:space="preserve">Согласно рекомендациям FDA для отрасли по оценке максимальной безопасной начальной дозы при первоначальных клинических испытаниях терапевтических средств для взрослых здоровых добровольцев и руководству Mironov (Москва, 2012 гг.) [</w:t>
      </w:r>
      <w:hyperlink r:id="rId20">
        <w:r>
          <w:rPr>
            <w:rStyle w:val="11"/>
            <w:b/>
          </w:rPr>
          <w:t xml:space="preserve">32</w:t>
        </w:r>
      </w:hyperlink>
      <w:r>
        <w:rPr>
          <w:b/>
        </w:rPr>
        <w:t xml:space="preserve">]</w:t>
      </w:r>
      <w:r>
        <w:t xml:space="preserve">, коэффициент преобразования для крыс составлял 6,2, следовательно, эквивалентная доза для человека (HED) составляла 50:6,2 = 8,06 мг/кг. Для определения максимальной рекомендованной начальной дозы (MRSD) использовался коэффициент безопасности (SF) равный 10, следовательно, MRSD составляла 8,06 : 10 = 0,80 мг/кг, следовательно, MRSD для человека весом 70 кг составила 0,80 * 70 = 56,4 мг. Таким образом, начальная доза L08-0623, используемая в этом исследовании (10 мг), в 5 раз меньше, чем MRSD.**</w:t>
      </w:r>
    </w:p>
    <w:p>
      <w:pPr>
        <w:pStyle w:val="7"/>
      </w:pPr>
      <w:r>
        <w:rPr>
          <w:b/>
        </w:rPr>
        <w:t xml:space="preserve">Кроме того, дозы L08-0623, которые будут оценены в этом исследовании (10 мг, 20 мг, 50 мг и 100 мг), соответствуют результатам фармакологических и фармакокинетических исследований</w:t>
      </w:r>
      <w:r>
        <w:t xml:space="preserve"> </w:t>
      </w:r>
      <w:r>
        <w:t xml:space="preserve">[</w:t>
      </w:r>
      <w:hyperlink r:id="rId20">
        <w:r>
          <w:rPr>
            <w:rStyle w:val="11"/>
          </w:rPr>
          <w:t xml:space="preserve">30</w:t>
        </w:r>
      </w:hyperlink>
      <w:r>
        <w:t xml:space="preserve">].</w:t>
      </w:r>
      <w:r>
        <w:t xml:space="preserve"> </w:t>
      </w:r>
      <w:r>
        <w:rPr>
          <w:b/>
        </w:rPr>
        <w:t xml:space="preserve">Таким образом, в предокспериментальном фармакологическом исследовании</w:t>
      </w:r>
      <w:r>
        <w:rPr>
          <w:b/>
        </w:rPr>
        <w:t xml:space="preserve"> </w:t>
      </w:r>
      <w:r>
        <w:rPr>
          <w:b/>
        </w:rPr>
        <w:t xml:space="preserve">“</w:t>
      </w:r>
      <w:r>
        <w:rPr>
          <w:b/>
        </w:rPr>
        <w:t xml:space="preserve">In vivo изучение специфической активности L08-0623 в модели, индуцированной имикумодом, у самцов мышей BALB/c</w:t>
      </w:r>
      <w:r>
        <w:rPr>
          <w:b/>
        </w:rPr>
        <w:t xml:space="preserve">”</w:t>
      </w:r>
      <w:r>
        <w:rPr>
          <w:b/>
        </w:rPr>
        <w:t xml:space="preserve">, была продемонстрирована выраженная фармакологическая активность L08-0623 при дозах 20, 50 и 100 мг/кг BID (пероральное введение) начиная с 6-го дня дозирования. Эффект проявлялся в снижении выраженности симптомов псориаза (эритема, шелушение, акнтаноз, лимфоцитарная инфильтрация)</w:t>
      </w:r>
      <w:r>
        <w:t xml:space="preserve"> </w:t>
      </w:r>
      <w:r>
        <w:t xml:space="preserve">[</w:t>
      </w:r>
      <w:hyperlink r:id="rId20">
        <w:r>
          <w:rPr>
            <w:rStyle w:val="11"/>
          </w:rPr>
          <w:t xml:space="preserve">30</w:t>
        </w:r>
      </w:hyperlink>
      <w:r>
        <w:t xml:space="preserve">].</w:t>
      </w:r>
    </w:p>
    <w:p>
      <w:pPr>
        <w:pStyle w:val="7"/>
      </w:pPr>
      <w:r>
        <w:rPr>
          <w:b/>
        </w:rPr>
        <w:t xml:space="preserve">В исследовании эффективности L08-0623 у мышей C57BL/6 с псориазом, вызванным инъекцией IL-23, была продемонстрирована фармакологическая активность L08-0623 при дозах 30 мг/кг, 60 мг/кг и 100 мг/кг BID (пероральное введение). По сравнению с контрольной группой, L08-0623 значительно снизила уровень воспалительных факторов IL-23a, IL-12p40, IL-17a, IL-21, IL-23R, IL-12p35 в ухе. Толщина ушной раковины, процентное увеличение толщины ушной раковины и изменение толщины ушной раковины (14-й день - 1-й день) в группе с L08-0623 (30, 60, 100 мг/кг) значительно снизились по сравнению с контрольной группой</w:t>
      </w:r>
      <w:r>
        <w:t xml:space="preserve"> </w:t>
      </w:r>
      <w:r>
        <w:t xml:space="preserve">[</w:t>
      </w:r>
      <w:hyperlink r:id="rId20">
        <w:r>
          <w:rPr>
            <w:rStyle w:val="11"/>
          </w:rPr>
          <w:t xml:space="preserve">30</w:t>
        </w:r>
      </w:hyperlink>
      <w:r>
        <w:t xml:space="preserve">].</w:t>
      </w:r>
    </w:p>
    <w:p>
      <w:pPr>
        <w:pStyle w:val="7"/>
      </w:pPr>
      <w:r>
        <w:rPr>
          <w:b/>
        </w:rPr>
        <w:t xml:space="preserve">В исследовании фармакокинетики L08-0623, при однократном пероральном введении мышам в диапазоне доз от 10 до 300 мг/кг, наблюдаемое время достижения максимальной концентрации (Tmax) составляло от 0,5 до 4 часов. При диапазоне доз от 10 до 100 мг/кг, максимальная концентрация и AUClast увеличились пропорционально дозе. Конечный период полувыведения L08-0623 в мышиной плазме при дозах от 10 до 100 мг/кг составлял примерно 3,4 часа, увеличившись до 4,8 часа при дозе 300 мг/кг</w:t>
      </w:r>
      <w:r>
        <w:t xml:space="preserve"> </w:t>
      </w:r>
      <w:r>
        <w:t xml:space="preserve">[</w:t>
      </w:r>
      <w:hyperlink r:id="rId20">
        <w:r>
          <w:rPr>
            <w:rStyle w:val="11"/>
          </w:rPr>
          <w:t xml:space="preserve">30</w:t>
        </w:r>
      </w:hyperlink>
      <w:r>
        <w:t xml:space="preserve">].</w:t>
      </w:r>
    </w:p>
    <w:p>
      <w:pPr>
        <w:pStyle w:val="7"/>
      </w:pPr>
      <w:r>
        <w:rPr>
          <w:b/>
        </w:rPr>
        <w:t xml:space="preserve">В исследовании фармакокинетики L08-0623, при однократном внутрижелудочном введении увеличивающимся дозам (100 мг/кг – 1000 мг/кг) крысам, наблюдаемое время достижения максимальной концентрации (Tmax) составляло 6-8 часов. При диапазоне доз от 100 до 1000 мг/кг, Cmax и AUClast увеличились менее пропорционально дозе. Конечный период полувыведения L08-0623 составлял 2,66-10,6 часов. Не было обнаружено значительных различий в Cmax и AUClast при введении крысам со свободным доступом к пище по сравнению с голодной диетой.</w:t>
      </w:r>
    </w:p>
    <w:p>
      <w:pPr>
        <w:pStyle w:val="7"/>
      </w:pPr>
      <w:r>
        <w:rPr>
          <w:b/>
        </w:rPr>
        <w:t xml:space="preserve">Многократное (7-14 дней) пероральное введение L08-0623 мышам, крысам или собакам не привело к накоплению препарата по сравнению с однократным введением</w:t>
      </w:r>
      <w:r>
        <w:t xml:space="preserve"> </w:t>
      </w:r>
      <w:r>
        <w:t xml:space="preserve">[</w:t>
      </w:r>
      <w:hyperlink r:id="rId20">
        <w:r>
          <w:rPr>
            <w:rStyle w:val="11"/>
          </w:rPr>
          <w:t xml:space="preserve">30</w:t>
        </w:r>
      </w:hyperlink>
      <w:r>
        <w:t xml:space="preserve">].</w:t>
      </w:r>
    </w:p>
    <w:p>
      <w:pPr>
        <w:pStyle w:val="7"/>
      </w:pPr>
      <w:r>
        <w:rPr>
          <w:b/>
        </w:rPr>
        <w:t xml:space="preserve">Таким образом, дозы L08-0623 (10 мг, 20 мг, 50 мг и 100 мг) в этом исследовании позволили оценить доза-зависимые изменения в параметрах PK у людей в терапевтическом диапазоне, в режимах однократного и многократного приема, а также в состоянии натощак или после приема пищи.</w:t>
      </w:r>
    </w:p>
    <w:p>
      <w:pPr>
        <w:pStyle w:val="7"/>
      </w:pPr>
      <w:r>
        <w:t xml:space="preserve">Продолжительность и даты исследования</w:t>
      </w:r>
    </w:p>
    <w:p>
      <w:pPr>
        <w:pStyle w:val="BlockText"/>
      </w:pPr>
      <w:r>
        <w:t xml:space="preserve">Участники в группах с однократным приемом получат участие в исследовании в течение примерно 3 недель: 2 недели периода скрининга и 1 неделю периода лечения и наблюдения.</w:t>
      </w:r>
    </w:p>
    <w:p>
      <w:pPr>
        <w:pStyle w:val="FirstParagraph"/>
      </w:pPr>
      <w:r>
        <w:t xml:space="preserve">Участники в группах с многократным приемом получат участие в исследовании в течение примерно 5 недель: 2 недели периода скрининга и 3 недели периода лечения и наблюдения.</w:t>
      </w:r>
    </w:p>
    <w:p>
      <w:pPr>
        <w:pStyle w:val="7"/>
      </w:pPr>
      <w:r>
        <w:t xml:space="preserve">Исследование запланировано начать в сентябре 2024 года. Цель исследования - чтобы участники завершили все визиты в рамках исследования к декабрю 2024 года.</w:t>
      </w:r>
    </w:p>
    <w:p>
      <w:pPr>
        <w:numPr>
          <w:numId w:val="1033"/>
          <w:ilvl w:val="0"/>
        </w:numPr>
      </w:pPr>
      <w:r>
        <w:t xml:space="preserve">Предыстория</w:t>
      </w:r>
    </w:p>
    <w:p>
      <w:pPr>
        <w:pStyle w:val="Compact"/>
        <w:numPr>
          <w:numId w:val="1034"/>
          <w:ilvl w:val="1"/>
        </w:numPr>
      </w:pPr>
      <w:r>
        <w:t xml:space="preserve">Преклинические исследования</w:t>
      </w:r>
    </w:p>
    <w:p>
      <w:pPr>
        <w:pStyle w:val="FirstParagraph"/>
      </w:pPr>
      <w:r>
        <w:t xml:space="preserve">L08-0623 был разработан путем создания структуры с ингибирующей активностью против TYK2, селективной для других JAK-киназ путем связывания с доменом JH2 pseudкиназы TYK2 [30]. Преклинические сравнительные исследования деукравацитина и L08-0623 in vitro и in vivo показали, что препараты обладают сопоставимой селективностью для взаимодействия с доменом JH2 TYK2, а также эффективность в снижении тяжести симптомов в моделях индуцированной псориаза у животных.</w:t>
      </w:r>
    </w:p>
    <w:p>
      <w:pPr>
        <w:pStyle w:val="7"/>
      </w:pPr>
      <w:r>
        <w:t xml:space="preserve">Селективность L08-0623 для TYK2 была оценена на панели из 468 киназ с использованием технологии KINOMEscan. Наибольшая степень взаимодействия (%ctrl &lt; 1) наблюдалась для киназ TYK2-JH2 (первичная цель), JAK1-JH2, JAK3-JH1, TAOK3 и NEK5. In vitro исследования показали, что L08-0623 селективно связывается с доменом JH2 киназы TYK2 в системе NanoBRET cell assay [30]. IC50 для TYK2 JH2 составлял 13 нМ, для JAK1 JH1 – 300 нМ, а для JAK2 JH1 и JAK3 JH1 – &gt;50 мкМ. В рекомбинационном протеиновом связывающем анализе было показано, что L08-0623 ингибирует связывание меченым флуоресцентным веществом с TYK2 JH2 с IC50 равным 20 нМ и с JAK2 JH2 с IC50 равным 260 нМ. L08-0623 обладает высокой селективностью для взаимодействия с доменом JH2 TYK2 по сравнению с JAK2 (IC50 JAK2/IC50 TYK2 = 13) [30].</w:t>
      </w:r>
    </w:p>
    <w:p>
      <w:pPr>
        <w:pStyle w:val="7"/>
      </w:pPr>
      <w:r>
        <w:t xml:space="preserve">In vivo оценка эффективности с использованием имиквимода у самцов мышей показала, что при приеме L08-0623 в дозах 20, 50 и 100 мг/кг дважды в день, а также при приеме доказанного активного вещества BMS-989165 (деукравацитина) в дозе 30 мг/кг дважды в день, наблюдалось сопоставимое снижение тяжести изучаемых симптомов в модели псориаза, индуцированной имиквимодом, у мышей. При дозе 20 мг/кг дважды в день, L08-0623 достиг максимального эффекта, сопоставимого с BMS-989165 при дозе 30 мг/кг дважды в день.</w:t>
      </w:r>
    </w:p>
    <w:p>
      <w:pPr>
        <w:pStyle w:val="7"/>
      </w:pPr>
      <w:r>
        <w:t xml:space="preserve">In vivo исследование эффективности L08-0623 в модели псориаза, индуцированной IL-23, у мышей показало, что L08-0623 оказывает влияние на вес тела, толщину ушей, уровни IL-23a, IL-12p40, IL-17a, IL-21, IL-23R, воспалительного фактора IL-12p35 и гистопатологию (крашение гематином и эозином) ушей у мышей с индуцированным IL-23 псориазом. Результаты показали, что L08-0623 значительно ингибирует увеличение толщины ушей, снижает уровни IL-23a, IL-12p40, IL-17a, IL-21, IL-23R, IL-12p35 в ушах и оказывает значительное влияние на восстановление повреждения тканей ушей у мышей с псориазом, на основании результатов гистологии [30].</w:t>
      </w:r>
    </w:p>
    <w:p>
      <w:pPr>
        <w:pStyle w:val="7"/>
      </w:pPr>
      <w:r>
        <w:t xml:space="preserve">Безопасность L08-0623 оценивалась в нескольких пилотных и ключевых токсикологических исследованиях на крысах и собаках, а также в исследованиях мутагенности, проводившихся для поддержки клинических исследований на здоровых добровольцах, в соответствии с рекомендациями ICH M3(R2). Общие токсикологические исследования проводились на крысах и собаках, поскольку это стандартные и хорошо изученные модели для оценки общей токсичности и фармакологии лекарственных средств. Кроме того, метаболическая активность L08-0623 в гепатоцитах крыс и собак аналогична активности у людей.</w:t>
      </w:r>
    </w:p>
    <w:p>
      <w:pPr>
        <w:pStyle w:val="7"/>
      </w:pPr>
      <w:r>
        <w:t xml:space="preserve">Исследования острой токсичности проводились на мышах, крысах и собаках. Единичное внутрижелудочное введение L08-0623 в дозах до 1000 мг/кг не было летальным и не оказывало влияния на вес тела или общее состояние. У собак, дозы выше 100 мг/кг, не приводили к дальнейшему увеличению экспозиции, что было связано с сильной рвотой у собак, начиная с дозы 300 мг/кг сразу после введения. В целом, животные хорошо переносили дозу (за исключением рвоты и диареи), не теряли в весе и не имели значительных изменений в показателях крови или ЭКГ, связанных с воздействием вещества.</w:t>
      </w:r>
    </w:p>
    <w:p>
      <w:pPr>
        <w:pStyle w:val="7"/>
      </w:pPr>
      <w:r>
        <w:t xml:space="preserve">В ключевом субхроническом исследовании о токсичности на крысах, L08-0623 вводился внутрижелудочно ежедневно в дозах 10 мг/кг, 50 мг/кг и 300 мг/кг в течение 14 дней. Для оценки обратимости эффектов, к контрольной и группе с дозой 300 мг/кг были добавлены дополнительные животные, и их наблюдали в течение 14 дней после прекращения введения. Исследование проводилось на самцов и самок вистаров.</w:t>
      </w:r>
    </w:p>
    <w:p>
      <w:pPr>
        <w:pStyle w:val="7"/>
      </w:pPr>
      <w:r>
        <w:t xml:space="preserve">В ходе исследования не было зарегистрировано смертности животных, связанной с веществом. Однако, токсичность L08-0623 была очевидна в дозе 300 мг/кг. Токсические эффекты L08-0623 при этой дозе включали: ухудшение общего состояния животных (включая снижение мышечной силы и координации), уменьшение веса и роста, абсолютное количество лимфоцитов и креатинина в крови, уменьшение тимуса (у самцов и самок) и вес матки, увеличение яичек. Эти изменения не приводили к гистологическим изменениям, были обратимыми и не наблюдались после периода наблюдения.</w:t>
      </w:r>
    </w:p>
    <w:p>
      <w:pPr>
        <w:pStyle w:val="7"/>
      </w:pPr>
      <w:r>
        <w:t xml:space="preserve">Доза, при которой не наблюдалось неблагоприятных эффектов (NOAEL) для L08-0623 после 14-дневного ежедневного перорального введения у самцов и самок вистар, была определена как 50 мг/кг. Экспозиция к L08-0623 в последний день исследования при этой дозе (для самцов и самок в совокупности) составила 854,5 нг/мл и AUC(0-24ч) - 5385 ч</w:t>
      </w:r>
      <w:r>
        <w:rPr>
          <w:i/>
        </w:rPr>
        <w:t xml:space="preserve">нг/мл. При дозе 300 мг/кг, где были наблюдаемы неблагоприятные эффекты, Cmax составил 3420,4 нг/мл, а AUC(0-24ч) - 41661 ч</w:t>
      </w:r>
      <w:r>
        <w:t xml:space="preserve">нг/мл.</w:t>
      </w:r>
    </w:p>
    <w:p>
      <w:pPr>
        <w:pStyle w:val="7"/>
      </w:pPr>
      <w:r>
        <w:t xml:space="preserve">В ключевом субхроническом исследовании о токсичности на собаках, L08-0623 вводился перорально у животных ежедневно в дозах 10 мг/кг, 30 мг/кг (обе дозы один раз в день) и 50 мг/кг два раза в день (100 мг/кг/день) в течение 14 дней. Для оценки обратимости эффектов, к контрольной и группе с дозой 100 мг/кг/день были добавлены дополнительные животные, и их наблюдали в течение 14 дней после прекращения введения. Исследование проводилось на самцов и самок беглей.</w:t>
      </w:r>
    </w:p>
    <w:p>
      <w:pPr>
        <w:pStyle w:val="7"/>
      </w:pPr>
      <w:r>
        <w:t xml:space="preserve">Ежедневное пероральное введение L08-0623 у самцов и самок беглей в течение 14 дней не приводило к смертности. Общее состояние, внешний вид и двигательная активность самцов и самок во всех группах доз были удовлетворительными на протяжении всего исследования и не отличались от параллельной контрольной группы. Животные, получавшие L08-0623 в дозе 50 мг/кг (дважды, утром и вечером), время от времени производили плохо сформированные, мягкие фекалии, а некоторые самки производили жидкие, желтые фекалии к концу второй недели введения. Два самца испытывали одно эпизод скудной рвоты в разное время вечером во второй неделе введения. Периодительные позывы к дефекации у самцов и самок при высокой дозе продолжались в течение трех дней после прекращения приема препарата.</w:t>
      </w:r>
    </w:p>
    <w:p>
      <w:pPr>
        <w:pStyle w:val="7"/>
      </w:pPr>
      <w:r>
        <w:t xml:space="preserve">Вес тела и динамика потребления пищи у собак обоих полов, обработанных L08-0623, были аналогичны контрольной группе.</w:t>
      </w:r>
    </w:p>
    <w:p>
      <w:pPr>
        <w:pStyle w:val="7"/>
      </w:pPr>
      <w:r>
        <w:t xml:space="preserve">Введение L08-0623 не приводило к изменениям в параметрах ЭКГ, артериального давления или частоты дыхания. Офтальмологическое обследование не выявило видимых глазных повреждений у животных в течение всего периода исследования.</w:t>
      </w:r>
    </w:p>
    <w:p>
      <w:pPr>
        <w:pStyle w:val="7"/>
      </w:pPr>
      <w:r>
        <w:t xml:space="preserve">Не было зарегистрировано изменений в клинических показателях крови или показателях свертывания крови у самцов и самок беглей в течение всего периода исследования.</w:t>
      </w:r>
    </w:p>
    <w:p>
      <w:pPr>
        <w:pStyle w:val="7"/>
      </w:pPr>
      <w:r>
        <w:t xml:space="preserve">После 14 дней приема L08-0623 перорально в максимальной дозе (50 мг/кг — 100 мг/кг в день) у кобелей и сук наблюдалось повышение уровня АЛТ (в 2-3 раза) и АЛП (в 2,5-3 раза) по сравнению с контрольной группой. Эти изменения были обратимыми и не наблюдались после периода восстановления. Хотя значения альфа-1-фосфатазы только у самцов были за пределами допустимого диапазона, остальные изменения находились в пределах нормы. Кроме того, макро- и микроскопический анализ не выявили никаких отклонений в структуре печени, поэтому эти отклонения не считались клинически значимыми.</w:t>
      </w:r>
    </w:p>
    <w:p>
      <w:pPr>
        <w:pStyle w:val="7"/>
      </w:pPr>
      <w:r>
        <w:t xml:space="preserve">14-дневный пероральный прием L08-0623 не привел к изменениям в макро- или микроструктуре изучаемых органов и не повлиял на их показатели массы. Не было выявлено местных раздражающих эффектов.</w:t>
      </w:r>
    </w:p>
    <w:p>
      <w:pPr>
        <w:pStyle w:val="7"/>
      </w:pPr>
      <w:r>
        <w:t xml:space="preserve">Таким образом, установленная NOAEL (доза, при которой не наблюдаются неблагоприятные эффекты) для L08-0623 при ежедневном пероральном приеме у кобелей и сук в течение 14 дней составила 100 мг/кг/день (50 мг/кг BID). Экспозиция L08-0623 в последний день исследования при этой дозе (для кобелей и сук в совокупности) соответствовала Cmax 1148 нг/мл и AUC (0-24ч) 7668 ч*нг/мл [30].</w:t>
      </w:r>
    </w:p>
    <w:p>
      <w:pPr>
        <w:pStyle w:val="7"/>
      </w:pPr>
      <w:r>
        <w:t xml:space="preserve">Также были проведены генотоксические исследования L08-0623 в стандартных моделях. Было показано, что при концентрациях до 30 мкМ, в присутствии и отсутствии метаболической активации, L08-0623 не вызывал мутаций в тесте Амеса. Применение L08-0623 в дозах 100, 300 и 1000 мг/кг не оказало статистически значимого влияния на уровень хромосомных аберранций в костных ​​марме клетках мышей. Таким образом, было показано, что L08-0623 не обладает генотоксическими свойствами [30].</w:t>
      </w:r>
    </w:p>
    <w:p>
      <w:pPr>
        <w:pStyle w:val="7"/>
      </w:pPr>
      <w:r>
        <w:t xml:space="preserve">Клинические исследования эффективности L08-0623</w:t>
      </w:r>
    </w:p>
    <w:p>
      <w:pPr>
        <w:pStyle w:val="7"/>
      </w:pPr>
      <w:r>
        <w:t xml:space="preserve">На данный момент нет данных об эффективности L08-0623 у людей. L08-0623 ранее не оценивался в клинических исследованиях. Предлагаемое фаза 1 клиническое исследование будет первым исследованием L08-0623 на людях (FIH).</w:t>
      </w:r>
    </w:p>
    <w:p>
      <w:pPr>
        <w:pStyle w:val="7"/>
      </w:pPr>
      <w:r>
        <w:t xml:space="preserve">Соотношение риска и пользы</w:t>
      </w:r>
    </w:p>
    <w:p>
      <w:pPr>
        <w:pStyle w:val="7"/>
      </w:pPr>
      <w:r>
        <w:t xml:space="preserve">Целью данного исследования является получение первичных данных о безопасности, переносимости и фармакокинетике SD у людей. В исследовании будут участвовать здоровые добровольцы; не ожидается каких-либо пользы для здоровья. Однако, участники получат надежную информацию о своем здоровье (в рамках исследований), а также информацию о своей индивидуальной переносимости SD, что может быть полезно в будущем. Все медицинские осмотры и процедуры в рамках этого исследования будут предоставлены участникам бесплатно.</w:t>
      </w:r>
    </w:p>
    <w:p>
      <w:pPr>
        <w:pStyle w:val="7"/>
      </w:pPr>
      <w:r>
        <w:t xml:space="preserve">В течение всего исследования участники будут находиться под наблюдением персонала исследовательской группы.</w:t>
      </w:r>
    </w:p>
    <w:p>
      <w:pPr>
        <w:pStyle w:val="7"/>
      </w:pPr>
      <w:r>
        <w:t xml:space="preserve">На основе данных о переносимости и безопасности, полученных в этом исследовании, будет принято решение о дальнейшей оценке этого препарата у пациентов с псориазом.</w:t>
      </w:r>
    </w:p>
    <w:p>
      <w:pPr>
        <w:pStyle w:val="7"/>
      </w:pPr>
      <w:r>
        <w:t xml:space="preserve">В преклинических исследованиях L08-0623 при дозах, значительно превышающих терапевтическую, не наблюдалось токсических эффектов на конкретные целевые органы.</w:t>
      </w:r>
    </w:p>
    <w:p>
      <w:pPr>
        <w:pStyle w:val="7"/>
      </w:pPr>
      <w:r>
        <w:t xml:space="preserve">Важные потенциальные риски</w:t>
      </w:r>
    </w:p>
    <w:p>
      <w:pPr>
        <w:pStyle w:val="7"/>
      </w:pPr>
      <w:r>
        <w:t xml:space="preserve">Поскольку это первый случай использования этого препарата у людей, исследование будет сосредоточено на мониторинге неблагоприятных эффектов, связанных с жизненно важными органами, на основе симптомов, физического осмотра, жизненно важных показателей и лабораторных данных.</w:t>
      </w:r>
    </w:p>
    <w:p>
      <w:pPr>
        <w:numPr>
          <w:numId w:val="1035"/>
          <w:ilvl w:val="0"/>
        </w:numPr>
      </w:pPr>
      <w:r>
        <w:t xml:space="preserve">ВЫБОР УЧАСТНИКОВ ИССЛЕДОВАНИЯ</w:t>
      </w:r>
    </w:p>
    <w:p>
      <w:pPr>
        <w:pStyle w:val="Compact"/>
        <w:numPr>
          <w:numId w:val="1036"/>
          <w:ilvl w:val="1"/>
        </w:numPr>
      </w:pPr>
      <w:r>
        <w:t xml:space="preserve">Участники исследования</w:t>
      </w:r>
    </w:p>
    <w:p>
      <w:pPr>
        <w:pStyle w:val="FirstParagraph"/>
      </w:pPr>
      <w:r>
        <w:t xml:space="preserve">В исследовании будут участвовать 64 здоровых мужчин и женщин в одном клиническом центре.</w:t>
      </w:r>
    </w:p>
    <w:p>
      <w:pPr>
        <w:pStyle w:val="7"/>
      </w:pPr>
      <w:r>
        <w:rPr>
          <w:b/>
        </w:rPr>
        <w:t xml:space="preserve">Критерии включения</w:t>
      </w:r>
    </w:p>
    <w:p>
      <w:pPr>
        <w:pStyle w:val="7"/>
      </w:pPr>
      <w:r>
        <w:t xml:space="preserve">Для участия в исследовании, здоровые добровольцы должны соответствовать следующим критериям:</w:t>
      </w:r>
    </w:p>
    <w:p>
      <w:pPr>
        <w:numPr>
          <w:numId w:val="1037"/>
          <w:ilvl w:val="0"/>
        </w:numPr>
      </w:pPr>
      <w:r>
        <w:t xml:space="preserve">Мужчины и женщины, не курящие (по крайней мере, в течение года до скрининга), в возрасте от 18 до 45 лет на дату подписания Информационной формы согласия;</w:t>
      </w:r>
    </w:p>
    <w:p>
      <w:pPr>
        <w:numPr>
          <w:numId w:val="1037"/>
          <w:ilvl w:val="0"/>
        </w:numPr>
      </w:pPr>
      <w:r>
        <w:t xml:space="preserve">Подтвержденный здоровый диагноз на основании стандартных клинических, лабораторных и инструментальных тестов;</w:t>
      </w:r>
    </w:p>
    <w:p>
      <w:pPr>
        <w:numPr>
          <w:numId w:val="1037"/>
          <w:ilvl w:val="0"/>
        </w:numPr>
      </w:pPr>
      <w:r>
        <w:t xml:space="preserve">Индекс массы тела (ИМТ) от 18,5 до 30,0 кг/м</w:t>
      </w:r>
      <w:r>
        <w:rPr>
          <w:vertAlign w:val="superscript"/>
        </w:rPr>
        <w:t xml:space="preserve">2</w:t>
      </w:r>
      <w:r>
        <w:t xml:space="preserve"> </w:t>
      </w:r>
      <w:r>
        <w:t xml:space="preserve">с весом не менее 45 кг для женщин и не менее 55 кг для мужчин;</w:t>
      </w:r>
    </w:p>
    <w:p>
      <w:pPr>
        <w:numPr>
          <w:numId w:val="1037"/>
          <w:ilvl w:val="0"/>
        </w:numPr>
      </w:pPr>
      <w:r>
        <w:t xml:space="preserve">Артериальное давление (АД): систолическое артериальное давление (САД) - от 100 до 129 мм. рт. ст., диастолическое артериальное давление (ДАД) - от 60 до 89 мм. рт. ст.;</w:t>
      </w:r>
    </w:p>
    <w:p>
      <w:pPr>
        <w:numPr>
          <w:numId w:val="1037"/>
          <w:ilvl w:val="0"/>
        </w:numPr>
      </w:pPr>
      <w:r>
        <w:t xml:space="preserve">Частота сердечных сокращений (ЧСС) - от 60 до 89 ударов в минуту;</w:t>
      </w:r>
    </w:p>
    <w:p>
      <w:pPr>
        <w:numPr>
          <w:numId w:val="1037"/>
          <w:ilvl w:val="0"/>
        </w:numPr>
      </w:pPr>
      <w:r>
        <w:t xml:space="preserve">Частота дыхания (ЧД): от 12 до 20 в минуту.</w:t>
      </w:r>
    </w:p>
    <w:p>
      <w:pPr>
        <w:numPr>
          <w:numId w:val="1037"/>
          <w:ilvl w:val="0"/>
        </w:numPr>
      </w:pPr>
      <w:r>
        <w:t xml:space="preserve">Температура тела: 36,0°C - 36,9°C.</w:t>
      </w:r>
    </w:p>
    <w:p>
      <w:pPr>
        <w:numPr>
          <w:numId w:val="1037"/>
          <w:ilvl w:val="0"/>
        </w:numPr>
      </w:pPr>
      <w:r>
        <w:t xml:space="preserve">Отрицательный тест на содержание алкоголя в выдыхаемом воздухе;</w:t>
      </w:r>
    </w:p>
    <w:p>
      <w:pPr>
        <w:numPr>
          <w:numId w:val="1037"/>
          <w:ilvl w:val="0"/>
        </w:numPr>
      </w:pPr>
      <w:r>
        <w:t xml:space="preserve">Отрицательный тест мочи на наличие наркотических веществ и сильнодействующих лекарств;</w:t>
      </w:r>
    </w:p>
    <w:p>
      <w:pPr>
        <w:numPr>
          <w:numId w:val="1037"/>
          <w:ilvl w:val="0"/>
        </w:numPr>
      </w:pPr>
      <w:r>
        <w:t xml:space="preserve">Отрицательный тест мочи на содержание никотиновой кислоты;</w:t>
      </w:r>
    </w:p>
    <w:p>
      <w:pPr>
        <w:numPr>
          <w:numId w:val="1037"/>
          <w:ilvl w:val="0"/>
        </w:numPr>
      </w:pPr>
      <w:r>
        <w:t xml:space="preserve">Отрицательный тест на беременность и отсутствие лактации (для женщин);</w:t>
      </w:r>
    </w:p>
    <w:p>
      <w:pPr>
        <w:numPr>
          <w:numId w:val="1037"/>
          <w:ilvl w:val="0"/>
        </w:numPr>
      </w:pPr>
      <w:r>
        <w:t xml:space="preserve">Участники соглашаются использовать адекватный контрацептивный метод в течение продолжительности исследования и в течение 3 месяцев после его завершения. Адекватные методы контрацепции включают использование:</w:t>
      </w:r>
    </w:p>
    <w:p>
      <w:pPr>
        <w:numPr>
          <w:numId w:val="1038"/>
          <w:ilvl w:val="0"/>
        </w:numPr>
      </w:pPr>
      <w:r>
        <w:t xml:space="preserve">Спермицидного презерватива (пены, геля, крема, таблеток),</w:t>
      </w:r>
    </w:p>
    <w:p>
      <w:pPr>
        <w:numPr>
          <w:numId w:val="1038"/>
          <w:ilvl w:val="0"/>
        </w:numPr>
      </w:pPr>
      <w:r>
        <w:t xml:space="preserve">Необязательно для женщин:</w:t>
      </w:r>
    </w:p>
    <w:p>
      <w:pPr>
        <w:numPr>
          <w:numId w:val="1038"/>
          <w:ilvl w:val="0"/>
        </w:numPr>
      </w:pPr>
      <w:r>
        <w:t xml:space="preserve">Спермицидного презерватива (для партнера мужчины)</w:t>
      </w:r>
    </w:p>
    <w:p>
      <w:pPr>
        <w:numPr>
          <w:numId w:val="1038"/>
          <w:ilvl w:val="0"/>
        </w:numPr>
      </w:pPr>
      <w:r>
        <w:t xml:space="preserve">Диафрагмы со спермицидом</w:t>
      </w:r>
    </w:p>
    <w:p>
      <w:pPr>
        <w:numPr>
          <w:numId w:val="1038"/>
          <w:ilvl w:val="0"/>
        </w:numPr>
      </w:pPr>
      <w:r>
        <w:t xml:space="preserve">Вульгарной шапочки со спермицидом</w:t>
      </w:r>
    </w:p>
    <w:p>
      <w:pPr>
        <w:numPr>
          <w:numId w:val="1038"/>
          <w:ilvl w:val="0"/>
        </w:numPr>
      </w:pPr>
      <w:r>
        <w:t xml:space="preserve">Негормонального внутриматочного устройства (ВМИ).</w:t>
      </w:r>
    </w:p>
    <w:p>
      <w:pPr>
        <w:numPr>
          <w:numId w:val="1039"/>
          <w:ilvl w:val="0"/>
        </w:numPr>
      </w:pPr>
      <w:r>
        <w:t xml:space="preserve">Подписанная Информационная листовка и Форма информированного согласия до начала любых процедур скрининга, а также возможность соблюдать все требования Протокола, определенные исследователем.</w:t>
      </w:r>
    </w:p>
    <w:p>
      <w:pPr>
        <w:pStyle w:val="Compact"/>
        <w:numPr>
          <w:numId w:val="1040"/>
          <w:ilvl w:val="1"/>
        </w:numPr>
      </w:pPr>
      <w:r>
        <w:t xml:space="preserve">Критерии исключения</w:t>
      </w:r>
    </w:p>
    <w:p>
      <w:pPr>
        <w:pStyle w:val="FirstParagraph"/>
      </w:pPr>
      <w:r>
        <w:t xml:space="preserve">Участник считается недопустимым для участия в исследовании, если он соответствует хотя бы одному из следующих критериев:</w:t>
      </w:r>
    </w:p>
    <w:p>
      <w:pPr>
        <w:numPr>
          <w:numId w:val="1041"/>
          <w:ilvl w:val="0"/>
        </w:numPr>
      </w:pPr>
      <w:r>
        <w:t xml:space="preserve">Хронические заболевания сердечно-сосудистой, бронхо-легочной, нервной, эндокринной, мышечно-скелетной систем, желудочно-кишечного тракта, печени, почек, крови, психические расстройства, эпилепсия или судороги;</w:t>
      </w:r>
    </w:p>
    <w:p>
      <w:pPr>
        <w:numPr>
          <w:numId w:val="1041"/>
          <w:ilvl w:val="0"/>
        </w:numPr>
      </w:pPr>
      <w:r>
        <w:t xml:space="preserve">Результаты стандартных лабораторных и инструментальных исследований, выходящие за пределы нормы при скрининге;</w:t>
      </w:r>
    </w:p>
    <w:p>
      <w:pPr>
        <w:numPr>
          <w:numId w:val="1041"/>
          <w:ilvl w:val="0"/>
        </w:numPr>
      </w:pPr>
      <w:r>
        <w:t xml:space="preserve">История операций на желудочно-кишечном тракте (кроме аппендэктомии);</w:t>
      </w:r>
    </w:p>
    <w:p>
      <w:pPr>
        <w:numPr>
          <w:numId w:val="1041"/>
          <w:ilvl w:val="0"/>
        </w:numPr>
      </w:pPr>
      <w:r>
        <w:t xml:space="preserve">Регулярное использование лекарственных средств менее чем через 2 недели до скрининга (включая травяные и диетические добавки);</w:t>
      </w:r>
    </w:p>
    <w:p>
      <w:pPr>
        <w:numPr>
          <w:numId w:val="1041"/>
          <w:ilvl w:val="0"/>
        </w:numPr>
      </w:pPr>
      <w:r>
        <w:t xml:space="preserve">Использование лекарственных средств, оказывающих значительное влияние на гемодинамику, функцию печени и т.д. (например, барбитураты, омепразол, циметидин и т.д.) менее чем через 30 дней до скрининга;</w:t>
      </w:r>
    </w:p>
    <w:p>
      <w:pPr>
        <w:numPr>
          <w:numId w:val="1041"/>
          <w:ilvl w:val="0"/>
        </w:numPr>
      </w:pPr>
      <w:r>
        <w:t xml:space="preserve">Использование любых вакцированных вакцин в течение 14 дней или любых живых вакцин в течение 30 дней до скрининга;</w:t>
      </w:r>
    </w:p>
    <w:p>
      <w:pPr>
        <w:numPr>
          <w:numId w:val="1041"/>
          <w:ilvl w:val="0"/>
        </w:numPr>
      </w:pPr>
      <w:r>
        <w:t xml:space="preserve">Антитела к ВИЧ и гепатиту С, антиген гепатита B, положительный тест на сифилис;</w:t>
      </w:r>
    </w:p>
    <w:p>
      <w:pPr>
        <w:numPr>
          <w:numId w:val="1041"/>
          <w:ilvl w:val="0"/>
        </w:numPr>
      </w:pPr>
      <w:r>
        <w:t xml:space="preserve">Нестабильный режим сна (например, работа посменно, нарушения сна, бессонница, изменение часовых поясов менее чем за 2 недели до скрининга и т.д.), интенсивные физические упражнения (например, тяжелые нагрузки);</w:t>
      </w:r>
    </w:p>
    <w:p>
      <w:pPr>
        <w:numPr>
          <w:numId w:val="1041"/>
          <w:ilvl w:val="0"/>
        </w:numPr>
      </w:pPr>
      <w:r>
        <w:t xml:space="preserve">Особый рацион (например, вегетарианский, веганский, низкокалорийный (менее 1000 ккал в день));</w:t>
      </w:r>
    </w:p>
    <w:p>
      <w:pPr>
        <w:numPr>
          <w:numId w:val="1041"/>
          <w:ilvl w:val="0"/>
        </w:numPr>
      </w:pPr>
      <w:r>
        <w:t xml:space="preserve">Наличие алкогольной зависимости (употребление более 10 единиц алкоголя в неделю); употребление алкоголя в течение 4 дней до скрининга;</w:t>
      </w:r>
    </w:p>
    <w:p>
      <w:pPr>
        <w:numPr>
          <w:numId w:val="1041"/>
          <w:ilvl w:val="0"/>
        </w:numPr>
      </w:pPr>
      <w:r>
        <w:t xml:space="preserve">Наличие зависимости от наркотиков; история употребления наркотических веществ и психотропных веществ</w:t>
      </w:r>
      <w:r>
        <w:rPr>
          <w:rStyle w:val="8"/>
        </w:rPr>
        <w:footnoteReference w:id="32"/>
      </w:r>
      <w:r>
        <w:t xml:space="preserve"> </w:t>
      </w:r>
      <w:r>
        <w:t xml:space="preserve">при скрининге;</w:t>
      </w:r>
    </w:p>
    <w:p>
      <w:pPr>
        <w:numPr>
          <w:numId w:val="1041"/>
          <w:ilvl w:val="0"/>
        </w:numPr>
      </w:pPr>
      <w:r>
        <w:t xml:space="preserve">История аллергических реакций на любые лекарства или вакцины: анафилактический шок, ангионевротический отек, полиморфная эксудативная эритема или другие серьезные аллергические проявления;</w:t>
      </w:r>
    </w:p>
    <w:p>
      <w:pPr>
        <w:numPr>
          <w:numId w:val="1041"/>
          <w:ilvl w:val="0"/>
        </w:numPr>
      </w:pPr>
      <w:r>
        <w:t xml:space="preserve">Известная повышенная чувствительность к компонентам лекарственного средства, используемого в исследовании;</w:t>
      </w:r>
    </w:p>
    <w:p>
      <w:pPr>
        <w:numPr>
          <w:numId w:val="1041"/>
          <w:ilvl w:val="0"/>
        </w:numPr>
      </w:pPr>
      <w:r>
        <w:t xml:space="preserve">Донор крови/плазмы (не менее 450 мл крови или плазмы) менее чем через 2 месяца до скрининга;</w:t>
      </w:r>
    </w:p>
    <w:p>
      <w:pPr>
        <w:numPr>
          <w:numId w:val="1041"/>
          <w:ilvl w:val="0"/>
        </w:numPr>
      </w:pPr>
      <w:r>
        <w:t xml:space="preserve">Для женщин: подтвержденная беременность, грудное вскармливание;</w:t>
      </w:r>
    </w:p>
    <w:p>
      <w:pPr>
        <w:numPr>
          <w:numId w:val="1041"/>
          <w:ilvl w:val="0"/>
        </w:numPr>
      </w:pPr>
      <w:r>
        <w:t xml:space="preserve">Планирование беременности во время исследования или в течение 3 месяцев после его завершения;</w:t>
      </w:r>
    </w:p>
    <w:p>
      <w:pPr>
        <w:numPr>
          <w:numId w:val="1041"/>
          <w:ilvl w:val="0"/>
        </w:numPr>
      </w:pPr>
      <w:r>
        <w:t xml:space="preserve">Участие в других клинических исследованиях или введение исследуемого препарата в течение 3 месяцев до скрининга или не менее чем через 5 периодов полувыведения исследуемого препарата после окончания исследования (если известно);</w:t>
      </w:r>
    </w:p>
    <w:p>
      <w:pPr>
        <w:numPr>
          <w:numId w:val="1041"/>
          <w:ilvl w:val="0"/>
        </w:numPr>
      </w:pPr>
      <w:r>
        <w:t xml:space="preserve">Острые инфекции менее чем за 4 недели до скрининга;</w:t>
      </w:r>
    </w:p>
    <w:p>
      <w:pPr>
        <w:numPr>
          <w:numId w:val="1041"/>
          <w:ilvl w:val="0"/>
        </w:numPr>
      </w:pPr>
      <w:r>
        <w:t xml:space="preserve">Трудности с доступом к вене, что усложняет или делает невозможным многократное введение катетера и забор крови;</w:t>
      </w:r>
    </w:p>
    <w:p>
      <w:pPr>
        <w:numPr>
          <w:numId w:val="1041"/>
          <w:ilvl w:val="0"/>
        </w:numPr>
      </w:pPr>
      <w:r>
        <w:t xml:space="preserve">Планирование пребывания в больнице в период исследования по любой причине, кроме той, которая предусмотрена в этом протоколе;</w:t>
      </w:r>
    </w:p>
    <w:p>
      <w:pPr>
        <w:numPr>
          <w:numId w:val="1041"/>
          <w:ilvl w:val="0"/>
        </w:numPr>
      </w:pPr>
      <w:r>
        <w:t xml:space="preserve">Невозможность читать или писать; нежелание понимать и следовать процедурам исследования; несоблюдение процедур, которые, по мнению исследователя, могут повлиять на результаты исследования или безопасность волонтера и помешать волонтеру продолжать участие в исследовании;</w:t>
      </w:r>
    </w:p>
    <w:p>
      <w:pPr>
        <w:numPr>
          <w:numId w:val="1041"/>
          <w:ilvl w:val="0"/>
        </w:numPr>
      </w:pPr>
      <w:r>
        <w:t xml:space="preserve">Любые другие сопутствующие заболевания или серьезные психические расстройства, которые делают волонтера непригодным для участия в клиническом исследовании, ограничивают право на информированное согласие или могут повлиять на способность волонтера участвовать в исследовании.</w:t>
      </w:r>
    </w:p>
    <w:p>
      <w:pPr>
        <w:pStyle w:val="Compact"/>
        <w:numPr>
          <w:numId w:val="1042"/>
          <w:ilvl w:val="1"/>
        </w:numPr>
      </w:pPr>
      <w:r>
        <w:rPr>
          <w:b/>
        </w:rPr>
        <w:t xml:space="preserve">Критерии исключения после рандомизации</w:t>
      </w:r>
    </w:p>
    <w:p>
      <w:pPr>
        <w:pStyle w:val="BlockText"/>
      </w:pPr>
      <w:r>
        <w:t xml:space="preserve">Волонтера необходимо преждевременно исключить из клинического исследования, если:</w:t>
      </w:r>
    </w:p>
    <w:p>
      <w:pPr>
        <w:numPr>
          <w:numId w:val="1043"/>
          <w:ilvl w:val="0"/>
        </w:numPr>
      </w:pPr>
      <w:r>
        <w:t xml:space="preserve">Волонтер отказывается от согласия.</w:t>
      </w:r>
    </w:p>
    <w:p>
      <w:pPr>
        <w:numPr>
          <w:numId w:val="1043"/>
          <w:ilvl w:val="0"/>
        </w:numPr>
      </w:pPr>
      <w:r>
        <w:t xml:space="preserve">Волонтер не соблюдает правила исследования (например, пропускает процедуры исследования, самостоятельно принимает запрещенные препараты, нарушает диетические и образ жизни, и т.д.).</w:t>
      </w:r>
    </w:p>
    <w:p>
      <w:pPr>
        <w:numPr>
          <w:numId w:val="1043"/>
          <w:ilvl w:val="0"/>
        </w:numPr>
      </w:pPr>
      <w:r>
        <w:t xml:space="preserve">Волонтера включили в исследование в нарушение критериев включения/исключения.</w:t>
      </w:r>
    </w:p>
    <w:p>
      <w:pPr>
        <w:numPr>
          <w:numId w:val="1043"/>
          <w:ilvl w:val="0"/>
        </w:numPr>
      </w:pPr>
      <w:r>
        <w:t xml:space="preserve">Причины/ситуации, представляющие угрозу для безопасности волонтера (например, гиперестезические реакции и т.д.).</w:t>
      </w:r>
    </w:p>
    <w:p>
      <w:pPr>
        <w:numPr>
          <w:numId w:val="1043"/>
          <w:ilvl w:val="0"/>
        </w:numPr>
      </w:pPr>
      <w:r>
        <w:t xml:space="preserve">Другие неблагоприятные события и серьезные неблагоприятные события, которые делают продолжение участия волонтера в исследовании нежелательным или невозможным (как определено спонсором и/или исследователем).</w:t>
      </w:r>
    </w:p>
    <w:p>
      <w:pPr>
        <w:numPr>
          <w:numId w:val="1043"/>
          <w:ilvl w:val="0"/>
        </w:numPr>
      </w:pPr>
      <w:r>
        <w:t xml:space="preserve">Волонтер был потерян из поля зрения. Волонтер не приходит на запланированные визиты в рамках исследования и не может быть найден, несмотря на несколько (не менее 3) попыток. Попытки связаться с волонтером должны быть задокументированы.</w:t>
      </w:r>
    </w:p>
    <w:p>
      <w:pPr>
        <w:numPr>
          <w:numId w:val="1043"/>
          <w:ilvl w:val="0"/>
        </w:numPr>
      </w:pPr>
      <w:r>
        <w:t xml:space="preserve">Другие причины, препятствующие проведению исследования в соответствии с протоколом.</w:t>
      </w:r>
    </w:p>
    <w:p>
      <w:pPr>
        <w:numPr>
          <w:numId w:val="1043"/>
          <w:ilvl w:val="0"/>
        </w:numPr>
      </w:pPr>
      <w:r>
        <w:t xml:space="preserve">ЛЕКАРСТВО ИССЛЕДУЕМОЕ</w:t>
      </w:r>
    </w:p>
    <w:p>
      <w:pPr>
        <w:pStyle w:val="Compact"/>
        <w:numPr>
          <w:numId w:val="1044"/>
          <w:ilvl w:val="1"/>
        </w:numPr>
      </w:pPr>
      <w:r>
        <w:t xml:space="preserve">Описание лекарства, исследуемого в рамках исследования</w:t>
      </w:r>
    </w:p>
    <w:p>
      <w:pPr>
        <w:pStyle w:val="FirstParagraph"/>
      </w:pPr>
      <w:r>
        <w:rPr>
          <w:b/>
        </w:rPr>
        <w:t xml:space="preserve">Активное вещество:</w:t>
      </w:r>
      <w:r>
        <w:t xml:space="preserve"> </w:t>
      </w:r>
      <w:r>
        <w:t xml:space="preserve">| L08-0623 или Плацебо |</w:t>
      </w:r>
      <w:r>
        <w:br w:type="textWrapping"/>
      </w:r>
      <w:r>
        <w:rPr>
          <w:b/>
        </w:rPr>
        <w:t xml:space="preserve">Химическое название:</w:t>
      </w:r>
      <w:r>
        <w:t xml:space="preserve"> </w:t>
      </w:r>
      <w:r>
        <w:t xml:space="preserve">| 4-[2-метокси-3-(1-метил-1,2,4-триазол-3-ил)анилино]-2-(2-пиридиламина)пиримидин-5-карбоксамид |</w:t>
      </w:r>
      <w:r>
        <w:br w:type="textWrapping"/>
      </w:r>
      <w:r>
        <w:rPr>
          <w:b/>
        </w:rPr>
        <w:t xml:space="preserve">Активное вещество:</w:t>
      </w:r>
      <w:r>
        <w:t xml:space="preserve"> </w:t>
      </w:r>
      <w:r>
        <w:t xml:space="preserve">| L08-0623 |</w:t>
      </w:r>
      <w:r>
        <w:br w:type="textWrapping"/>
      </w:r>
      <w:r>
        <w:t xml:space="preserve">                                 | Плацебо – без активных веществ |</w:t>
      </w:r>
      <w:r>
        <w:br w:type="textWrapping"/>
      </w:r>
      <w:r>
        <w:rPr>
          <w:b/>
        </w:rPr>
        <w:t xml:space="preserve">Дозировка</w:t>
      </w:r>
      <w:r>
        <w:t xml:space="preserve"> </w:t>
      </w:r>
      <w:r>
        <w:t xml:space="preserve">| 10 мг или 50 мг |</w:t>
      </w:r>
      <w:r>
        <w:br w:type="textWrapping"/>
      </w:r>
      <w:r>
        <w:rPr>
          <w:b/>
        </w:rPr>
        <w:t xml:space="preserve">Форма выпуска и состав:</w:t>
      </w:r>
      <w:r>
        <w:t xml:space="preserve"> </w:t>
      </w:r>
      <w:r>
        <w:t xml:space="preserve">|</w:t>
      </w:r>
      <w:r>
        <w:t xml:space="preserve"> </w:t>
      </w:r>
      <w:r>
        <w:rPr>
          <w:u w:val="single"/>
        </w:rPr>
        <w:t xml:space="preserve">Фильмовые оболочки, 10 мг</w:t>
      </w:r>
      <w:r>
        <w:t xml:space="preserve"> </w:t>
      </w:r>
      <w:r>
        <w:t xml:space="preserve">|</w:t>
      </w:r>
      <w:r>
        <w:br w:type="textWrapping"/>
      </w:r>
      <w:r>
        <w:t xml:space="preserve">                                 |</w:t>
      </w:r>
      <w:r>
        <w:t xml:space="preserve"> </w:t>
      </w:r>
      <w:r>
        <w:rPr>
          <w:i/>
        </w:rPr>
        <w:t xml:space="preserve">Активное вещество:</w:t>
      </w:r>
      <w:r>
        <w:t xml:space="preserve"> </w:t>
      </w:r>
      <w:r>
        <w:t xml:space="preserve">|</w:t>
      </w:r>
      <w:r>
        <w:br w:type="textWrapping"/>
      </w:r>
      <w:r>
        <w:t xml:space="preserve">                                 | L08-0623 – 10 мг |</w:t>
      </w:r>
      <w:r>
        <w:br w:type="textWrapping"/>
      </w:r>
      <w:r>
        <w:t xml:space="preserve">                                 |</w:t>
      </w:r>
      <w:r>
        <w:t xml:space="preserve"> </w:t>
      </w:r>
      <w:r>
        <w:rPr>
          <w:i/>
        </w:rPr>
        <w:t xml:space="preserve">Плацебо – 0 мг</w:t>
      </w:r>
      <w:r>
        <w:rPr>
          <w:i/>
        </w:rPr>
        <w:t xml:space="preserve"> </w:t>
      </w:r>
      <w:r>
        <w:t xml:space="preserve"> </w:t>
      </w:r>
      <w:r>
        <w:t xml:space="preserve">|</w:t>
      </w:r>
      <w:r>
        <w:br w:type="textWrapping"/>
      </w:r>
      <w:r>
        <w:t xml:space="preserve">                                 |</w:t>
      </w:r>
      <w:r>
        <w:t xml:space="preserve"> </w:t>
      </w:r>
      <w:r>
        <w:rPr>
          <w:i/>
        </w:rPr>
        <w:t xml:space="preserve">Вспомогательные вещества:</w:t>
      </w:r>
      <w:r>
        <w:t xml:space="preserve"> </w:t>
      </w:r>
      <w:r>
        <w:t xml:space="preserve">|</w:t>
      </w:r>
      <w:r>
        <w:br w:type="textWrapping"/>
      </w:r>
      <w:r>
        <w:t xml:space="preserve">                                 | Микрокристаллический целлюлоза – 84,80</w:t>
      </w:r>
      <w:r>
        <w:t xml:space="preserve"> </w:t>
      </w:r>
      <w:r>
        <w:rPr>
          <w:i/>
        </w:rPr>
        <w:t xml:space="preserve">мг</w:t>
      </w:r>
      <w:r>
        <w:rPr>
          <w:i/>
        </w:rPr>
        <w:t xml:space="preserve"> </w:t>
      </w:r>
      <w:r>
        <w:t xml:space="preserve"> </w:t>
      </w:r>
      <w:r>
        <w:t xml:space="preserve">|</w:t>
      </w:r>
      <w:r>
        <w:br w:type="textWrapping"/>
      </w:r>
      <w:r>
        <w:t xml:space="preserve">                                 | Натрия кроскармеллоза – 4,00</w:t>
      </w:r>
      <w:r>
        <w:t xml:space="preserve"> </w:t>
      </w:r>
      <w:r>
        <w:rPr>
          <w:i/>
        </w:rPr>
        <w:t xml:space="preserve">мг</w:t>
      </w:r>
      <w:r>
        <w:rPr>
          <w:i/>
        </w:rPr>
        <w:t xml:space="preserve"> </w:t>
      </w:r>
      <w:r>
        <w:t xml:space="preserve"> </w:t>
      </w:r>
      <w:r>
        <w:t xml:space="preserve">|</w:t>
      </w:r>
      <w:r>
        <w:br w:type="textWrapping"/>
      </w:r>
      <w:r>
        <w:t xml:space="preserve">                                 | Коллоидный диоксид кремния – 0,40</w:t>
      </w:r>
      <w:r>
        <w:t xml:space="preserve"> </w:t>
      </w:r>
      <w:r>
        <w:rPr>
          <w:i/>
        </w:rPr>
        <w:t xml:space="preserve">мг</w:t>
      </w:r>
      <w:r>
        <w:rPr>
          <w:i/>
        </w:rPr>
        <w:t xml:space="preserve"> </w:t>
      </w:r>
      <w:r>
        <w:t xml:space="preserve"> </w:t>
      </w:r>
      <w:r>
        <w:t xml:space="preserve">|</w:t>
      </w:r>
      <w:r>
        <w:br w:type="textWrapping"/>
      </w:r>
      <w:r>
        <w:t xml:space="preserve">                                 | Стеарат магния – 0,80 |</w:t>
      </w:r>
      <w:r>
        <w:br w:type="textWrapping"/>
      </w:r>
      <w:r>
        <w:t xml:space="preserve">                                 |</w:t>
      </w:r>
      <w:r>
        <w:t xml:space="preserve"> </w:t>
      </w:r>
      <w:r>
        <w:rPr>
          <w:i/>
        </w:rPr>
        <w:t xml:space="preserve">Вес таблетки:</w:t>
      </w:r>
      <w:r>
        <w:t xml:space="preserve"> </w:t>
      </w:r>
      <w:r>
        <w:t xml:space="preserve">80,00 |</w:t>
      </w:r>
      <w:r>
        <w:br w:type="textWrapping"/>
      </w:r>
      <w:r>
        <w:t xml:space="preserve">                                 |</w:t>
      </w:r>
      <w:r>
        <w:t xml:space="preserve"> </w:t>
      </w:r>
      <w:r>
        <w:rPr>
          <w:i/>
        </w:rPr>
        <w:t xml:space="preserve">Фильмовая оболочка</w:t>
      </w:r>
      <w:r>
        <w:t xml:space="preserve"> </w:t>
      </w:r>
      <w:r>
        <w:t xml:space="preserve">– 3,20 |</w:t>
      </w:r>
      <w:r>
        <w:br w:type="textWrapping"/>
      </w:r>
      <w:r>
        <w:t xml:space="preserve">                                 | Поливинил алкоголь – 1,28 |</w:t>
      </w:r>
      <w:r>
        <w:br w:type="textWrapping"/>
      </w:r>
      <w:r>
        <w:t xml:space="preserve">                                 | Макрогол – 0,65 |</w:t>
      </w:r>
      <w:r>
        <w:br w:type="textWrapping"/>
      </w:r>
      <w:r>
        <w:t xml:space="preserve">                                 | Желтый оксид железа – 0,64 |</w:t>
      </w:r>
      <w:r>
        <w:br w:type="textWrapping"/>
      </w:r>
      <w:r>
        <w:t xml:space="preserve">                                 | Тальк – 0,47 |</w:t>
      </w:r>
      <w:r>
        <w:br w:type="textWrapping"/>
      </w:r>
      <w:r>
        <w:t xml:space="preserve">                                 | Титановый диоксид – 0,16 |</w:t>
      </w:r>
      <w:r>
        <w:br w:type="textWrapping"/>
      </w:r>
      <w:r>
        <w:t xml:space="preserve">                                 |</w:t>
      </w:r>
      <w:r>
        <w:t xml:space="preserve"> </w:t>
      </w:r>
      <w:r>
        <w:rPr>
          <w:i/>
        </w:rPr>
        <w:t xml:space="preserve">Вес таблетки с оболочкой:</w:t>
      </w:r>
      <w:r>
        <w:t xml:space="preserve"> </w:t>
      </w:r>
      <w:r>
        <w:t xml:space="preserve">83,20 |</w:t>
      </w:r>
      <w:r>
        <w:br w:type="textWrapping"/>
      </w:r>
      <w:r>
        <w:t xml:space="preserve">                                 |</w:t>
      </w:r>
      <w:r>
        <w:t xml:space="preserve"> </w:t>
      </w:r>
      <w:r>
        <w:rPr>
          <w:u w:val="single"/>
        </w:rPr>
        <w:t xml:space="preserve">Фильмовые оболочки, 50 мг</w:t>
      </w:r>
      <w:r>
        <w:t xml:space="preserve"> </w:t>
      </w:r>
      <w:r>
        <w:t xml:space="preserve">|</w:t>
      </w:r>
      <w:r>
        <w:br w:type="textWrapping"/>
      </w:r>
      <w:r>
        <w:t xml:space="preserve">                                 |</w:t>
      </w:r>
      <w:r>
        <w:t xml:space="preserve"> </w:t>
      </w:r>
      <w:r>
        <w:rPr>
          <w:i/>
        </w:rPr>
        <w:t xml:space="preserve">Активное вещество:</w:t>
      </w:r>
      <w:r>
        <w:t xml:space="preserve"> </w:t>
      </w:r>
      <w:r>
        <w:t xml:space="preserve">|</w:t>
      </w:r>
      <w:r>
        <w:br w:type="textWrapping"/>
      </w:r>
      <w:r>
        <w:t xml:space="preserve">                                 | L08-0623 – 50</w:t>
      </w:r>
      <w:r>
        <w:t xml:space="preserve"> </w:t>
      </w:r>
      <w:r>
        <w:rPr>
          <w:i/>
        </w:rPr>
        <w:t xml:space="preserve">мг</w:t>
      </w:r>
      <w:r>
        <w:rPr>
          <w:i/>
        </w:rPr>
        <w:t xml:space="preserve"> </w:t>
      </w:r>
      <w:r>
        <w:t xml:space="preserve"> </w:t>
      </w:r>
      <w:r>
        <w:t xml:space="preserve">|</w:t>
      </w:r>
      <w:r>
        <w:br w:type="textWrapping"/>
      </w:r>
      <w:r>
        <w:t xml:space="preserve">                                 |</w:t>
      </w:r>
      <w:r>
        <w:t xml:space="preserve"> </w:t>
      </w:r>
      <w:r>
        <w:rPr>
          <w:i/>
        </w:rPr>
        <w:t xml:space="preserve">Плацебо – 0 мг</w:t>
      </w:r>
      <w:r>
        <w:rPr>
          <w:i/>
        </w:rPr>
        <w:t xml:space="preserve"> </w:t>
      </w:r>
      <w:r>
        <w:t xml:space="preserve"> </w:t>
      </w:r>
      <w:r>
        <w:t xml:space="preserve">|</w:t>
      </w:r>
      <w:r>
        <w:br w:type="textWrapping"/>
      </w:r>
      <w:r>
        <w:t xml:space="preserve">                                 |</w:t>
      </w:r>
      <w:r>
        <w:t xml:space="preserve"> </w:t>
      </w:r>
      <w:r>
        <w:rPr>
          <w:i/>
        </w:rPr>
        <w:t xml:space="preserve">Вспомогательные вещества:</w:t>
      </w:r>
      <w:r>
        <w:t xml:space="preserve"> </w:t>
      </w:r>
      <w:r>
        <w:t xml:space="preserve">|</w:t>
      </w:r>
      <w:r>
        <w:br w:type="textWrapping"/>
      </w:r>
      <w:r>
        <w:t xml:space="preserve">                                 | Микрокристаллический целлюлоза – 346,00</w:t>
      </w:r>
      <w:r>
        <w:t xml:space="preserve"> </w:t>
      </w:r>
      <w:r>
        <w:rPr>
          <w:i/>
        </w:rPr>
        <w:t xml:space="preserve">мг</w:t>
      </w:r>
      <w:r>
        <w:rPr>
          <w:i/>
        </w:rPr>
        <w:t xml:space="preserve"> </w:t>
      </w:r>
      <w:r>
        <w:t xml:space="preserve"> </w:t>
      </w:r>
      <w:r>
        <w:t xml:space="preserve">|</w:t>
      </w:r>
      <w:r>
        <w:br w:type="textWrapping"/>
      </w:r>
      <w:r>
        <w:t xml:space="preserve">                                 | Натрия кроскармеллоза – 20,00</w:t>
      </w:r>
      <w:r>
        <w:t xml:space="preserve"> </w:t>
      </w:r>
      <w:r>
        <w:rPr>
          <w:i/>
        </w:rPr>
        <w:t xml:space="preserve">мг</w:t>
      </w:r>
      <w:r>
        <w:rPr>
          <w:i/>
        </w:rPr>
        <w:t xml:space="preserve"> </w:t>
      </w:r>
      <w:r>
        <w:t xml:space="preserve"> </w:t>
      </w:r>
      <w:r>
        <w:t xml:space="preserve">|</w:t>
      </w:r>
      <w:r>
        <w:br w:type="textWrapping"/>
      </w:r>
      <w:r>
        <w:t xml:space="preserve">                                 | Коллоидный диоксид кремния – 2,00</w:t>
      </w:r>
      <w:r>
        <w:t xml:space="preserve"> </w:t>
      </w:r>
      <w:r>
        <w:rPr>
          <w:i/>
        </w:rPr>
        <w:t xml:space="preserve">мг</w:t>
      </w:r>
      <w:r>
        <w:rPr>
          <w:i/>
        </w:rPr>
        <w:t xml:space="preserve"> </w:t>
      </w:r>
      <w:r>
        <w:t xml:space="preserve"> </w:t>
      </w:r>
      <w:r>
        <w:t xml:space="preserve">|</w:t>
      </w:r>
      <w:r>
        <w:br w:type="textWrapping"/>
      </w:r>
      <w:r>
        <w:t xml:space="preserve">                                 | Стеарат магния – 4,00 |</w:t>
      </w:r>
      <w:r>
        <w:br w:type="textWrapping"/>
      </w:r>
      <w:r>
        <w:t xml:space="preserve">                                 |</w:t>
      </w:r>
      <w:r>
        <w:t xml:space="preserve"> </w:t>
      </w:r>
      <w:r>
        <w:rPr>
          <w:i/>
        </w:rPr>
        <w:t xml:space="preserve">Вес таблетки:</w:t>
      </w:r>
      <w:r>
        <w:t xml:space="preserve"> </w:t>
      </w:r>
      <w:r>
        <w:t xml:space="preserve">400,00 |</w:t>
      </w:r>
      <w:r>
        <w:br w:type="textWrapping"/>
      </w:r>
      <w:r>
        <w:t xml:space="preserve">                                 |</w:t>
      </w:r>
      <w:r>
        <w:t xml:space="preserve"> </w:t>
      </w:r>
      <w:r>
        <w:rPr>
          <w:i/>
        </w:rPr>
        <w:t xml:space="preserve">Фильмовая оболочка</w:t>
      </w:r>
      <w:r>
        <w:t xml:space="preserve"> </w:t>
      </w:r>
      <w:r>
        <w:t xml:space="preserve">– 16,00 |</w:t>
      </w:r>
      <w:r>
        <w:br w:type="textWrapping"/>
      </w:r>
      <w:r>
        <w:t xml:space="preserve">                                 | Поливинил алкоголь – 6,40 |</w:t>
      </w:r>
      <w:r>
        <w:br w:type="textWrapping"/>
      </w:r>
      <w:r>
        <w:t xml:space="preserve">                                 | Макрогол – 3,25 |</w:t>
      </w:r>
      <w:r>
        <w:br w:type="textWrapping"/>
      </w:r>
      <w:r>
        <w:t xml:space="preserve">                                 | Желтый краситель – 3,20 |</w:t>
      </w:r>
      <w:r>
        <w:br w:type="textWrapping"/>
      </w:r>
      <w:r>
        <w:t xml:space="preserve">                                 | Тальк – 2,35 |</w:t>
      </w:r>
      <w:r>
        <w:br w:type="textWrapping"/>
      </w:r>
      <w:r>
        <w:t xml:space="preserve">                                 | Титановый диоксид – 0,80 |</w:t>
      </w:r>
      <w:r>
        <w:br w:type="textWrapping"/>
      </w:r>
      <w:r>
        <w:t xml:space="preserve">                                 |</w:t>
      </w:r>
      <w:r>
        <w:t xml:space="preserve"> </w:t>
      </w:r>
      <w:r>
        <w:rPr>
          <w:i/>
        </w:rPr>
        <w:t xml:space="preserve">Вес таблетки с оболочкой:</w:t>
      </w:r>
      <w:r>
        <w:t xml:space="preserve"> </w:t>
      </w:r>
      <w:r>
        <w:t xml:space="preserve">416,00 |</w:t>
      </w:r>
      <w:r>
        <w:br w:type="textWrapping"/>
      </w:r>
      <w:r>
        <w:rPr>
          <w:b/>
        </w:rPr>
        <w:t xml:space="preserve">Описание упаковки:</w:t>
      </w:r>
      <w:r>
        <w:t xml:space="preserve"> </w:t>
      </w:r>
      <w:r>
        <w:t xml:space="preserve">| 28 таблеток в полиэтиленовом флаконе, вскрытый, с детской защитной крышкой и вакуумной упаковкой. |</w:t>
      </w:r>
      <w:r>
        <w:br w:type="textWrapping"/>
      </w:r>
      <w:r>
        <w:rPr>
          <w:b/>
        </w:rPr>
        <w:t xml:space="preserve">Производитель:</w:t>
      </w:r>
      <w:r>
        <w:t xml:space="preserve"> </w:t>
      </w:r>
      <w:r>
        <w:t xml:space="preserve">| CDRI, LLC, Россия |</w:t>
      </w:r>
      <w:r>
        <w:br w:type="textWrapping"/>
      </w:r>
      <w:r>
        <w:rPr>
          <w:b/>
        </w:rPr>
        <w:t xml:space="preserve">Режим дозирования:</w:t>
      </w:r>
      <w:r>
        <w:t xml:space="preserve"> </w:t>
      </w:r>
      <w:r>
        <w:t xml:space="preserve">| Группа 1 (N=8). Одна доза (10 мг), натощак. |</w:t>
      </w:r>
      <w:r>
        <w:br w:type="textWrapping"/>
      </w:r>
      <w:r>
        <w:t xml:space="preserve">                                 | Группа 2 (N=8). Одна доза (20 мг), натощак. |</w:t>
      </w:r>
      <w:r>
        <w:br w:type="textWrapping"/>
      </w:r>
      <w:r>
        <w:t xml:space="preserve">                                 | Группа 3 (N=8). Одна доза (50 мг), натощак. |</w:t>
      </w:r>
      <w:r>
        <w:br w:type="textWrapping"/>
      </w:r>
      <w:r>
        <w:t xml:space="preserve">                                 | Группа 4 (N=8). Одна доза (100 мг), натощак. |</w:t>
      </w:r>
      <w:r>
        <w:br w:type="textWrapping"/>
      </w:r>
      <w:r>
        <w:t xml:space="preserve">                                 | Группа 5 (N=8). Доза 50 мг, натощак, один раз в день в течение 7 дней. |</w:t>
      </w:r>
      <w:r>
        <w:br w:type="textWrapping"/>
      </w:r>
      <w:r>
        <w:t xml:space="preserve">                                 | Группа 6 (N=8). Доза 100 мг, натощак, один раз в день в течение 7 дней. |</w:t>
      </w:r>
      <w:r>
        <w:br w:type="textWrapping"/>
      </w:r>
      <w:r>
        <w:t xml:space="preserve">                                 | Группа 7 (N=8). Одна доза (Х мг), после еды. |</w:t>
      </w:r>
      <w:r>
        <w:br w:type="textWrapping"/>
      </w:r>
      <w:r>
        <w:t xml:space="preserve">                                 | Группа 8 (N=8). Одна доза (Х мг), после еды. |</w:t>
      </w:r>
      <w:r>
        <w:br w:type="textWrapping"/>
      </w:r>
      <w:r>
        <w:rPr>
          <w:b/>
        </w:rPr>
        <w:t xml:space="preserve">Условия хранения:</w:t>
      </w:r>
      <w:r>
        <w:t xml:space="preserve"> </w:t>
      </w:r>
      <w:r>
        <w:t xml:space="preserve">| В сухом месте, в защищенном от света месте и недоступном для детей, при температуре ниже 25°C. |</w:t>
      </w:r>
    </w:p>
    <w:p>
      <w:pPr>
        <w:pStyle w:val="7"/>
      </w:pPr>
      <w:r>
        <w:t xml:space="preserve">Прием препарата</w:t>
      </w:r>
    </w:p>
    <w:p>
      <w:pPr>
        <w:pStyle w:val="7"/>
      </w:pPr>
      <w:r>
        <w:t xml:space="preserve">Каждый участник получит дозу препарата в соответствии с группой, к которой он будет отнесен, в следующем формате:</w:t>
      </w:r>
    </w:p>
    <w:p>
      <w:pPr>
        <w:pStyle w:val="7"/>
      </w:pPr>
      <w:r>
        <w:rPr>
          <w:b/>
        </w:rPr>
        <w:t xml:space="preserve">Группа</w:t>
      </w:r>
      <w:r>
        <w:t xml:space="preserve"> </w:t>
      </w:r>
      <w:r>
        <w:t xml:space="preserve">| &gt;</w:t>
      </w:r>
      <w:r>
        <w:t xml:space="preserve"> </w:t>
      </w:r>
      <w:r>
        <w:rPr>
          <w:b/>
        </w:rPr>
        <w:t xml:space="preserve">Ежедневная доза</w:t>
      </w:r>
      <w:r>
        <w:t xml:space="preserve"> </w:t>
      </w:r>
      <w:r>
        <w:t xml:space="preserve">| &gt;</w:t>
      </w:r>
      <w:r>
        <w:t xml:space="preserve"> </w:t>
      </w:r>
      <w:r>
        <w:rPr>
          <w:b/>
        </w:rPr>
        <w:t xml:space="preserve">Количество таблеток в одной дозе</w:t>
      </w:r>
      <w:r>
        <w:t xml:space="preserve"> </w:t>
      </w:r>
      <w:r>
        <w:t xml:space="preserve">|</w:t>
      </w:r>
      <w:r>
        <w:t xml:space="preserve"> </w:t>
      </w:r>
      <w:r>
        <w:rPr>
          <w:b/>
        </w:rPr>
        <w:t xml:space="preserve">Продолжительность</w:t>
      </w:r>
      <w:r>
        <w:t xml:space="preserve"> </w:t>
      </w:r>
      <w:r>
        <w:t xml:space="preserve">|</w:t>
      </w:r>
      <w:r>
        <w:br w:type="textWrapping"/>
      </w:r>
      <w:r>
        <w:t xml:space="preserve">Группа 1 | &gt; L08-0623, 10 мг или плацебо | &gt; 1 таблетка, 10 мг (натощак) | &gt; Одна доза в День 0 |</w:t>
      </w:r>
      <w:r>
        <w:br w:type="textWrapping"/>
      </w:r>
      <w:r>
        <w:t xml:space="preserve">Группа 2 | &gt; L08-0623, 20 мг или плацебо | &gt; 2 таблетки, по 10 мг (натощак) | &gt; Одна доза в День 0 |</w:t>
      </w:r>
      <w:r>
        <w:br w:type="textWrapping"/>
      </w:r>
      <w:r>
        <w:t xml:space="preserve">Группа 3 | &gt; L08-0623, 50 мг или плацебо | &gt; 1 таблетка, 50 мг (натощак) | &gt; Одна доза в День 0 |</w:t>
      </w:r>
      <w:r>
        <w:br w:type="textWrapping"/>
      </w:r>
      <w:r>
        <w:t xml:space="preserve">Группа 4 | &gt; L08-0623, 100 мг или плацебо| &gt; 2 таблетки, по 50 мг (натощак) | &gt; Одна доза в День 0 |</w:t>
      </w:r>
      <w:r>
        <w:br w:type="textWrapping"/>
      </w:r>
      <w:r>
        <w:t xml:space="preserve">Группа 5 | &gt; L08-0623, 50 мг или плацебо | &gt; 1 таблетка, 50 мг (натощак) | &gt; Одна доза в День 0 –День 6 |</w:t>
      </w:r>
      <w:r>
        <w:br w:type="textWrapping"/>
      </w:r>
      <w:r>
        <w:t xml:space="preserve">Группа 6 | &gt; L08-0623, 100 мг или плацебо| &gt; 2 таблетки, по 50 мг (натощак) | &gt; Одна доза в День 0 –День 6 |</w:t>
      </w:r>
      <w:r>
        <w:br w:type="textWrapping"/>
      </w:r>
      <w:r>
        <w:t xml:space="preserve">Группа 7 | &gt; L08-0623, Х мг или плацебо | &gt; Х таблеток (после еды) | &gt; Одна доза в День 0 |</w:t>
      </w:r>
      <w:r>
        <w:br w:type="textWrapping"/>
      </w:r>
      <w:r>
        <w:t xml:space="preserve">Группа 8 | &gt; L08-0623, Х мг или плацебо | &gt; Х таблеток (после еды) | &gt; Одна доза в День 0 |</w:t>
      </w:r>
    </w:p>
    <w:p>
      <w:pPr>
        <w:pStyle w:val="BlockText"/>
      </w:pPr>
      <w:r>
        <w:t xml:space="preserve">Препарат будет вводиться следующим образом:</w:t>
      </w:r>
    </w:p>
    <w:p>
      <w:pPr>
        <w:numPr>
          <w:numId w:val="1045"/>
          <w:ilvl w:val="0"/>
        </w:numPr>
      </w:pPr>
      <w:r>
        <w:t xml:space="preserve">В День 0, для групп с одной дозой (Группы 1, 2, 3, 4, 7 и 8), препарат будет вводиться на месте под наблюдением исследователя.</w:t>
      </w:r>
    </w:p>
    <w:p>
      <w:pPr>
        <w:numPr>
          <w:numId w:val="1045"/>
          <w:ilvl w:val="0"/>
        </w:numPr>
      </w:pPr>
      <w:r>
        <w:t xml:space="preserve">В День 0 – День 6, для групп с несколькими дозами (Группы 5 и 6), препарат будет вводиться на месте под наблюдением исследователя.</w:t>
      </w:r>
    </w:p>
    <w:p>
      <w:pPr>
        <w:pStyle w:val="FirstParagraph"/>
      </w:pPr>
      <w:r>
        <w:t xml:space="preserve">Препарат будет вводиться участникам исследователя или назначенному (со-исследователем) и будет вводиться между 7 утра и 10 утра, натощак (после предыдущего периода голодания не менее 8 часов) или после стандартного завтрака с высоким содержанием калорий, в виде одной или нескольких доз (в зависимости от группы).</w:t>
      </w:r>
    </w:p>
    <w:p>
      <w:pPr>
        <w:pStyle w:val="7"/>
      </w:pPr>
      <w:r>
        <w:t xml:space="preserve">Препарат будет вводиться под наблюдением исследователя. Препарат будет вводиться участнику перед самим приемом. В соответствии с инструкциями исследователя, участник будет принимать препарат вместе с 250 мл кипяченой или бутилированной воды комнатной температуры.</w:t>
      </w:r>
    </w:p>
    <w:p>
      <w:pPr>
        <w:pStyle w:val="7"/>
      </w:pPr>
      <w:r>
        <w:rPr>
          <w:b/>
        </w:rPr>
        <w:t xml:space="preserve">Участникам следует принимать препарат, стоя или сидя. Время приема препарата будет зафиксировано в документации и будет считаться</w:t>
      </w:r>
      <w:r>
        <w:rPr>
          <w:b/>
        </w:rPr>
        <w:t xml:space="preserve"> </w:t>
      </w:r>
      <w:r>
        <w:rPr>
          <w:b/>
        </w:rPr>
        <w:t xml:space="preserve">“</w:t>
      </w:r>
      <w:r>
        <w:rPr>
          <w:b/>
        </w:rPr>
        <w:t xml:space="preserve">Точкой 0</w:t>
      </w:r>
      <w:r>
        <w:rPr>
          <w:b/>
        </w:rPr>
        <w:t xml:space="preserve">”</w:t>
      </w:r>
      <w:r>
        <w:rPr>
          <w:b/>
        </w:rPr>
        <w:t xml:space="preserve"> </w:t>
      </w:r>
      <w:r>
        <w:rPr>
          <w:b/>
        </w:rPr>
        <w:t xml:space="preserve">для последующего сбора биологических образцов и началом остальной части исследования.</w:t>
      </w:r>
    </w:p>
    <w:p>
      <w:pPr>
        <w:pStyle w:val="7"/>
      </w:pPr>
      <w:r>
        <w:rPr>
          <w:b/>
        </w:rPr>
        <w:t xml:space="preserve">После приема препарата участником, необходимо проверить руки и ротовую полость участника (внешнюю и внутреннюю) для обеспечения того, что препарат был принят.</w:t>
      </w:r>
    </w:p>
    <w:p>
      <w:pPr>
        <w:pStyle w:val="BlockText"/>
      </w:pPr>
      <w:r>
        <w:rPr>
          <w:i/>
        </w:rPr>
        <w:t xml:space="preserve">Расписание приема пищи</w:t>
      </w:r>
    </w:p>
    <w:p>
      <w:pPr>
        <w:pStyle w:val="FirstParagraph"/>
      </w:pPr>
      <w:r>
        <w:t xml:space="preserve">Волонтеры, принимающие исследуемое лекарство в состоянии голодания (после как минимум 8 часов голодания), должны употреблять стандартный завтрак не ранее чем через 4 часа после приема лекарства.</w:t>
      </w:r>
    </w:p>
    <w:p>
      <w:pPr>
        <w:pStyle w:val="7"/>
      </w:pPr>
      <w:r>
        <w:t xml:space="preserve">Волонтеры, принимающие исследуемое лекарство в состоянии приема пищи, должны употреблять стандартный завтрак с высоким содержанием калорий за 30 минут до приема исследуемого лекарства и прекратить прием пищи не позднее, чем за 10 минут до приема исследуемого лекарства.</w:t>
      </w:r>
    </w:p>
    <w:p>
      <w:pPr>
        <w:pStyle w:val="7"/>
      </w:pPr>
      <w:r>
        <w:t xml:space="preserve">Волонтеры должны употреблять стандартный обед не ранее чем через 6 часов (ужин - не ранее чем через 10 часов) после приема лекарства. После приема лекарства волонтеры должны придерживаться регулярного режима питания, за исключением 8-часового периода голодания перед забор крови для анализа общего анализа крови и биохимических тестов.</w:t>
      </w:r>
    </w:p>
    <w:p>
      <w:pPr>
        <w:pStyle w:val="BlockText"/>
      </w:pPr>
      <w:r>
        <w:rPr>
          <w:i/>
        </w:rPr>
        <w:t xml:space="preserve">Стандартный завтрак с высоким содержанием калорий</w:t>
      </w:r>
    </w:p>
    <w:p>
      <w:pPr>
        <w:pStyle w:val="FirstParagraph"/>
      </w:pPr>
      <w:r>
        <w:t xml:space="preserve">Общая энергетическая ценность стандартного завтрака с высоким содержанием жиров составляет 900-1000 ккал (энергетическая ценность белков, углеводов и жиров составляет 150 ккал, 250 ккал и 500-600 ккал соответственно).</w:t>
      </w:r>
    </w:p>
    <w:p>
      <w:pPr>
        <w:pStyle w:val="BlockText"/>
      </w:pPr>
      <w:r>
        <w:rPr>
          <w:i/>
        </w:rPr>
        <w:t xml:space="preserve">Режим питья</w:t>
      </w:r>
    </w:p>
    <w:p>
      <w:pPr>
        <w:pStyle w:val="FirstParagraph"/>
      </w:pPr>
      <w:r>
        <w:t xml:space="preserve">Утром, не позднее чем за 1 час до приема лекарства, волонтер должен выпить 200 мл воды комнатной температуры, или бутилированной воды. После этого питье запрещено в течение 1 часа до и 2 часа после приема исследуемого лекарства (за исключением жидкостей, указанных в разделе</w:t>
      </w:r>
      <w:r>
        <w:t xml:space="preserve"> </w:t>
      </w:r>
      <w:r>
        <w:t xml:space="preserve">“</w:t>
      </w:r>
      <w:r>
        <w:t xml:space="preserve">Прием исследуемого лекарства</w:t>
      </w:r>
      <w:r>
        <w:t xml:space="preserve">”</w:t>
      </w:r>
      <w:r>
        <w:t xml:space="preserve">). Волонтеры должны придерживаться регулярного режима питья.</w:t>
      </w:r>
    </w:p>
    <w:p>
      <w:pPr>
        <w:pStyle w:val="7"/>
      </w:pPr>
      <w:r>
        <w:t xml:space="preserve">В день 0 (первая доза), волонтеры в группах 1, 2, 3 и 4, и в день 7 (последняя доза), волонтеры в группах многократного приема (группы 5 и 6) будут ограничены в потреблении жидкости в течение 1 часа до и 1 часа после дозирования. В остальные дни волонтеры могут пить воду без ограничений. В дни 0 и 6, когда собирается кровь для оценки PK, волонтеры также должны воздержаться от приема пищи в течение 4 часов после дозирования. В остальные дни дозирования (в группах многократного приема) волонтеры могут есть сразу после дозирования.</w:t>
      </w:r>
    </w:p>
    <w:p>
      <w:pPr>
        <w:pStyle w:val="7"/>
      </w:pPr>
      <w:r>
        <w:t xml:space="preserve">Распределение субъектов в терапевтические группы</w:t>
      </w:r>
    </w:p>
    <w:p>
      <w:pPr>
        <w:pStyle w:val="7"/>
      </w:pPr>
      <w:r>
        <w:rPr>
          <w:b/>
        </w:rPr>
        <w:t xml:space="preserve">Производитель будет случайным образом назначать исследуемое лекарство L08-0623 и плацебо среди упаковок, предназначенных для каждой группы дозирования, с использованием блочной рандомизации при упаковке лекарств.</w:t>
      </w:r>
    </w:p>
    <w:p>
      <w:pPr>
        <w:pStyle w:val="7"/>
      </w:pPr>
      <w:r>
        <w:rPr>
          <w:b/>
        </w:rPr>
        <w:t xml:space="preserve">Номер рандомизации будет присвоен в соответствии со схемой рандомизации методом блочной рандомизации без стратификации с использованием IWRS iRand. Первые два волонтера в каждой группе (основной контроль безопасности) будут рандомизированы в соотношении 1:1. Остальные волонтеры в каждой группе будут рандомизированы в соотношении 5:1.</w:t>
      </w:r>
    </w:p>
    <w:p>
      <w:pPr>
        <w:pStyle w:val="7"/>
      </w:pPr>
      <w:r>
        <w:rPr>
          <w:b/>
        </w:rPr>
        <w:t xml:space="preserve">Номер упакованного лекарства будет добавлен к последним трем цифрам индивидуального номера волонтера.</w:t>
      </w:r>
    </w:p>
    <w:p>
      <w:pPr>
        <w:pStyle w:val="7"/>
      </w:pPr>
      <w:r>
        <w:t xml:space="preserve">Блейдинг</w:t>
      </w:r>
    </w:p>
    <w:p>
      <w:pPr>
        <w:pStyle w:val="7"/>
      </w:pPr>
      <w:r>
        <w:rPr>
          <w:b/>
        </w:rPr>
        <w:t xml:space="preserve">Это двойное слепое исследование. Это означает, что ни исследовательская группа, ни волонтеры не будут знать, что находится в упаковке: L08-0623 или плацебо.</w:t>
      </w:r>
    </w:p>
    <w:p>
      <w:pPr>
        <w:pStyle w:val="7"/>
      </w:pPr>
      <w:r>
        <w:t xml:space="preserve">Соответствие</w:t>
      </w:r>
    </w:p>
    <w:p>
      <w:pPr>
        <w:pStyle w:val="7"/>
      </w:pPr>
      <w:r>
        <w:rPr>
          <w:b/>
        </w:rPr>
        <w:t xml:space="preserve">Во время исследования волонтеры во всех группах дозирования будут получать исследуемое лекарство только в месте проведения исследования под наблюдением исследователя. Исследователь отвечает за дозирование в месте проведения исследования.</w:t>
      </w:r>
    </w:p>
    <w:p>
      <w:pPr>
        <w:pStyle w:val="7"/>
      </w:pPr>
      <w:r>
        <w:t xml:space="preserve">Предшествующая и сопутствующая терапия</w:t>
      </w:r>
    </w:p>
    <w:p>
      <w:pPr>
        <w:pStyle w:val="7"/>
      </w:pPr>
      <w:r>
        <w:rPr>
          <w:b/>
        </w:rPr>
        <w:t xml:space="preserve">Волонтеры, регулярно принимающие какие-либо лекарства (включая витамины, диетические добавки, травяные добавки) в течение 14 дней до скрининга, не будут включены в исследование. Кроме того, исследование не будет включать волонтеров, принимающих какие-либо лекарства, которые оказывают выраженное влияние на гемодинамику, функцию печени и т. д. (барбитураты, омепразол, циметидин и т. д.).</w:t>
      </w:r>
    </w:p>
    <w:p>
      <w:pPr>
        <w:pStyle w:val="7"/>
      </w:pPr>
      <w:r>
        <w:rPr>
          <w:b/>
        </w:rPr>
        <w:t xml:space="preserve">Любая сопутствующая терапия запрещена в исследовании. Во время всего периода исследования волонтерам необходимо воздерживаться от приема каких-либо лекарств, кроме тех, которые предусмотрены в этом исследовании. Если волонтеру необходимо принять какое-либо лекарство, его участие в исследовании должно быть прекращено.</w:t>
      </w:r>
    </w:p>
    <w:p>
      <w:pPr>
        <w:pStyle w:val="7"/>
      </w:pPr>
      <w:r>
        <w:rPr>
          <w:b/>
        </w:rPr>
        <w:t xml:space="preserve">Ограничения в питании и активности</w:t>
      </w:r>
    </w:p>
    <w:p>
      <w:pPr>
        <w:pStyle w:val="7"/>
      </w:pPr>
      <w:r>
        <w:t xml:space="preserve">В течение всего периода исследования волонтерам необходимо придерживаться определенного режима дня и диетических ограничений, включая отказ от употребления грейпфрутового сока, кофе, чая, шоколада, колы, имбиря и продуктов на основе имбиря, алкогольных напитков, продуктов, содержащих семена подсолнечника, а также от курения или занятия интенсивными физическими упражнениями, начиная с момента подписания формы согласия и до окончания их участия в исследовании.</w:t>
      </w:r>
    </w:p>
    <w:p>
      <w:pPr>
        <w:pStyle w:val="7"/>
      </w:pPr>
      <w:r>
        <w:t xml:space="preserve">Волонтерам необходимо воздержаться от употребления продуктов и напитков, которые могут повлиять на функцию кровообращения, пищеварительной или печеночно-почечной систем.</w:t>
      </w:r>
    </w:p>
    <w:p>
      <w:pPr>
        <w:pStyle w:val="7"/>
      </w:pPr>
      <w:r>
        <w:t xml:space="preserve">Для всех визитов в исследовательский центр, за исключением первого дня (госпитализация), волонтеры должны прибыть натощак (не менее чем через 8 часов после последнего приема пищи).</w:t>
      </w:r>
    </w:p>
    <w:p>
      <w:pPr>
        <w:pStyle w:val="7"/>
      </w:pPr>
      <w:r>
        <w:t xml:space="preserve">Волонтеры должны быть полностью проинформированы о неизвестных рисках беременности и согласны не допускать беременности, включая беременность их партнера, в течение всего периода исследования и 3 месяца после окончания их участия в исследовании.</w:t>
      </w:r>
    </w:p>
    <w:p>
      <w:pPr>
        <w:pStyle w:val="7"/>
      </w:pPr>
      <w:r>
        <w:t xml:space="preserve">В данном исследовании разрешены следующие методы контрацепции: использование презерватива с спиртом (пены, гели, кремы, свечи).</w:t>
      </w:r>
    </w:p>
    <w:p>
      <w:pPr>
        <w:pStyle w:val="7"/>
      </w:pPr>
      <w:r>
        <w:t xml:space="preserve">Если есть какие-либо сомнения относительно использования волонтером приемлемых методов контрацепции, его/ее не следует включать в исследование.</w:t>
      </w:r>
    </w:p>
    <w:p>
      <w:pPr>
        <w:pStyle w:val="7"/>
      </w:pPr>
      <w:r>
        <w:t xml:space="preserve">Упаковка и маркировка исследуемого препарата</w:t>
      </w:r>
    </w:p>
    <w:p>
      <w:pPr>
        <w:pStyle w:val="7"/>
      </w:pPr>
      <w:r>
        <w:t xml:space="preserve">Исследуемый препарат L08-0623, таблетки с пленочной оболочкой или плацебо, будут предоставлены спонсором в индивидуальных герметичных упаковках. Упаковка и маркировка будут осуществляться в соответствии с действующими законами и нормативными актами.</w:t>
      </w:r>
    </w:p>
    <w:p>
      <w:pPr>
        <w:pStyle w:val="BlockText"/>
      </w:pPr>
      <w:r>
        <w:t xml:space="preserve">Маркировка препарата представлена на рисунке 2.</w:t>
      </w:r>
    </w:p>
    <w:p>
      <w:pPr>
        <w:pStyle w:val="FirstParagraph"/>
      </w:pPr>
      <w:r>
        <w:t xml:space="preserve">Рисунок 2. Проект маркировки для исследования № PSR-L08-0623</w:t>
      </w:r>
    </w:p>
    <w:p>
      <w:pPr>
        <w:pStyle w:val="7"/>
      </w:pPr>
      <w:r>
        <w:t xml:space="preserve">&gt;</w:t>
      </w:r>
      <w:r>
        <w:t xml:space="preserve"> </w:t>
      </w:r>
      <w:r>
        <w:rPr>
          <w:u w:val="single"/>
          <w:b/>
        </w:rPr>
        <w:t xml:space="preserve">Для клинических исследований</w:t>
      </w:r>
      <w:r>
        <w:rPr>
          <w:b/>
        </w:rPr>
        <w:t xml:space="preserve">  | | &gt;</w:t>
      </w:r>
      <w:r>
        <w:rPr>
          <w:b/>
        </w:rPr>
        <w:t xml:space="preserve"> </w:t>
      </w:r>
      <w:r>
        <w:t xml:space="preserve">Группа Х** |</w:t>
      </w:r>
      <w:r>
        <w:br w:type="textWrapping"/>
      </w:r>
      <w:r>
        <w:t xml:space="preserve">&gt; **Клиническое исследование: PSR - L08-0623  | | &gt; |</w:t>
      </w:r>
      <w:r>
        <w:br w:type="textWrapping"/>
      </w:r>
      <w:r>
        <w:t xml:space="preserve">&gt; Номер волонтера:</w:t>
      </w:r>
      <w:r>
        <w:t xml:space="preserve"> </w:t>
      </w:r>
      <w:r>
        <w:t xml:space="preserve"> </w:t>
      </w:r>
      <w:r>
        <w:t xml:space="preserve">Дата:</w:t>
      </w:r>
      <w:r>
        <w:t xml:space="preserve"> </w:t>
      </w:r>
      <w:r>
        <w:t xml:space="preserve"> </w:t>
      </w:r>
      <w:r>
        <w:t xml:space="preserve">| | &gt;</w:t>
      </w:r>
      <w:r>
        <w:t xml:space="preserve"> </w:t>
      </w:r>
      <w:r>
        <w:rPr>
          <w:b/>
        </w:rPr>
        <w:t xml:space="preserve">№ ХХХ</w:t>
      </w:r>
      <w:r>
        <w:t xml:space="preserve"> </w:t>
      </w:r>
      <w:r>
        <w:t xml:space="preserve">|</w:t>
      </w:r>
      <w:r>
        <w:br w:type="textWrapping"/>
      </w:r>
      <w:r>
        <w:rPr>
          <w:b/>
        </w:rPr>
        <w:t xml:space="preserve">L08-0623 или плацебо</w:t>
      </w:r>
      <w:r>
        <w:t xml:space="preserve"> </w:t>
      </w:r>
      <w:r>
        <w:t xml:space="preserve">| | |</w:t>
      </w:r>
      <w:r>
        <w:br w:type="textWrapping"/>
      </w:r>
      <w:r>
        <w:t xml:space="preserve">&gt; Таблетки с пленочной оболочкой, 10 мг  | | |</w:t>
      </w:r>
      <w:r>
        <w:br w:type="textWrapping"/>
      </w:r>
      <w:r>
        <w:t xml:space="preserve">&gt; Хранить в сухом месте, защищенном от света при температуре ниже 25°C | | |</w:t>
      </w:r>
      <w:r>
        <w:br w:type="textWrapping"/>
      </w:r>
      <w:r>
        <w:t xml:space="preserve">&gt; Производитель: CDRI LLC, 2А Rabochaya St, Bldg 1, Khimki, Moscow Region, Russia  | | |</w:t>
      </w:r>
      <w:r>
        <w:br w:type="textWrapping"/>
      </w:r>
      <w:r>
        <w:t xml:space="preserve">&gt; Tel. + 7 (985) 728-75-72 | | |</w:t>
      </w:r>
      <w:r>
        <w:br w:type="textWrapping"/>
      </w:r>
      <w:r>
        <w:t xml:space="preserve">&gt; Спонсор исследования: BetaRex LLC, 141401, 2А Rabochaya St, Bldg 1, Room 48, FL 2, Khimki, Moscow Region, Russia, 141401 | | |</w:t>
      </w:r>
      <w:r>
        <w:br w:type="textWrapping"/>
      </w:r>
      <w:r>
        <w:t xml:space="preserve">&gt; Координатор исследования: IPHARMA LLC, Россия,  | | |</w:t>
      </w:r>
      <w:r>
        <w:br w:type="textWrapping"/>
      </w:r>
      <w:r>
        <w:t xml:space="preserve">&gt; Tel. + 7 (495) 276-11-43 | | |</w:t>
      </w:r>
      <w:r>
        <w:br w:type="textWrapping"/>
      </w:r>
      <w:r>
        <w:t xml:space="preserve">&gt; Серия: ХХХХХ Срок годности: ХХ.ХХХХ  | | |</w:t>
      </w:r>
      <w:r>
        <w:br w:type="textWrapping"/>
      </w:r>
      <w:r>
        <w:t xml:space="preserve">&gt; Хранить в недоступном для детей месте | | |</w:t>
      </w:r>
      <w:r>
        <w:br w:type="textWrapping"/>
      </w:r>
      <w:r>
        <w:t xml:space="preserve">&gt;</w:t>
      </w:r>
      <w:r>
        <w:t xml:space="preserve"> </w:t>
      </w:r>
      <w:r>
        <w:rPr>
          <w:u w:val="single"/>
          <w:b/>
        </w:rPr>
        <w:t xml:space="preserve">Для клинических исследований</w:t>
      </w:r>
      <w:r>
        <w:rPr>
          <w:b/>
        </w:rPr>
        <w:t xml:space="preserve">  | | &gt;</w:t>
      </w:r>
      <w:r>
        <w:rPr>
          <w:b/>
        </w:rPr>
        <w:t xml:space="preserve"> </w:t>
      </w:r>
      <w:r>
        <w:t xml:space="preserve">Группа Х** |</w:t>
      </w:r>
      <w:r>
        <w:br w:type="textWrapping"/>
      </w:r>
      <w:r>
        <w:t xml:space="preserve">&gt; **Клиническое исследование: PSR - L08-0623  | | &gt; |</w:t>
      </w:r>
      <w:r>
        <w:br w:type="textWrapping"/>
      </w:r>
      <w:r>
        <w:t xml:space="preserve">&gt; Номер волонтера:</w:t>
      </w:r>
      <w:r>
        <w:t xml:space="preserve"> </w:t>
      </w:r>
      <w:r>
        <w:t xml:space="preserve"> </w:t>
      </w:r>
      <w:r>
        <w:t xml:space="preserve">Дата:</w:t>
      </w:r>
      <w:r>
        <w:t xml:space="preserve"> </w:t>
      </w:r>
      <w:r>
        <w:t xml:space="preserve"> </w:t>
      </w:r>
      <w:r>
        <w:t xml:space="preserve">| | &gt;</w:t>
      </w:r>
      <w:r>
        <w:t xml:space="preserve"> </w:t>
      </w:r>
      <w:r>
        <w:rPr>
          <w:b/>
        </w:rPr>
        <w:t xml:space="preserve">№ ХХХ</w:t>
      </w:r>
      <w:r>
        <w:t xml:space="preserve"> </w:t>
      </w:r>
      <w:r>
        <w:t xml:space="preserve">|</w:t>
      </w:r>
      <w:r>
        <w:br w:type="textWrapping"/>
      </w:r>
      <w:r>
        <w:rPr>
          <w:b/>
        </w:rPr>
        <w:t xml:space="preserve">L08-0623 или плацебо</w:t>
      </w:r>
      <w:r>
        <w:t xml:space="preserve"> </w:t>
      </w:r>
      <w:r>
        <w:t xml:space="preserve">| | |</w:t>
      </w:r>
      <w:r>
        <w:br w:type="textWrapping"/>
      </w:r>
      <w:r>
        <w:t xml:space="preserve">&gt; Таблетки с пленочной оболочкой, 50 мг  | | |</w:t>
      </w:r>
      <w:r>
        <w:br w:type="textWrapping"/>
      </w:r>
      <w:r>
        <w:t xml:space="preserve">&gt; Хранить в сухом месте, защищенном от света при температуре ниже 25°C | | |</w:t>
      </w:r>
      <w:r>
        <w:br w:type="textWrapping"/>
      </w:r>
      <w:r>
        <w:t xml:space="preserve">&gt; Производитель: CDRI LLC, 2А Rabochaya St, Bldg 1, Khimki, Moscow Region, Russia  | | |</w:t>
      </w:r>
      <w:r>
        <w:br w:type="textWrapping"/>
      </w:r>
      <w:r>
        <w:t xml:space="preserve">&gt; Tel. + 7 (985) 728-75-72 | | |</w:t>
      </w:r>
      <w:r>
        <w:br w:type="textWrapping"/>
      </w:r>
      <w:r>
        <w:t xml:space="preserve">&gt; Спонсор исследования: BetaRex LLC, 141401, 2А Rabochaya St, Bldg 1, Room 48, FL 2, Khimki, Moscow Region, Russia, 141401 | | |</w:t>
      </w:r>
      <w:r>
        <w:br w:type="textWrapping"/>
      </w:r>
      <w:r>
        <w:t xml:space="preserve">&gt; Координатор исследования: IPHARMA LLC, Россия,  | | |</w:t>
      </w:r>
      <w:r>
        <w:br w:type="textWrapping"/>
      </w:r>
      <w:r>
        <w:t xml:space="preserve">&gt; Tel. + 7 (495) 276-11-43 | | |</w:t>
      </w:r>
      <w:r>
        <w:br w:type="textWrapping"/>
      </w:r>
      <w:r>
        <w:t xml:space="preserve">&gt; Серия: ХХХХХ Срок годности: ХХ.ХХХХ  | | |</w:t>
      </w:r>
      <w:r>
        <w:br w:type="textWrapping"/>
      </w:r>
      <w:r>
        <w:t xml:space="preserve">&gt; Хранить в недоступном для детей месте | | |</w:t>
      </w:r>
    </w:p>
    <w:p>
      <w:pPr>
        <w:pStyle w:val="7"/>
      </w:pPr>
      <w:r>
        <w:t xml:space="preserve">Изучение ответственности за лекарственные средства</w:t>
      </w:r>
    </w:p>
    <w:p>
      <w:pPr>
        <w:pStyle w:val="BlockText"/>
      </w:pPr>
      <w:r>
        <w:rPr>
          <w:b/>
        </w:rPr>
        <w:t xml:space="preserve">Лекарственное средство будет передано на исследовательский объект спонсором вместе с сертификатом о передаче и приеме. Спонсор несет ответственность за качество лекарственного средства. Документация, подтверждающая контроль качества лекарственного средства, будет предоставлена исследователю и должна храниться вместе с документами исследования.</w:t>
      </w:r>
      <w:r>
        <w:t xml:space="preserve"> </w:t>
      </w:r>
      <w:r>
        <w:rPr>
          <w:b/>
        </w:rPr>
        <w:t xml:space="preserve">Исследователь несет ответственность за обеспечение соблюдения следующих правил обращения с лекарственным средством:</w:t>
      </w:r>
    </w:p>
    <w:p>
      <w:pPr>
        <w:numPr>
          <w:numId w:val="1046"/>
          <w:ilvl w:val="0"/>
        </w:numPr>
      </w:pPr>
      <w:r>
        <w:rPr>
          <w:b/>
        </w:rPr>
        <w:t xml:space="preserve">Ведение учета лекарственного средства (передача лекарственного средства на исследовательский объект в соответствии с сертификатом о передаче и приеме);</w:t>
      </w:r>
    </w:p>
    <w:p>
      <w:pPr>
        <w:numPr>
          <w:numId w:val="1046"/>
          <w:ilvl w:val="0"/>
        </w:numPr>
      </w:pPr>
      <w:r>
        <w:rPr>
          <w:b/>
        </w:rPr>
        <w:t xml:space="preserve">Ведение учета использования лекарственного средства на исследовательском объекте с использованием специальной формы учета лекарственного средства. Лекарственное средство должно быть выдано только исследователем, ответственным за учет лекарственного средства (в соответствии со списком распределения задач). Распределение обязанностей должно быть задокументировано в специальной форме (списке распределения задач) до начала исследования;</w:t>
      </w:r>
    </w:p>
    <w:p>
      <w:pPr>
        <w:numPr>
          <w:numId w:val="1046"/>
          <w:ilvl w:val="0"/>
        </w:numPr>
      </w:pPr>
      <w:r>
        <w:rPr>
          <w:b/>
        </w:rPr>
        <w:t xml:space="preserve">Обеспечение того, чтобы лекарственное средство выдавалось в строгом соответствии с протоколом, то есть только тем волонтерам, которые включены в исследование и рандомизированы, и документация о возвращенном лекарственном средстве на форме</w:t>
      </w:r>
      <w:r>
        <w:rPr>
          <w:b/>
        </w:rPr>
        <w:t xml:space="preserve"> </w:t>
      </w:r>
      <w:r>
        <w:rPr>
          <w:b/>
        </w:rPr>
        <w:t xml:space="preserve">“</w:t>
      </w:r>
      <w:r>
        <w:rPr>
          <w:b/>
        </w:rPr>
        <w:t xml:space="preserve">Инвентарь возвращенного лекарственного средства</w:t>
      </w:r>
      <w:r>
        <w:rPr>
          <w:b/>
        </w:rPr>
        <w:t xml:space="preserve">”</w:t>
      </w:r>
      <w:r>
        <w:rPr>
          <w:b/>
        </w:rPr>
        <w:t xml:space="preserve"> </w:t>
      </w:r>
      <w:r>
        <w:rPr>
          <w:b/>
        </w:rPr>
        <w:t xml:space="preserve">(для групп с многократным применением).</w:t>
      </w:r>
    </w:p>
    <w:p>
      <w:pPr>
        <w:pStyle w:val="Compact"/>
        <w:numPr>
          <w:numId w:val="1047"/>
          <w:ilvl w:val="1"/>
        </w:numPr>
      </w:pPr>
      <w:r>
        <w:t xml:space="preserve">Хранение и учет лекарственного средства в исследовании</w:t>
      </w:r>
    </w:p>
    <w:p>
      <w:pPr>
        <w:pStyle w:val="FirstParagraph"/>
      </w:pPr>
      <w:r>
        <w:rPr>
          <w:b/>
        </w:rPr>
        <w:t xml:space="preserve">Лекарственное средство должно храниться в запертой комнате или шкафу, к которому имеют доступ только исследователь или член исследовательской группы, уполномоченный исследователем.</w:t>
      </w:r>
    </w:p>
    <w:p>
      <w:pPr>
        <w:pStyle w:val="7"/>
      </w:pPr>
      <w:r>
        <w:rPr>
          <w:b/>
        </w:rPr>
        <w:t xml:space="preserve">Исследователь несет ответственность за обеспечение того, чтобы лекарственное средство хранилось на исследовательском объекте на протяжении всего исследования. Должны быть обеспечены ограниченный доступ и подходящая температура. Температуру необходимо контролировать с помощью термометров, которые регистрируют минимальную и максимальную температуру за отчетный период. Данные о мониторинге температуры должны регулярно записываться в журнал температуры. В конце исследования, после финального подсчета, все использованные и неиспользованные флаконы лекарственного средства должны быть возвращены спонсору.</w:t>
      </w:r>
    </w:p>
    <w:p>
      <w:pPr>
        <w:numPr>
          <w:numId w:val="1048"/>
          <w:ilvl w:val="0"/>
        </w:numPr>
      </w:pPr>
      <w:r>
        <w:t xml:space="preserve">ОПИСАНИЕ ПРОЦЕДУР ИССЛЕДОВАНИЯ</w:t>
      </w:r>
    </w:p>
    <w:p>
      <w:pPr>
        <w:pStyle w:val="Compact"/>
        <w:numPr>
          <w:numId w:val="1049"/>
          <w:ilvl w:val="1"/>
        </w:numPr>
      </w:pPr>
      <w:r>
        <w:rPr>
          <w:b/>
        </w:rPr>
        <w:t xml:space="preserve">Информированное согласие</w:t>
      </w:r>
    </w:p>
    <w:p>
      <w:pPr>
        <w:pStyle w:val="FirstParagraph"/>
      </w:pPr>
      <w:r>
        <w:t xml:space="preserve">Перед проведением любых процедур исследования, волонтер должен ознакомиться с информацией о волонтере и подписать форму информированного согласия. Исследователь должен убедиться, что волонтер понимает информацию о процедурах исследования и связанных с ними ограничениях.</w:t>
      </w:r>
    </w:p>
    <w:p>
      <w:pPr>
        <w:pStyle w:val="7"/>
      </w:pPr>
      <w:r>
        <w:t xml:space="preserve">Волонтеру следует предоставить достаточно времени для принятия решения о том, хочет ли он/она участвовать в исследовании. Волонтеру следует предоставить возможность задавать дополнительные вопросы и получать на них ответы.</w:t>
      </w:r>
    </w:p>
    <w:p>
      <w:pPr>
        <w:pStyle w:val="7"/>
      </w:pPr>
      <w:r>
        <w:t xml:space="preserve">Во время процесса получения информированного согласия следует тщательно обсудить следующие вопросы:</w:t>
      </w:r>
    </w:p>
    <w:p>
      <w:pPr>
        <w:numPr>
          <w:numId w:val="1050"/>
          <w:ilvl w:val="0"/>
        </w:numPr>
      </w:pPr>
      <w:r>
        <w:t xml:space="preserve">Характеристики лекарственного средства (фармакологическая группа, механизм действия, показания и противопоказания, возможные побочные эффекты, способ введения и доза);</w:t>
      </w:r>
    </w:p>
    <w:p>
      <w:pPr>
        <w:numPr>
          <w:numId w:val="1050"/>
          <w:ilvl w:val="0"/>
        </w:numPr>
      </w:pPr>
      <w:r>
        <w:t xml:space="preserve">Условия отбора биологических образцов для проведения необходимых тестов;</w:t>
      </w:r>
    </w:p>
    <w:p>
      <w:pPr>
        <w:numPr>
          <w:numId w:val="1050"/>
          <w:ilvl w:val="0"/>
        </w:numPr>
      </w:pPr>
      <w:r>
        <w:t xml:space="preserve">Время прибытия волонтера на исследовательский объект;</w:t>
      </w:r>
    </w:p>
    <w:p>
      <w:pPr>
        <w:numPr>
          <w:numId w:val="1050"/>
          <w:ilvl w:val="0"/>
        </w:numPr>
      </w:pPr>
      <w:r>
        <w:t xml:space="preserve">Условия волонтера во время исследования;</w:t>
      </w:r>
    </w:p>
    <w:p>
      <w:pPr>
        <w:numPr>
          <w:numId w:val="1050"/>
          <w:ilvl w:val="0"/>
        </w:numPr>
      </w:pPr>
      <w:r>
        <w:t xml:space="preserve">Ежедневный график, график приема пищи, график приема напитков, употребление лекарственного средства и другие ограничения;</w:t>
      </w:r>
    </w:p>
    <w:p>
      <w:pPr>
        <w:numPr>
          <w:numId w:val="1050"/>
          <w:ilvl w:val="0"/>
        </w:numPr>
      </w:pPr>
      <w:r>
        <w:t xml:space="preserve">Побочные эффекты и их проявления;</w:t>
      </w:r>
    </w:p>
    <w:p>
      <w:pPr>
        <w:numPr>
          <w:numId w:val="1050"/>
          <w:ilvl w:val="0"/>
        </w:numPr>
      </w:pPr>
      <w:r>
        <w:t xml:space="preserve">Медицинская помощь во время исследования;</w:t>
      </w:r>
    </w:p>
    <w:p>
      <w:pPr>
        <w:numPr>
          <w:numId w:val="1050"/>
          <w:ilvl w:val="0"/>
        </w:numPr>
      </w:pPr>
      <w:r>
        <w:t xml:space="preserve">Условия, связанные со страхованием и оплатой;</w:t>
      </w:r>
    </w:p>
    <w:p>
      <w:pPr>
        <w:numPr>
          <w:numId w:val="1050"/>
          <w:ilvl w:val="0"/>
        </w:numPr>
      </w:pPr>
      <w:r>
        <w:t xml:space="preserve">Добровольный выход из исследования;</w:t>
      </w:r>
    </w:p>
    <w:p>
      <w:pPr>
        <w:numPr>
          <w:numId w:val="1050"/>
          <w:ilvl w:val="0"/>
        </w:numPr>
      </w:pPr>
      <w:r>
        <w:t xml:space="preserve">Конфиденциальность волонтера.</w:t>
      </w:r>
    </w:p>
    <w:p>
      <w:pPr>
        <w:pStyle w:val="Compact"/>
        <w:numPr>
          <w:numId w:val="1051"/>
          <w:ilvl w:val="1"/>
        </w:numPr>
      </w:pPr>
      <w:r>
        <w:rPr>
          <w:b/>
        </w:rPr>
        <w:t xml:space="preserve">Регистрация волонтера</w:t>
      </w:r>
    </w:p>
    <w:p>
      <w:pPr>
        <w:pStyle w:val="FirstParagraph"/>
      </w:pPr>
      <w:r>
        <w:t xml:space="preserve">Каждый волонтер, подписавший форму информации о волонтере и информированного согласия, получит идентификатор, состоящий из четырех цифр: первые две цифры - номер сайта, а остальные две - номер серии отбора волонтера в этом месте (01, 02, 03 и т. д.).</w:t>
      </w:r>
    </w:p>
    <w:p>
      <w:pPr>
        <w:pStyle w:val="7"/>
      </w:pPr>
      <w:r>
        <w:t xml:space="preserve">Все волонтеры, подписавшие форму информации о волонтере и информированного согласия, имеют страховку. При заполнении формы</w:t>
      </w:r>
      <w:r>
        <w:t xml:space="preserve"> </w:t>
      </w:r>
      <w:r>
        <w:t xml:space="preserve">“</w:t>
      </w:r>
      <w:r>
        <w:t xml:space="preserve">Информация о волонтере</w:t>
      </w:r>
      <w:r>
        <w:t xml:space="preserve">”</w:t>
      </w:r>
      <w:r>
        <w:t xml:space="preserve"> </w:t>
      </w:r>
      <w:r>
        <w:t xml:space="preserve">и формы</w:t>
      </w:r>
      <w:r>
        <w:t xml:space="preserve"> </w:t>
      </w:r>
      <w:r>
        <w:t xml:space="preserve">“</w:t>
      </w:r>
      <w:r>
        <w:t xml:space="preserve">Обязательное страхование</w:t>
      </w:r>
      <w:r>
        <w:t xml:space="preserve">”</w:t>
      </w:r>
      <w:r>
        <w:t xml:space="preserve">, исследователь должен указать Индивидуальный идентификационный код участника исследования.</w:t>
      </w:r>
    </w:p>
    <w:p>
      <w:pPr>
        <w:pStyle w:val="7"/>
      </w:pPr>
      <w:r>
        <w:t xml:space="preserve">В соответствии с нормативными требованиями, код индивидуальной идентификации участника исследования состоит из 33 цифр, расположенных последовательно слева направо, с следующей структурой:</w:t>
      </w:r>
    </w:p>
    <w:p>
      <w:pPr>
        <w:numPr>
          <w:numId w:val="1052"/>
          <w:ilvl w:val="0"/>
        </w:numPr>
      </w:pPr>
      <w:r>
        <w:t xml:space="preserve">Цифры 1-3 относятся к номеру разрешения на проведение данного клинического исследования (числовые значения от 001 до 999);</w:t>
      </w:r>
    </w:p>
    <w:p>
      <w:pPr>
        <w:numPr>
          <w:numId w:val="1052"/>
          <w:ilvl w:val="0"/>
        </w:numPr>
      </w:pPr>
      <w:r>
        <w:t xml:space="preserve">Цифры 4-11 относятся к дате выдачи разрешения (в формате ДД.ММ.ГГГГ, где ДД – день, ММ – месяц, ГГГГ – год);</w:t>
      </w:r>
    </w:p>
    <w:p>
      <w:pPr>
        <w:numPr>
          <w:numId w:val="1052"/>
          <w:ilvl w:val="0"/>
        </w:numPr>
      </w:pPr>
      <w:r>
        <w:t xml:space="preserve">Цифры 12-14 относятся к серийному номеру медицинского учреждения, проводящего клиническое исследование, указанному в разрешении (числовые значения от 001 до 100);</w:t>
      </w:r>
    </w:p>
    <w:p>
      <w:pPr>
        <w:numPr>
          <w:numId w:val="1052"/>
          <w:ilvl w:val="0"/>
        </w:numPr>
      </w:pPr>
      <w:r>
        <w:t xml:space="preserve">Цифры 15-17 относятся к первым буквам фамилии, имени и отчества волонтера;</w:t>
      </w:r>
    </w:p>
    <w:p>
      <w:pPr>
        <w:numPr>
          <w:numId w:val="1052"/>
          <w:ilvl w:val="0"/>
        </w:numPr>
      </w:pPr>
      <w:r>
        <w:t xml:space="preserve">Цифры 18-25 относятся к дате рождения волонтера (в формате ДД.ММ.ГГГГ, где ДД – дата, ММ – месяц, ГГГГ – год);</w:t>
      </w:r>
    </w:p>
    <w:p>
      <w:pPr>
        <w:numPr>
          <w:numId w:val="1052"/>
          <w:ilvl w:val="0"/>
        </w:numPr>
      </w:pPr>
      <w:r>
        <w:t xml:space="preserve">Цифры 26-33 относятся к уникальному номеру волонтера, присвоенному исследователем, состоящему из числовых значений. Последние 4 цифры относятся к индивидуальному номеру волонтера, первые 4 цифры - это 0000ssss (первые два</w:t>
      </w:r>
      <w:r>
        <w:t xml:space="preserve"> </w:t>
      </w:r>
      <w:r>
        <w:t xml:space="preserve">“</w:t>
      </w:r>
      <w:r>
        <w:t xml:space="preserve">s</w:t>
      </w:r>
      <w:r>
        <w:t xml:space="preserve">”</w:t>
      </w:r>
      <w:r>
        <w:t xml:space="preserve"> </w:t>
      </w:r>
      <w:r>
        <w:t xml:space="preserve">– это номер сайта, второй</w:t>
      </w:r>
      <w:r>
        <w:t xml:space="preserve"> </w:t>
      </w:r>
      <w:r>
        <w:t xml:space="preserve">“</w:t>
      </w:r>
      <w:r>
        <w:t xml:space="preserve">s</w:t>
      </w:r>
      <w:r>
        <w:t xml:space="preserve">”</w:t>
      </w:r>
      <w:r>
        <w:t xml:space="preserve"> </w:t>
      </w:r>
      <w:r>
        <w:t xml:space="preserve">– это номер скрининга волонтера). Таким образом, номер сайта появляется в страховом полисе дважды, в цифрах 12-14 и в цифрах 26-33, как часть индивидуального номера волонтера.</w:t>
      </w:r>
    </w:p>
    <w:p>
      <w:pPr>
        <w:pStyle w:val="FirstParagraph"/>
      </w:pPr>
      <w:r>
        <w:t xml:space="preserve">В день 0, до начала терапии, волонтерам будет присвоен трехзначный номер рандомизации, относящийся к номеру группы и номеру волонтера в этой группе.</w:t>
      </w:r>
    </w:p>
    <w:p>
      <w:pPr>
        <w:pStyle w:val="7"/>
      </w:pPr>
      <w:r>
        <w:t xml:space="preserve">Номер рандомизации будет соответствовать номеру пакета SD, который будет присвоен волонтеру и использоваться для однократной или многократной дозировки.</w:t>
      </w:r>
    </w:p>
    <w:p>
      <w:pPr>
        <w:pStyle w:val="BlockText"/>
      </w:pPr>
      <w:r>
        <w:t xml:space="preserve">Таким образом, полный номер волонтера будет состоять из семи цифр:</w:t>
      </w:r>
      <w:r>
        <w:t xml:space="preserve"> </w:t>
      </w:r>
      <w:r>
        <w:t xml:space="preserve">-</w:t>
      </w:r>
      <w:r>
        <w:t xml:space="preserve">-</w:t>
      </w:r>
      <w:r>
        <w:t xml:space="preserve">.</w:t>
      </w:r>
    </w:p>
    <w:p>
      <w:pPr>
        <w:pStyle w:val="FirstParagraph"/>
      </w:pPr>
      <w:r>
        <w:rPr>
          <w:b/>
        </w:rPr>
        <w:t xml:space="preserve">Демографическая информация и анамнез</w:t>
      </w:r>
    </w:p>
    <w:p>
      <w:pPr>
        <w:pStyle w:val="7"/>
      </w:pPr>
      <w:r>
        <w:t xml:space="preserve">Для оценки пригодности волонтеров для включения/исключения по критериям на этапе скрининга необходимо собрать полную информацию об анамнезе, включая острые и хронические заболевания и состояния, хирургические вмешательства, аллергические реакции и сопутствующую терапию. Волонтеру необходимо задать вопросы о запланированных госпитализациях и/или хирургических вмешательствах (если применимо) в течение периода исследования. Следующая информация будет собрана:</w:t>
      </w:r>
    </w:p>
    <w:p>
      <w:pPr>
        <w:numPr>
          <w:numId w:val="1053"/>
          <w:ilvl w:val="0"/>
        </w:numPr>
      </w:pPr>
      <w:r>
        <w:t xml:space="preserve">Жалобы (если есть) на этапе скрининга;</w:t>
      </w:r>
    </w:p>
    <w:p>
      <w:pPr>
        <w:numPr>
          <w:numId w:val="1053"/>
          <w:ilvl w:val="0"/>
        </w:numPr>
      </w:pPr>
      <w:r>
        <w:t xml:space="preserve">Симптомы (если есть) хронических заболеваний на этапе скрининга;</w:t>
      </w:r>
    </w:p>
    <w:p>
      <w:pPr>
        <w:numPr>
          <w:numId w:val="1053"/>
          <w:ilvl w:val="0"/>
        </w:numPr>
      </w:pPr>
      <w:r>
        <w:t xml:space="preserve">История острых инфекций за 4 недели до скрининга;</w:t>
      </w:r>
    </w:p>
    <w:p>
      <w:pPr>
        <w:numPr>
          <w:numId w:val="1053"/>
          <w:ilvl w:val="0"/>
        </w:numPr>
      </w:pPr>
      <w:r>
        <w:t xml:space="preserve">Хронические заболевания и история хирургических вмешательств;</w:t>
      </w:r>
    </w:p>
    <w:p>
      <w:pPr>
        <w:numPr>
          <w:numId w:val="1053"/>
          <w:ilvl w:val="0"/>
        </w:numPr>
      </w:pPr>
      <w:r>
        <w:t xml:space="preserve">Использование лекарственных средств и пищевых добавок в течение 2 недель до скрининга и в настоящее время;</w:t>
      </w:r>
    </w:p>
    <w:p>
      <w:pPr>
        <w:numPr>
          <w:numId w:val="1053"/>
          <w:ilvl w:val="0"/>
        </w:numPr>
      </w:pPr>
      <w:r>
        <w:t xml:space="preserve">Переливание крови в течение 2 месяцев до скрининга;</w:t>
      </w:r>
    </w:p>
    <w:p>
      <w:pPr>
        <w:numPr>
          <w:numId w:val="1053"/>
          <w:ilvl w:val="0"/>
        </w:numPr>
      </w:pPr>
      <w:r>
        <w:t xml:space="preserve">История курения, употребления алкоголя и употребления наркотиков на этапе скрининга;</w:t>
      </w:r>
    </w:p>
    <w:p>
      <w:pPr>
        <w:numPr>
          <w:numId w:val="1053"/>
          <w:ilvl w:val="0"/>
        </w:numPr>
      </w:pPr>
      <w:r>
        <w:t xml:space="preserve">История аллергий и информация о непереносимости лекарств;</w:t>
      </w:r>
    </w:p>
    <w:p>
      <w:pPr>
        <w:numPr>
          <w:numId w:val="1053"/>
          <w:ilvl w:val="0"/>
        </w:numPr>
      </w:pPr>
      <w:r>
        <w:t xml:space="preserve">Способы контрацепции;</w:t>
      </w:r>
    </w:p>
    <w:p>
      <w:pPr>
        <w:numPr>
          <w:numId w:val="1053"/>
          <w:ilvl w:val="0"/>
        </w:numPr>
      </w:pPr>
      <w:r>
        <w:t xml:space="preserve">Особые диеты (например, вегетарианская, веганская, с низким содержанием калорий (менее 1000 ккал в день), с ограниченным потреблением соли) или особый образ жизни (сменный график работы, интенсивные физические нагрузки и т.п.);</w:t>
      </w:r>
    </w:p>
    <w:p>
      <w:pPr>
        <w:numPr>
          <w:numId w:val="1053"/>
          <w:ilvl w:val="0"/>
        </w:numPr>
      </w:pPr>
      <w:r>
        <w:t xml:space="preserve">Хирургические вмешательства на ЖКТ;</w:t>
      </w:r>
    </w:p>
    <w:p>
      <w:pPr>
        <w:numPr>
          <w:numId w:val="1053"/>
          <w:ilvl w:val="0"/>
        </w:numPr>
      </w:pPr>
      <w:r>
        <w:t xml:space="preserve">Участие в других клинических исследованиях в течение 3 месяцев до скрининга или не менее 5 полужизней исследуемого препарата или параллельно с данным исследованием.</w:t>
      </w:r>
    </w:p>
    <w:p>
      <w:pPr>
        <w:pStyle w:val="FirstParagraph"/>
      </w:pPr>
      <w:r>
        <w:t xml:space="preserve">Любые новые диагнозы и состояния, выявленные на этапе скрининга (включая результаты лабораторных и инструментальных исследований), должны быть отражены в анамнезе волонтера.</w:t>
      </w:r>
    </w:p>
    <w:p>
      <w:pPr>
        <w:pStyle w:val="7"/>
      </w:pPr>
      <w:r>
        <w:rPr>
          <w:b/>
        </w:rPr>
        <w:t xml:space="preserve">Физический осмотр</w:t>
      </w:r>
    </w:p>
    <w:p>
      <w:pPr>
        <w:pStyle w:val="7"/>
      </w:pPr>
      <w:r>
        <w:t xml:space="preserve">Физический осмотр будет проведен исследователем для выявления нормальных и аномальных физических признаков в соответствии с графиком оценки и процедурами исследования в соответствующей группе.</w:t>
      </w:r>
    </w:p>
    <w:p>
      <w:pPr>
        <w:pStyle w:val="7"/>
      </w:pPr>
      <w:r>
        <w:t xml:space="preserve">Физический осмотр включает оценку общего внешнего вида, кожи и слизистых оболочек, шеи (включая щитовидную железу), глаз, ушей, носа, горла, легких, сердца, живота, лимфатических узлов и неврологического статуса.</w:t>
      </w:r>
    </w:p>
    <w:p>
      <w:pPr>
        <w:pStyle w:val="7"/>
      </w:pPr>
      <w:r>
        <w:t xml:space="preserve">Изменения в данных первичного осмотра, которые считаются АЭ, должны быть задокументированы в исходной документации и eCRF.</w:t>
      </w:r>
    </w:p>
    <w:p>
      <w:pPr>
        <w:pStyle w:val="7"/>
      </w:pPr>
      <w:r>
        <w:rPr>
          <w:b/>
        </w:rPr>
        <w:t xml:space="preserve">Физиологические показатели</w:t>
      </w:r>
    </w:p>
    <w:p>
      <w:pPr>
        <w:pStyle w:val="7"/>
      </w:pPr>
      <w:r>
        <w:t xml:space="preserve">Оценка физиологических показателей будет проводиться в соответствии с графиком оценки и процедурами исследования для соответствующей группы пациентов.</w:t>
      </w:r>
    </w:p>
    <w:p>
      <w:pPr>
        <w:pStyle w:val="BlockText"/>
      </w:pPr>
      <w:r>
        <w:t xml:space="preserve">Оценка включает:</w:t>
      </w:r>
    </w:p>
    <w:p>
      <w:pPr>
        <w:numPr>
          <w:numId w:val="1054"/>
          <w:ilvl w:val="0"/>
        </w:numPr>
      </w:pPr>
      <w:r>
        <w:t xml:space="preserve">Температура тела в области подмышечной впадины;</w:t>
      </w:r>
    </w:p>
    <w:p>
      <w:pPr>
        <w:numPr>
          <w:numId w:val="1054"/>
          <w:ilvl w:val="0"/>
        </w:numPr>
      </w:pPr>
      <w:r>
        <w:t xml:space="preserve">Систолическое и диастолическое артериальное давление;</w:t>
      </w:r>
    </w:p>
    <w:p>
      <w:pPr>
        <w:numPr>
          <w:numId w:val="1054"/>
          <w:ilvl w:val="0"/>
        </w:numPr>
      </w:pPr>
      <w:r>
        <w:t xml:space="preserve">Частота сердечных сокращений в 1 минуту;</w:t>
      </w:r>
    </w:p>
    <w:p>
      <w:pPr>
        <w:numPr>
          <w:numId w:val="1054"/>
          <w:ilvl w:val="0"/>
        </w:numPr>
      </w:pPr>
      <w:r>
        <w:t xml:space="preserve">Частота дыхания в 1 минуту.</w:t>
      </w:r>
    </w:p>
    <w:p>
      <w:pPr>
        <w:pStyle w:val="FirstParagraph"/>
      </w:pPr>
      <w:r>
        <w:t xml:space="preserve">Температура тела измеряется с помощью устройства на месте исследования таким образом, чтобы соответствовать всем волонтерам в течение всего исследования.</w:t>
      </w:r>
    </w:p>
    <w:p>
      <w:pPr>
        <w:pStyle w:val="7"/>
      </w:pPr>
      <w:r>
        <w:t xml:space="preserve">Измерения СИАД, ДИАД и ЧСС проводятся при сидении после 5 минут отдыха, используя ту же руку и персонал, работающий на месте исследования (по возможности), на протяжении всего периода участия волонтера.</w:t>
      </w:r>
    </w:p>
    <w:p>
      <w:pPr>
        <w:pStyle w:val="7"/>
      </w:pPr>
      <w:r>
        <w:rPr>
          <w:b/>
        </w:rPr>
        <w:t xml:space="preserve">Антропометрические данные</w:t>
      </w:r>
    </w:p>
    <w:p>
      <w:pPr>
        <w:pStyle w:val="7"/>
      </w:pPr>
      <w:r>
        <w:t xml:space="preserve">При скрининге будут взяты следующие антропометрические измерения (для всех волонтеров):</w:t>
      </w:r>
    </w:p>
    <w:p>
      <w:pPr>
        <w:numPr>
          <w:numId w:val="1055"/>
          <w:ilvl w:val="0"/>
        </w:numPr>
      </w:pPr>
      <w:r>
        <w:t xml:space="preserve">Рост: это измерение проводится при стоянии, без обуви; один раз при скрининге; округляется до ближайшего сантиметра;</w:t>
      </w:r>
    </w:p>
    <w:p>
      <w:pPr>
        <w:numPr>
          <w:numId w:val="1055"/>
          <w:ilvl w:val="0"/>
        </w:numPr>
      </w:pPr>
      <w:r>
        <w:t xml:space="preserve">Вес тела: это измерение проводится в обычной одежде и обуви; округляется до ближайшей десятой килограммы; один раз при скрининге;</w:t>
      </w:r>
    </w:p>
    <w:p>
      <w:pPr>
        <w:numPr>
          <w:numId w:val="1055"/>
          <w:ilvl w:val="0"/>
        </w:numPr>
      </w:pPr>
      <w:r>
        <w:t xml:space="preserve">Индекс массы тела рассчитывается по формуле: BMI = вес (кг) / (рост</w:t>
      </w:r>
      <w:r>
        <w:rPr>
          <w:vertAlign w:val="superscript"/>
        </w:rPr>
        <w:t xml:space="preserve">2</w:t>
      </w:r>
      <w:r>
        <w:t xml:space="preserve"> </w:t>
      </w:r>
      <w:r>
        <w:t xml:space="preserve">(м</w:t>
      </w:r>
      <w:r>
        <w:rPr>
          <w:vertAlign w:val="superscript"/>
        </w:rPr>
        <w:t xml:space="preserve">2</w:t>
      </w:r>
      <w:r>
        <w:t xml:space="preserve">)).</w:t>
      </w:r>
    </w:p>
    <w:p>
      <w:pPr>
        <w:pStyle w:val="FirstParagraph"/>
      </w:pPr>
      <w:r>
        <w:t xml:space="preserve">Вес и рост волонтера измеряются без обуви.</w:t>
      </w:r>
    </w:p>
    <w:p>
      <w:pPr>
        <w:pStyle w:val="7"/>
      </w:pPr>
      <w:r>
        <w:rPr>
          <w:b/>
        </w:rPr>
        <w:t xml:space="preserve">Электрокардиография</w:t>
      </w:r>
    </w:p>
    <w:p>
      <w:pPr>
        <w:pStyle w:val="7"/>
      </w:pPr>
      <w:r>
        <w:t xml:space="preserve">Электрокардиографию (ЭКГ) с 12 электродами будет проведено на волонтере в положении лежа после 5 минут отдыха. Будут проанализированы следующие параметры ЭКГ: интервалы ЧСС, ЧД, PQ, QT, QRS и QTC(F) с использованием формулы Фридерика: (QTc(F) = QT / ).</w:t>
      </w:r>
    </w:p>
    <w:p>
      <w:pPr>
        <w:pStyle w:val="7"/>
      </w:pPr>
      <w:r>
        <w:t xml:space="preserve">Исследователь должен изучить и оценить (при необходимости) результаты ЭКГ, подписать и проставить дату в отчете. Любые изменения в результатах ЭКГ по сравнению с данными первичного осмотра, которые считаются АЭ, должны быть указаны соответствующим образом в исходной документации и eCRF.</w:t>
      </w:r>
    </w:p>
    <w:p>
      <w:pPr>
        <w:pStyle w:val="7"/>
      </w:pPr>
      <w:r>
        <w:t xml:space="preserve">Распечатанные на термобумаге (или другом теплочувствительном носителе) результаты ЭКГ должны быть скопированы, и копию должен подписать и проставить дату исследователь.</w:t>
      </w:r>
    </w:p>
    <w:p>
      <w:pPr>
        <w:numPr>
          <w:numId w:val="1056"/>
          <w:ilvl w:val="0"/>
        </w:numPr>
      </w:pPr>
      <w:r>
        <w:rPr>
          <w:b/>
        </w:rPr>
        <w:t xml:space="preserve">Лабораторные исследования</w:t>
      </w:r>
    </w:p>
    <w:p>
      <w:pPr>
        <w:pStyle w:val="Compact"/>
        <w:numPr>
          <w:numId w:val="1057"/>
          <w:ilvl w:val="1"/>
        </w:numPr>
      </w:pPr>
      <w:r>
        <w:rPr>
          <w:b/>
        </w:rPr>
        <w:t xml:space="preserve">Лабораторные параметры</w:t>
      </w:r>
    </w:p>
    <w:p>
      <w:pPr>
        <w:pStyle w:val="FirstParagraph"/>
      </w:pPr>
      <w:r>
        <w:t xml:space="preserve">Все лабораторные тесты, предусмотренные протоколом, будут проводиться в местной лаборатории на месте исследования в соответствии с утвержденными стандартами. Тесты на наркотические вещества и мощные препараты, тесты на котинин и тесты на беременность будут проводиться с помощью анализа мочи на месте исследования с использованием специальных тест-полосок. Тесты на содержание алкоголя в крови также будут проводиться на месте исследования.</w:t>
      </w:r>
    </w:p>
    <w:p>
      <w:pPr>
        <w:pStyle w:val="7"/>
      </w:pPr>
      <w:r>
        <w:t xml:space="preserve">Перед началом исследования местная лаборатория предоставит необходимые сертификаты, резюме заведующего лабораторией и документ о стандартах лаборатории.</w:t>
      </w:r>
    </w:p>
    <w:p>
      <w:pPr>
        <w:pStyle w:val="7"/>
      </w:pPr>
      <w:r>
        <w:t xml:space="preserve">Местная лаборатория отвечает за предоставление лабораторных отчетов на месте исследования. Исследователь будет анализировать лабораторные результаты в соответствии со стандартной клинической практикой.</w:t>
      </w:r>
    </w:p>
    <w:p>
      <w:pPr>
        <w:pStyle w:val="7"/>
      </w:pPr>
      <w:r>
        <w:t xml:space="preserve">Исследователь должен изучить лабораторные отчеты и оценить значения при любых отклонениях, подписать и проставить дату в отчете. Любые изменения в лабораторных значениях по сравнению с данными первичного осмотра, которые считаются АЭ, должны быть указаны соответствующим образом в исходной документации и eCRF.</w:t>
      </w:r>
    </w:p>
    <w:p>
      <w:pPr>
        <w:pStyle w:val="7"/>
      </w:pPr>
      <w:r>
        <w:t xml:space="preserve">Биообразцы будут собираться, обрабатываться, храниться и транспортироваться в соответствии с нормативными требованиями и процедурами, утвержденными на месте исследования и местной лабораторией.</w:t>
      </w:r>
    </w:p>
    <w:p>
      <w:pPr>
        <w:pStyle w:val="7"/>
      </w:pPr>
      <w:r>
        <w:t xml:space="preserve">Биообразцы для лабораторных исследований будут собраны в состоянии голодания (не менее 8 часов после последнего приема пищи).</w:t>
      </w:r>
    </w:p>
    <w:p>
      <w:pPr>
        <w:pStyle w:val="7"/>
      </w:pPr>
      <w:r>
        <w:t xml:space="preserve">Необходимые лабораторные исследования будут проводиться по графику оценок и процедурам исследования.</w:t>
      </w:r>
    </w:p>
    <w:p>
      <w:pPr>
        <w:pStyle w:val="7"/>
      </w:pPr>
      <w:r>
        <w:t xml:space="preserve">В таблицах 4 и 5 приведены перечни лабораторных параметров крови и параметров анализа мочи, которые будут оценены в данном клиническом исследовании.</w:t>
      </w:r>
    </w:p>
    <w:p>
      <w:pPr>
        <w:pStyle w:val="7"/>
      </w:pPr>
      <w:r>
        <w:t xml:space="preserve">Таблица 3.</w:t>
      </w:r>
      <w:r>
        <w:t xml:space="preserve"> </w:t>
      </w:r>
      <w:r>
        <w:rPr>
          <w:b/>
        </w:rPr>
        <w:t xml:space="preserve">Список лабораторных показателей анализов крови</w:t>
      </w:r>
    </w:p>
    <w:p>
      <w:pPr>
        <w:pStyle w:val="7"/>
      </w:pPr>
      <w:r>
        <w:t xml:space="preserve">Полный общий анализ крови | Биохимический анализ | Серология | | | |</w:t>
      </w:r>
      <w:r>
        <w:br w:type="textWrapping"/>
      </w:r>
      <w:r>
        <w:t xml:space="preserve">                        | Базовый анализ | Липидный анализ | Функции печени | Функции почек | |</w:t>
      </w:r>
      <w:r>
        <w:br w:type="textWrapping"/>
      </w:r>
      <w:r>
        <w:t xml:space="preserve">Гемоглобин | Глюкоза | Общий холестерин | Общий билирубин | Мочевина | Анти-ВИЧ |</w:t>
      </w:r>
      <w:r>
        <w:br w:type="textWrapping"/>
      </w:r>
      <w:r>
        <w:t xml:space="preserve">Гематокрит | Общий белок | Триглицериды | Альфа-фетопротеин | Мочевая кислота | Анти-HCV |</w:t>
      </w:r>
      <w:r>
        <w:br w:type="textWrapping"/>
      </w:r>
      <w:r>
        <w:t xml:space="preserve">Эритроциты | Кальций | | АЛТ | | HBsAg |</w:t>
      </w:r>
      <w:r>
        <w:br w:type="textWrapping"/>
      </w:r>
      <w:r>
        <w:t xml:space="preserve">Лейкоциты | Натрий | | АСТ | | RPR |</w:t>
      </w:r>
      <w:r>
        <w:br w:type="textWrapping"/>
      </w:r>
      <w:r>
        <w:t xml:space="preserve">Нейтрофилы* | Калий | | | | |</w:t>
      </w:r>
      <w:r>
        <w:br w:type="textWrapping"/>
      </w:r>
      <w:r>
        <w:t xml:space="preserve">Лимфоциты* | Урат | | | | |</w:t>
      </w:r>
      <w:r>
        <w:br w:type="textWrapping"/>
      </w:r>
      <w:r>
        <w:t xml:space="preserve">Моноциты* | КФК | | | | |</w:t>
      </w:r>
      <w:r>
        <w:br w:type="textWrapping"/>
      </w:r>
      <w:r>
        <w:t xml:space="preserve">Эозинофилы* | | | | | |</w:t>
      </w:r>
      <w:r>
        <w:br w:type="textWrapping"/>
      </w:r>
      <w:r>
        <w:t xml:space="preserve">Базофилы* | | | | | |</w:t>
      </w:r>
      <w:r>
        <w:br w:type="textWrapping"/>
      </w:r>
      <w:r>
        <w:t xml:space="preserve">Количество тромбоцитов | | | | | |</w:t>
      </w:r>
    </w:p>
    <w:p>
      <w:pPr>
        <w:pStyle w:val="BlockText"/>
      </w:pPr>
      <w:r>
        <w:t xml:space="preserve">Аббревиатуры: ALT — аланинаминотрансфераза, AST — аспартатаминотрансфераза, ВИЧ — вирус иммунодефицита человека, Анти-HCV — антитела к вирусу гепатита C, HBsAg — антиген поверхности гепатита B, RPR — быстрый реактивный реагент.</w:t>
      </w:r>
      <w:r>
        <w:t xml:space="preserve"> </w:t>
      </w:r>
      <w:r>
        <w:t xml:space="preserve">*Абсолютное значение.</w:t>
      </w:r>
    </w:p>
    <w:p>
      <w:pPr>
        <w:pStyle w:val="FirstParagraph"/>
      </w:pPr>
      <w:r>
        <w:t xml:space="preserve">В течение всего периода будет взято 58 мл крови от каждого участника в группах с однократной дозой для проведения лабораторных тестов безопасности, а также 68 мл крови от каждого участника в группах с многократной дозой. Объем крови может быть увеличен, если потребуются дополнительные лабораторные исследования для оценки динамики изменений в анализируемых параметрах.</w:t>
      </w:r>
    </w:p>
    <w:p>
      <w:pPr>
        <w:pStyle w:val="7"/>
      </w:pPr>
      <w:r>
        <w:rPr>
          <w:b/>
        </w:rPr>
        <w:t xml:space="preserve">Таблица</w:t>
      </w:r>
      <w:r>
        <w:t xml:space="preserve"> </w:t>
      </w:r>
      <w:r>
        <w:t xml:space="preserve">4.</w:t>
      </w:r>
      <w:r>
        <w:t xml:space="preserve"> </w:t>
      </w:r>
      <w:r>
        <w:rPr>
          <w:b/>
        </w:rPr>
        <w:t xml:space="preserve">Список лабораторных показателей анализов мочи</w:t>
      </w:r>
    </w:p>
    <w:p>
      <w:pPr>
        <w:pStyle w:val="7"/>
      </w:pPr>
      <w:r>
        <w:rPr>
          <w:b/>
        </w:rPr>
        <w:t xml:space="preserve">Анализ мочи (проводится в местной лаборатории)</w:t>
      </w:r>
      <w:r>
        <w:t xml:space="preserve"> </w:t>
      </w:r>
      <w:r>
        <w:t xml:space="preserve">|</w:t>
      </w:r>
      <w:r>
        <w:t xml:space="preserve"> </w:t>
      </w:r>
      <w:r>
        <w:rPr>
          <w:b/>
        </w:rPr>
        <w:t xml:space="preserve">Специализированные тесты (проводятся на месте)</w:t>
      </w:r>
      <w:r>
        <w:t xml:space="preserve"> </w:t>
      </w:r>
      <w:r>
        <w:t xml:space="preserve">|</w:t>
      </w:r>
      <w:r>
        <w:br w:type="textWrapping"/>
      </w:r>
      <w:r>
        <w:t xml:space="preserve">Характеристики: Цвет, Прозрачность, Плотность, рН, Белок, Глюкоза, Билирубин, Уробилиноген, Кетоновые тела, Нитриты | Тест мочи на наличие наркотических веществ и сильнодействующих препаратов: морфин, амфетамин, метамфетамин, кокаин, марихуана, бензодиазепины, методон, фенциклидин |</w:t>
      </w:r>
      <w:r>
        <w:br w:type="textWrapping"/>
      </w:r>
      <w:r>
        <w:t xml:space="preserve">Микроскопия осадка: Эпителиальные клетки, RBC, WBC, Осадок, Бактерии, Кристаллы | Тест мочи на котинин |</w:t>
      </w:r>
      <w:r>
        <w:br w:type="textWrapping"/>
      </w:r>
      <w:r>
        <w:t xml:space="preserve">                                                                                                                          | Тест на беременность[^7^](</w:t>
      </w:r>
      <w:r>
        <w:t xml:space="preserve">) |</w:t>
      </w:r>
    </w:p>
    <w:p>
      <w:pPr>
        <w:pStyle w:val="7"/>
      </w:pPr>
      <w:r>
        <w:t xml:space="preserve">Анализ на содержание алкоголя в выдыхаемом возду будет проведен на месте проведения исследования.</w:t>
      </w:r>
    </w:p>
    <w:p>
      <w:pPr>
        <w:pStyle w:val="7"/>
      </w:pPr>
      <w:r>
        <w:t xml:space="preserve">Оценка фармакокинетики</w:t>
      </w:r>
    </w:p>
    <w:p>
      <w:pPr>
        <w:pStyle w:val="7"/>
      </w:pPr>
      <w:r>
        <w:t xml:space="preserve">Оценка фармакокинетики будет проведена в биоаналитической лаборатории. В этом клиническом исследовании будут взяты образцы крови от волонтеров для определения концентрации L08-0623. Образцы крови (8 мл) будут собираться в пробирки с антикоагулянтом. Образцы для оценки фармакокинетики будут получены, подготовлены, сохранены и отправлены в соответствии с нормативными требованиями и лабораторными рекомендациями.</w:t>
      </w:r>
    </w:p>
    <w:p>
      <w:pPr>
        <w:pStyle w:val="BlockText"/>
      </w:pPr>
      <w:r>
        <w:t xml:space="preserve">7 Тест на беременность будет проведен на месте проведения исследования путем быстрого определения наличия субъединицы β-hCG (β-hCG) в моче с использованием полоски. Тест на беременность должен быть проведен со всеми женщинами детородного возраста, включая женщин, которые находятся в менопаузе менее двух лет</w:t>
      </w:r>
      <w:r>
        <w:rPr>
          <w:b/>
        </w:rPr>
        <w:t xml:space="preserve">.</w:t>
      </w:r>
    </w:p>
    <w:p>
      <w:pPr>
        <w:pStyle w:val="FirstParagraph"/>
      </w:pPr>
      <w:r>
        <w:t xml:space="preserve">Для уменьшения количества взятия крови, катетеры будут вводиться волонтерам через кубитальные вены в 0 и 6 дни (только для многократных дозировочных групп). Время установки катетера не должно превышать 17 часов. Образцы крови для оценки фармакокинетики будут получаться в определенные моменты времени в соответствии со графиком отбора проб фармакокинетики (Таблица 5).</w:t>
      </w:r>
    </w:p>
    <w:p>
      <w:pPr>
        <w:pStyle w:val="7"/>
      </w:pPr>
      <w:r>
        <w:t xml:space="preserve">Таблица 5. График отбора проб для однократных дозировочных групп</w:t>
      </w:r>
    </w:p>
    <w:p>
      <w:pPr>
        <w:pStyle w:val="7"/>
      </w:pPr>
      <w:r>
        <w:t xml:space="preserve">&gt;</w:t>
      </w:r>
      <w:r>
        <w:t xml:space="preserve"> </w:t>
      </w:r>
      <w:r>
        <w:rPr>
          <w:b/>
        </w:rPr>
        <w:t xml:space="preserve">День</w:t>
      </w:r>
      <w:r>
        <w:t xml:space="preserve"> </w:t>
      </w:r>
      <w:r>
        <w:t xml:space="preserve">| &gt;</w:t>
      </w:r>
      <w:r>
        <w:t xml:space="preserve"> </w:t>
      </w:r>
      <w:r>
        <w:rPr>
          <w:b/>
        </w:rPr>
        <w:t xml:space="preserve">Точка отбора</w:t>
      </w:r>
      <w:r>
        <w:t xml:space="preserve"> </w:t>
      </w:r>
      <w:r>
        <w:t xml:space="preserve">| &gt;</w:t>
      </w:r>
      <w:r>
        <w:t xml:space="preserve"> </w:t>
      </w:r>
      <w:r>
        <w:rPr>
          <w:b/>
        </w:rPr>
        <w:t xml:space="preserve">Отклонение</w:t>
      </w:r>
      <w:r>
        <w:t xml:space="preserve"> </w:t>
      </w:r>
      <w:r>
        <w:t xml:space="preserve">|</w:t>
      </w:r>
      <w:r>
        <w:br w:type="textWrapping"/>
      </w:r>
      <w:r>
        <w:t xml:space="preserve">&gt; День 0 | &gt; – 00:30 мин | &gt;</w:t>
      </w:r>
      <w:r>
        <w:t xml:space="preserve"> </w:t>
      </w:r>
      <w:r>
        <w:rPr>
          <w:i/>
          <w:b/>
        </w:rPr>
        <w:t xml:space="preserve">30 минут до дозы</w:t>
      </w:r>
      <w:r>
        <w:t xml:space="preserve"> </w:t>
      </w:r>
      <w:r>
        <w:t xml:space="preserve">|</w:t>
      </w:r>
      <w:r>
        <w:br w:type="textWrapping"/>
      </w:r>
      <w:r>
        <w:t xml:space="preserve">&gt; После приема исследуемого препарата | &gt; 00:15 ч | &gt; ± 1 мин |</w:t>
      </w:r>
      <w:r>
        <w:br w:type="textWrapping"/>
      </w:r>
      <w:r>
        <w:t xml:space="preserve">                                 | &gt; 00:30 ч | &gt; ± 1 мин |</w:t>
      </w:r>
      <w:r>
        <w:br w:type="textWrapping"/>
      </w:r>
      <w:r>
        <w:t xml:space="preserve">                                 | &gt; 00:45 ч | &gt; ± 1 мин |</w:t>
      </w:r>
      <w:r>
        <w:br w:type="textWrapping"/>
      </w:r>
      <w:r>
        <w:t xml:space="preserve">                                 | &gt; 01:00 ч | &gt; ± 1 мин |</w:t>
      </w:r>
      <w:r>
        <w:br w:type="textWrapping"/>
      </w:r>
      <w:r>
        <w:t xml:space="preserve">                                 | &gt; 01:30 ч | &gt; ± 1 мин |</w:t>
      </w:r>
      <w:r>
        <w:br w:type="textWrapping"/>
      </w:r>
      <w:r>
        <w:t xml:space="preserve">                                 | &gt; 02:00 ч | &gt; ± 2 мин |</w:t>
      </w:r>
      <w:r>
        <w:br w:type="textWrapping"/>
      </w:r>
      <w:r>
        <w:t xml:space="preserve">                                 | &gt; 03:00 ч | &gt; ± 2 мин |</w:t>
      </w:r>
      <w:r>
        <w:br w:type="textWrapping"/>
      </w:r>
      <w:r>
        <w:t xml:space="preserve">                                 | &gt; 04:00 ч | &gt; ± 2 мин |</w:t>
      </w:r>
      <w:r>
        <w:br w:type="textWrapping"/>
      </w:r>
      <w:r>
        <w:t xml:space="preserve">                                 | &gt; 05:00 ч | &gt; ± 2 мин |</w:t>
      </w:r>
      <w:r>
        <w:br w:type="textWrapping"/>
      </w:r>
      <w:r>
        <w:t xml:space="preserve">                                 | &gt; 06:00 ч | &gt; ± 2 мин |</w:t>
      </w:r>
      <w:r>
        <w:br w:type="textWrapping"/>
      </w:r>
      <w:r>
        <w:t xml:space="preserve">                                 | &gt; 08:00 ч | &gt; ± 5 мин |</w:t>
      </w:r>
      <w:r>
        <w:br w:type="textWrapping"/>
      </w:r>
      <w:r>
        <w:t xml:space="preserve">                                 | &gt; 12:00 ч | &gt; ± 15 мин |</w:t>
      </w:r>
      <w:r>
        <w:br w:type="textWrapping"/>
      </w:r>
      <w:r>
        <w:t xml:space="preserve">&gt; День 1 | &gt; 24:00 ч | &gt; ± 20 мин |</w:t>
      </w:r>
      <w:r>
        <w:br w:type="textWrapping"/>
      </w:r>
      <w:r>
        <w:t xml:space="preserve">&gt; День 2 | &gt; 48:00 ч | &gt; ± 20 мин |</w:t>
      </w:r>
      <w:r>
        <w:br w:type="textWrapping"/>
      </w:r>
      <w:r>
        <w:t xml:space="preserve">&gt; День 3 | &gt; 72:00 ч | &gt; ± 20 мин |</w:t>
      </w:r>
      <w:r>
        <w:br w:type="textWrapping"/>
      </w:r>
      <w:r>
        <w:t xml:space="preserve">&gt; День 7 | &gt; Во время визита | &gt; NA |</w:t>
      </w:r>
    </w:p>
    <w:p>
      <w:pPr>
        <w:pStyle w:val="BlockText"/>
      </w:pPr>
      <w:r>
        <w:rPr>
          <w:b/>
        </w:rPr>
        <w:t xml:space="preserve">Таблица 6. График отбора проб для групп многократных доз</w:t>
      </w:r>
    </w:p>
    <w:p>
      <w:pPr>
        <w:pStyle w:val="FirstParagraph"/>
      </w:pPr>
      <w:r>
        <w:t xml:space="preserve">&gt;</w:t>
      </w:r>
      <w:r>
        <w:t xml:space="preserve"> </w:t>
      </w:r>
      <w:r>
        <w:rPr>
          <w:b/>
        </w:rPr>
        <w:t xml:space="preserve">День</w:t>
      </w:r>
      <w:r>
        <w:t xml:space="preserve"> </w:t>
      </w:r>
      <w:r>
        <w:t xml:space="preserve">| &gt;</w:t>
      </w:r>
      <w:r>
        <w:t xml:space="preserve"> </w:t>
      </w:r>
      <w:r>
        <w:rPr>
          <w:b/>
        </w:rPr>
        <w:t xml:space="preserve">Точка отбора</w:t>
      </w:r>
      <w:r>
        <w:t xml:space="preserve"> </w:t>
      </w:r>
      <w:r>
        <w:t xml:space="preserve">| &gt;</w:t>
      </w:r>
      <w:r>
        <w:t xml:space="preserve"> </w:t>
      </w:r>
      <w:r>
        <w:rPr>
          <w:b/>
        </w:rPr>
        <w:t xml:space="preserve">Отклонение</w:t>
      </w:r>
      <w:r>
        <w:t xml:space="preserve"> </w:t>
      </w:r>
      <w:r>
        <w:t xml:space="preserve">|</w:t>
      </w:r>
      <w:r>
        <w:br w:type="textWrapping"/>
      </w:r>
      <w:r>
        <w:t xml:space="preserve">&gt; День 0, День 6 | &gt; – 00:30 мин | &gt;</w:t>
      </w:r>
      <w:r>
        <w:t xml:space="preserve"> </w:t>
      </w:r>
      <w:r>
        <w:rPr>
          <w:i/>
          <w:b/>
        </w:rPr>
        <w:t xml:space="preserve">30 минут до приема</w:t>
      </w:r>
      <w:r>
        <w:t xml:space="preserve"> </w:t>
      </w:r>
      <w:r>
        <w:t xml:space="preserve">|</w:t>
      </w:r>
      <w:r>
        <w:br w:type="textWrapping"/>
      </w:r>
      <w:r>
        <w:t xml:space="preserve">&gt; После приема препарата | &gt; 00:15 ч | &gt; ± 1 мин |</w:t>
      </w:r>
      <w:r>
        <w:br w:type="textWrapping"/>
      </w:r>
      <w:r>
        <w:t xml:space="preserve">                                 | &gt; 00:30 ч | &gt; ± 1 мин |</w:t>
      </w:r>
      <w:r>
        <w:br w:type="textWrapping"/>
      </w:r>
      <w:r>
        <w:t xml:space="preserve">                                 | &gt; 00:45 ч | &gt; ± 1 мин |</w:t>
      </w:r>
      <w:r>
        <w:br w:type="textWrapping"/>
      </w:r>
      <w:r>
        <w:t xml:space="preserve">                                 | &gt; 01:00 ч | &gt; ± 1 мин |</w:t>
      </w:r>
      <w:r>
        <w:br w:type="textWrapping"/>
      </w:r>
      <w:r>
        <w:t xml:space="preserve">                                 | &gt; 01:30 ч | &gt; ± 1 мин |</w:t>
      </w:r>
      <w:r>
        <w:br w:type="textWrapping"/>
      </w:r>
      <w:r>
        <w:t xml:space="preserve">                                 | &gt; 02:00 ч | &gt; ± 1 мин |</w:t>
      </w:r>
      <w:r>
        <w:br w:type="textWrapping"/>
      </w:r>
      <w:r>
        <w:t xml:space="preserve">                    | &gt; 03:00 ч | &gt; ± 2 мин |</w:t>
      </w:r>
      <w:r>
        <w:br w:type="textWrapping"/>
      </w:r>
      <w:r>
        <w:t xml:space="preserve">                    | &gt; 04:00 ч | &gt; ± 2 мин |</w:t>
      </w:r>
      <w:r>
        <w:br w:type="textWrapping"/>
      </w:r>
      <w:r>
        <w:t xml:space="preserve">                    | &gt; 05:00 ч | &gt; ± 2 мин |</w:t>
      </w:r>
      <w:r>
        <w:br w:type="textWrapping"/>
      </w:r>
      <w:r>
        <w:t xml:space="preserve">                    | &gt; 06:00 ч | &gt; ± 2 мин |</w:t>
      </w:r>
      <w:r>
        <w:br w:type="textWrapping"/>
      </w:r>
      <w:r>
        <w:t xml:space="preserve">                    | &gt; 08:00 ч | &gt; ± 5 мин |</w:t>
      </w:r>
      <w:r>
        <w:br w:type="textWrapping"/>
      </w:r>
      <w:r>
        <w:t xml:space="preserve">                    | &gt; 12:00 ч | &gt; ± 15 мин |</w:t>
      </w:r>
      <w:r>
        <w:br w:type="textWrapping"/>
      </w:r>
      <w:r>
        <w:t xml:space="preserve">&gt; День 1, День 7 | &gt; 24:00 ч | &gt; ± 20 мин |</w:t>
      </w:r>
      <w:r>
        <w:br w:type="textWrapping"/>
      </w:r>
      <w:r>
        <w:t xml:space="preserve">&gt; День 2, День 8 | &gt; 48:00 ч | &gt; ± 20 мин |</w:t>
      </w:r>
      <w:r>
        <w:br w:type="textWrapping"/>
      </w:r>
      <w:r>
        <w:t xml:space="preserve">&gt; День 3, День 9 | &gt; 72:00 ч | &gt; ± 20 мин |</w:t>
      </w:r>
      <w:r>
        <w:br w:type="textWrapping"/>
      </w:r>
      <w:r>
        <w:t xml:space="preserve">&gt; День 5 | &gt; Перед следующим приемом препарата | &gt; NA |</w:t>
      </w:r>
      <w:r>
        <w:br w:type="textWrapping"/>
      </w:r>
      <w:r>
        <w:t xml:space="preserve">&gt; День 14 и День 21 | &gt; Во время визита в клинику | &gt; NA |</w:t>
      </w:r>
    </w:p>
    <w:p>
      <w:pPr>
        <w:pStyle w:val="7"/>
      </w:pPr>
      <w:r>
        <w:t xml:space="preserve">Объем крови, который необходимо собрать для оценки фармакокинетических параметров препарата в дозе для одного добровольца в группе с однократным приемом, составляет 153 мл (17 образцов по 8 мл = 136 мл, заполнение системы 0,5 мл x 18 = 8,5 мл).</w:t>
      </w:r>
    </w:p>
    <w:p>
      <w:pPr>
        <w:pStyle w:val="7"/>
      </w:pPr>
      <w:r>
        <w:t xml:space="preserve">Объем крови, который необходимо собрать для оценки фармакокинетических параметров препарата в дозе для одного добровольца в группе с многократным приемом, составляет 306 мл (35 образцов по 8 мл = 280 мл, заполнение системы 0,5 мл x 35 = 17,5 мл).</w:t>
      </w:r>
    </w:p>
    <w:p>
      <w:pPr>
        <w:pStyle w:val="7"/>
      </w:pPr>
      <w:r>
        <w:t xml:space="preserve">В экстремальных ситуациях, таких как ухудшение состояния здоровья волонтера или желание волонтера выйти из исследования, сбор крови прекращается.</w:t>
      </w:r>
    </w:p>
    <w:p>
      <w:pPr>
        <w:pStyle w:val="7"/>
      </w:pPr>
      <w:r>
        <w:t xml:space="preserve">В ситуациях, когда сбор образцов крови невозможен в запланированное время, волонтер продолжает участие, но указанная пробирка остается пустой.</w:t>
      </w:r>
    </w:p>
    <w:p>
      <w:pPr>
        <w:pStyle w:val="7"/>
      </w:pPr>
      <w:r>
        <w:t xml:space="preserve">Количественное определение исследуемого препарата в плазме</w:t>
      </w:r>
    </w:p>
    <w:p>
      <w:pPr>
        <w:pStyle w:val="BlockText"/>
      </w:pPr>
      <w:r>
        <w:t xml:space="preserve">Исследование определит концентрацию L08-0623 в плазме.</w:t>
      </w:r>
    </w:p>
    <w:p>
      <w:pPr>
        <w:pStyle w:val="FirstParagraph"/>
      </w:pPr>
      <w:r>
        <w:t xml:space="preserve">Биоаналитический метод, используемый для определения концентраций аналитов в плазме, будет надлежащим образом валидирован и задокументирован. Валидация биоаналитического метода должна быть завершена до клинической фазы исследования.</w:t>
      </w:r>
    </w:p>
    <w:p>
      <w:pPr>
        <w:pStyle w:val="7"/>
      </w:pPr>
      <w:r>
        <w:t xml:space="preserve">Анализ содержания L08-0623 в плазме будет проводиться с использованием специально разработанного метода количественного определения с использованием высокоэффективной жидкостной хроматографии с масс-спектрометрическим детектированием, где аналит предварительно извлекается из биоматериала.</w:t>
      </w:r>
    </w:p>
    <w:p>
      <w:pPr>
        <w:pStyle w:val="7"/>
      </w:pPr>
      <w:r>
        <w:t xml:space="preserve">Оценка фармакодинамики</w:t>
      </w:r>
    </w:p>
    <w:p>
      <w:pPr>
        <w:pStyle w:val="7"/>
      </w:pPr>
      <w:r>
        <w:t xml:space="preserve">Оценка фармакодинамики будет проводиться в биоаналитической лаборатории. В ходе этого клинического исследования будут собираться образцы крови от добровольцев для определения уровня плазмы IFN-γ (после стимуляции</w:t>
      </w:r>
      <w:r>
        <w:t xml:space="preserve"> </w:t>
      </w:r>
      <w:r>
        <w:rPr>
          <w:i/>
        </w:rPr>
        <w:t xml:space="preserve">in vitro</w:t>
      </w:r>
      <w:r>
        <w:t xml:space="preserve">) после дозы исследуемого препарата в группах с однократной и многократной дозой по сравнению с базовым уровнем.</w:t>
      </w:r>
    </w:p>
    <w:p>
      <w:pPr>
        <w:pStyle w:val="7"/>
      </w:pPr>
      <w:r>
        <w:t xml:space="preserve">Образцы для оценки фармакодинамики будут собираться, подготавливаться, храниться и транспортироваться в соответствии с нормативными требованиями и рекомендациями лаборатории. В группах с однократной дозой биоматериал для определения фармакодинамических параметров будет собираться в День 0 (дозы и через 1 час, 2 часа, 3 часа, 4 часа, 6 часов, 8 часов и 12 часов после однократной дозы препарата), в День 1, в День 2, в День 3 и в День 7. В группах с многократной дозой биоматериал будет собираться в День 0 (дозы и через 1 час, 2 часа, 3 часа, 4 часа, 6 часов, 8 часов и 12 часов после первой дозы препарата), в День 2, в День 3, в День 6 (дозы и через 1 час, 2 часа, 3 часа, 4 часа, 6 часов, 8 часов и 12 часов после последней дозы препарата), в День 7, в День 8, в День 9 и в День 14.</w:t>
      </w:r>
    </w:p>
    <w:p>
      <w:pPr>
        <w:numPr>
          <w:numId w:val="1058"/>
          <w:ilvl w:val="0"/>
        </w:numPr>
      </w:pPr>
      <w:r>
        <w:t xml:space="preserve">Оценка безопасности</w:t>
      </w:r>
    </w:p>
    <w:p>
      <w:pPr>
        <w:pStyle w:val="Compact"/>
        <w:numPr>
          <w:numId w:val="1059"/>
          <w:ilvl w:val="1"/>
        </w:numPr>
      </w:pPr>
      <w:r>
        <w:t xml:space="preserve">Нежелательные явления</w:t>
      </w:r>
    </w:p>
    <w:p>
      <w:pPr>
        <w:pStyle w:val="FirstParagraph"/>
      </w:pPr>
      <w:r>
        <w:rPr>
          <w:b/>
        </w:rPr>
        <w:t xml:space="preserve">Нежелательное явление (НЯ)</w:t>
      </w:r>
      <w:r>
        <w:t xml:space="preserve"> </w:t>
      </w:r>
      <w:r>
        <w:t xml:space="preserve">— любое неблагоприятное медицинское событие, возникающее у участника клинического исследования во время исследования, которое не обязательно должно иметь причинно-следственную связь с исследуемым препаратом. НЯ может быть любым неблагоприятным признаком (включая, например, аномальные лабораторные результаты), симптомом или заболеванием, связанным с участием в исследовании, независимо от того, считается ли оно связанным с лечением. Сбор и регистрация НЯ продолжаются до 30 дней после последнего визита волонтера в исследовательский центр или после последнего исследовательского вмешательства. После завершения последнего исследовательского вмешательства врач, проводящий исследование, не будет проводить активный опрос волонтеров. Будут регистрироваться только НЯ, сообщенные волонтерами.</w:t>
      </w:r>
    </w:p>
    <w:p>
      <w:pPr>
        <w:pStyle w:val="7"/>
      </w:pPr>
      <w:r>
        <w:rPr>
          <w:b/>
        </w:rPr>
        <w:t xml:space="preserve">Неблагоприятная реакция (НР)</w:t>
      </w:r>
      <w:r>
        <w:t xml:space="preserve"> </w:t>
      </w:r>
      <w:r>
        <w:t xml:space="preserve">— в клинических исследованиях новых лекарственных средств или их применения для новых показаний, особенно если точная доза(ы) не установлена: любое негативное воздействие, связанное с приемом любой дозы исследуемого препарата, следует рассматривать как неблагоприятную реакцию. Другими словами, если существует хотя бы минимальная вероятность причинно-следственной связи между исследуемым препаратом и НЯ (т.е. связь не исключена).</w:t>
      </w:r>
    </w:p>
    <w:p>
      <w:pPr>
        <w:pStyle w:val="7"/>
      </w:pPr>
      <w:r>
        <w:rPr>
          <w:b/>
        </w:rPr>
        <w:t xml:space="preserve">Серьезное неблагоприятное событие (СНС) и/или серьезная неблагоприятная реакция (СР)</w:t>
      </w:r>
      <w:r>
        <w:t xml:space="preserve"> </w:t>
      </w:r>
      <w:r>
        <w:t xml:space="preserve">— любое неблагоприятное медицинское событие, возникающее при любой дозе:</w:t>
      </w:r>
    </w:p>
    <w:p>
      <w:pPr>
        <w:numPr>
          <w:numId w:val="1060"/>
          <w:ilvl w:val="0"/>
        </w:numPr>
      </w:pPr>
      <w:r>
        <w:t xml:space="preserve">приводит к смерти</w:t>
      </w:r>
    </w:p>
    <w:p>
      <w:pPr>
        <w:numPr>
          <w:numId w:val="1060"/>
          <w:ilvl w:val="0"/>
        </w:numPr>
      </w:pPr>
      <w:r>
        <w:t xml:space="preserve">является угрожающим для жизни</w:t>
      </w:r>
    </w:p>
    <w:p>
      <w:pPr>
        <w:numPr>
          <w:numId w:val="1060"/>
          <w:ilvl w:val="0"/>
        </w:numPr>
      </w:pPr>
      <w:r>
        <w:t xml:space="preserve">требует госпитализации или продления существующей госпитализации</w:t>
      </w:r>
    </w:p>
    <w:p>
      <w:pPr>
        <w:numPr>
          <w:numId w:val="1060"/>
          <w:ilvl w:val="0"/>
        </w:numPr>
      </w:pPr>
      <w:r>
        <w:t xml:space="preserve">приводит к стойкому или значительному нарушению функций организма/инкопетенции, или</w:t>
      </w:r>
    </w:p>
    <w:p>
      <w:pPr>
        <w:numPr>
          <w:numId w:val="1060"/>
          <w:ilvl w:val="0"/>
        </w:numPr>
      </w:pPr>
      <w:r>
        <w:t xml:space="preserve">является врожденной аномалией/детским пороком</w:t>
      </w:r>
    </w:p>
    <w:p>
      <w:pPr>
        <w:numPr>
          <w:numId w:val="1060"/>
          <w:ilvl w:val="0"/>
        </w:numPr>
      </w:pPr>
      <w:r>
        <w:t xml:space="preserve">требует медицинского вмешательства для предотвращения развития этих состояний.</w:t>
      </w:r>
    </w:p>
    <w:p>
      <w:pPr>
        <w:pStyle w:val="FirstParagraph"/>
      </w:pPr>
      <w:r>
        <w:rPr>
          <w:b/>
        </w:rPr>
        <w:t xml:space="preserve">Неожиданная НР</w:t>
      </w:r>
      <w:r>
        <w:t xml:space="preserve"> </w:t>
      </w:r>
      <w:r>
        <w:t xml:space="preserve">— НР, специфичность или тяжесть которой не соответствуют известной информации о продукте (например, Информационному листу для не зарегистрированного исследуемого препарата или листу информации о зарегистрированном лекарственном препарате). Эта группа также включает НР, упомянутые в Информационном листе, которые возникают с классом лекарственных средств или прогнозируются на основе фармакологических свойств исследуемого препарата, но не упоминаются конкретно в отношении исследуемого препарата.</w:t>
      </w:r>
    </w:p>
    <w:p>
      <w:pPr>
        <w:pStyle w:val="7"/>
      </w:pPr>
      <w:r>
        <w:t xml:space="preserve">Спонсор или его представитель несет единоличную ответственность за оценку того, могли ли неблагоприятные реакции быть предсказаны на основании информации, представленной в вышеуказанных документах. Спонсор или его представитель несет ответственность за сообщение о неожиданных неблагоприятных реакциях в регулирующие органы.</w:t>
      </w:r>
    </w:p>
    <w:p>
      <w:pPr>
        <w:pStyle w:val="7"/>
      </w:pPr>
      <w:r>
        <w:t xml:space="preserve">Беременность</w:t>
      </w:r>
    </w:p>
    <w:p>
      <w:pPr>
        <w:pStyle w:val="7"/>
      </w:pPr>
      <w:r>
        <w:t xml:space="preserve">Перед началом исследования волонтерам будет предложено использовать эффективные методы контрацепции на протяжении всего исследования и в течение трех месяцев после его завершения. Если партнер участника становится беременным, врач, участвующий в исследовании, должен иметь доступ к медицинским записям для получения информации о результатах беременности.</w:t>
      </w:r>
    </w:p>
    <w:p>
      <w:pPr>
        <w:pStyle w:val="7"/>
      </w:pPr>
      <w:r>
        <w:t xml:space="preserve">В специальной форме в eCRF, исследователь будет регистрировать беременности у партнеров участников исследования в ходе исследования (если таковые имеются) и отправлять их по факсу/электронной почте спонсору исследования в течение 24 часов после получения какой-либо информации о беременности.</w:t>
      </w:r>
    </w:p>
    <w:p>
      <w:pPr>
        <w:pStyle w:val="BlockText"/>
      </w:pPr>
      <w:r>
        <w:t xml:space="preserve">Название компании: IPHARMA LLC</w:t>
      </w:r>
      <w:r>
        <w:t xml:space="preserve"> </w:t>
      </w:r>
      <w:r>
        <w:t xml:space="preserve">Медицинский наблюдатель: Горчаков Д.С.</w:t>
      </w:r>
      <w:r>
        <w:t xml:space="preserve"> </w:t>
      </w:r>
      <w:r>
        <w:t xml:space="preserve">Телефон: +7 (495) 276-11-43</w:t>
      </w:r>
      <w:r>
        <w:t xml:space="preserve"> </w:t>
      </w:r>
      <w:r>
        <w:t xml:space="preserve">Факс: +7 (495) 276-11-47</w:t>
      </w:r>
      <w:r>
        <w:t xml:space="preserve"> </w:t>
      </w:r>
      <w:r>
        <w:t xml:space="preserve">Номер мобильного телефона: +7 (926) 902-00-75</w:t>
      </w:r>
      <w:r>
        <w:t xml:space="preserve"> </w:t>
      </w:r>
      <w:r>
        <w:t xml:space="preserve">Электронная почта: SAE@ipharma.ru</w:t>
      </w:r>
    </w:p>
    <w:p>
      <w:pPr>
        <w:pStyle w:val="FirstParagraph"/>
      </w:pPr>
      <w:r>
        <w:t xml:space="preserve">Сообщение о неблагоприятных реакциях</w:t>
      </w:r>
    </w:p>
    <w:p>
      <w:pPr>
        <w:pStyle w:val="7"/>
      </w:pPr>
      <w:r>
        <w:t xml:space="preserve">На протяжении всего исследования будет проводиться оценка безопасности исследуемого препарата для всех волонтеров после подписания согласия. Сбор данных и запись о неблагоприятных реакциях продолжаются в течение до 30 дней после последнего посещения волонтером места проведения исследования или последнего процедуры исследования. После завершения последней процедуры исследования, врач, участвующий в исследовании, не будет проводить активный опрос волонтеров. Будут записываться только неблагоприятные реакции/события, сообщенные волонтерами. Каждому волонтеру будет предоставлен номер телефона исследователя в случае возникновения каких-либо проблем со здоровьем. При необходимости могут быть проведены дополнительные клинические и/или лабораторные и инструментальные исследования, а также неплановые посещения, определенные исследователем.</w:t>
      </w:r>
    </w:p>
    <w:p>
      <w:pPr>
        <w:pStyle w:val="7"/>
      </w:pPr>
      <w:r>
        <w:t xml:space="preserve">Все неблагоприятные реакции/события должны быть задокументированы в исходной документации и в eCRF. По возможности, исследователь должен группировать симптомы и жалобы, составляющие одно заболевание, в одно понятие. Все неблагоприятные реакции/события будут кодироваться в соответствии с терминологией MedDRA.</w:t>
      </w:r>
    </w:p>
    <w:p>
      <w:pPr>
        <w:pStyle w:val="7"/>
      </w:pPr>
      <w:r>
        <w:t xml:space="preserve">Возникновение неблагоприятных реакций/событий или изменение их тяжести могут быть установлены на основании необходимости сопутствующей терапии, спонтанного сообщения о событии волонтером, результатов медицинского обследования или результатов специальных обследований, например, ЭКГ, лабораторных анализов (источник неблагоприятного события/события).</w:t>
      </w:r>
    </w:p>
    <w:p>
      <w:pPr>
        <w:pStyle w:val="7"/>
      </w:pPr>
      <w:r>
        <w:t xml:space="preserve">Любые неблагоприятные реакции/события, возникшие после подписания формы согласия, независимо от интервала между первой дозой исследуемого препарата и/или периодом записи неблагоприятных реакций/событий после окончания исследования, должны рассматриваться в соответствии с другими неблагоприятными реакциями/событиями, возникшими во время терапии исследуемым препаратом.</w:t>
      </w:r>
    </w:p>
    <w:p>
      <w:pPr>
        <w:pStyle w:val="7"/>
      </w:pPr>
      <w:r>
        <w:t xml:space="preserve">Для каждой неблагоприятной реакции/события необходимо оценить ее продолжительность, тяжесть, серьезность и причинно-следственную связь с исследуемым препаратом. Если тяжесть неблагоприятной реакции/события изменяется, следует закрыть первоначальный отчет на дату изменения тяжести, и необходимо будет подать новый отчет о неблагоприятной реакции/событии. Кроме того, необходимо будет зафиксировать действия, предпринятые в отношении исследуемого препарата, использование сопутствующих лекарственных средств/терапии и исход события, а также следует ли оно приводить к прекращению участия в исследовании.</w:t>
      </w:r>
    </w:p>
    <w:p>
      <w:pPr>
        <w:pStyle w:val="7"/>
      </w:pPr>
      <w:r>
        <w:t xml:space="preserve">Оценка тяжести</w:t>
      </w:r>
    </w:p>
    <w:p>
      <w:pPr>
        <w:pStyle w:val="7"/>
      </w:pPr>
      <w:r>
        <w:t xml:space="preserve">Тяжесть неблагоприятных реакций/событий будет оцениваться с использованием Общих критериев классификации неблагоприятных событий (CTCAE), версии 5.0 или текущей версии. Если неблагоприятное событие не может быть классифицировано в соответствии с CTCAE, исследователь должен выбрать наиболее подходящее описание тяжести неблагоприятных реакций/событий, основанное на клиническом суждении, из тех, которые представлены в классификации. В качестве категорий можно использовать следующие описания:</w:t>
      </w:r>
    </w:p>
    <w:p>
      <w:pPr>
        <w:pStyle w:val="7"/>
      </w:pPr>
      <w:r>
        <w:t xml:space="preserve">Таблица 7. Тяжесть неблагоприятной реакции в соответствии с CTCAE</w:t>
      </w:r>
    </w:p>
    <w:p>
      <w:pPr>
        <w:pStyle w:val="7"/>
      </w:pPr>
      <w:r>
        <w:t xml:space="preserve">&gt;</w:t>
      </w:r>
      <w:r>
        <w:t xml:space="preserve"> </w:t>
      </w:r>
      <w:r>
        <w:rPr>
          <w:b/>
        </w:rPr>
        <w:t xml:space="preserve">Уровень</w:t>
      </w:r>
      <w:r>
        <w:t xml:space="preserve"> </w:t>
      </w:r>
      <w:r>
        <w:t xml:space="preserve">|</w:t>
      </w:r>
      <w:r>
        <w:t xml:space="preserve"> </w:t>
      </w:r>
      <w:r>
        <w:rPr>
          <w:b/>
        </w:rPr>
        <w:t xml:space="preserve">Категория</w:t>
      </w:r>
      <w:r>
        <w:t xml:space="preserve"> </w:t>
      </w:r>
      <w:r>
        <w:t xml:space="preserve">|</w:t>
      </w:r>
      <w:r>
        <w:t xml:space="preserve"> </w:t>
      </w:r>
      <w:r>
        <w:rPr>
          <w:b/>
        </w:rPr>
        <w:t xml:space="preserve">Определение/Описание</w:t>
      </w:r>
      <w:r>
        <w:t xml:space="preserve"> </w:t>
      </w:r>
      <w:r>
        <w:t xml:space="preserve">| |</w:t>
      </w:r>
      <w:r>
        <w:br w:type="textWrapping"/>
      </w:r>
      <w:r>
        <w:t xml:space="preserve">&gt; 1 | Легкий | &gt; Легко переносимо, вызывает минимальные неудобства. Асимптоматические или легкие симптомы, клинические или диагностические наблюдения, вмешательство не требуется. | |</w:t>
      </w:r>
      <w:r>
        <w:br w:type="textWrapping"/>
      </w:r>
      <w:r>
        <w:t xml:space="preserve">&gt; 2 | Умеренный | &gt; Вызывает достаточно неудобств, чтобы повлиять на обычные повседневные занятия. Рекомендуется минимальное, местное или неинвазивное вмешательство, ограничение повседневной деятельности. | |</w:t>
      </w:r>
      <w:r>
        <w:br w:type="textWrapping"/>
      </w:r>
      <w:r>
        <w:t xml:space="preserve">&gt; 3 | Тяжелый | &gt; Невозможно выполнять обычные повседневные занятия. Тяжелые или клинически значимые, но не приводящие к немедленной угрозе жизни; требуется госпитализация или продление пребывания в больнице; инвалидность; ограничение самостоятельных повседневных занятий. | |</w:t>
      </w:r>
      <w:r>
        <w:br w:type="textWrapping"/>
      </w:r>
      <w:r>
        <w:t xml:space="preserve">&gt;</w:t>
      </w:r>
      <w:r>
        <w:t xml:space="preserve"> </w:t>
      </w:r>
      <w:r>
        <w:rPr>
          <w:b/>
        </w:rPr>
        <w:t xml:space="preserve">4</w:t>
      </w:r>
      <w:r>
        <w:t xml:space="preserve"> </w:t>
      </w:r>
      <w:r>
        <w:t xml:space="preserve">| Опасное для жизни*/ Инвалидность | &gt; Последствия, угрожающие жизни, требуется срочное вмешательство. | |</w:t>
      </w:r>
      <w:r>
        <w:br w:type="textWrapping"/>
      </w:r>
      <w:r>
        <w:t xml:space="preserve">&gt;</w:t>
      </w:r>
      <w:r>
        <w:t xml:space="preserve"> </w:t>
      </w:r>
      <w:r>
        <w:rPr>
          <w:b/>
        </w:rPr>
        <w:t xml:space="preserve">5</w:t>
      </w:r>
      <w:r>
        <w:t xml:space="preserve"> </w:t>
      </w:r>
      <w:r>
        <w:t xml:space="preserve">| Смерть | &gt; Смерть, связанная с неблагоприятным событием. | |</w:t>
      </w:r>
    </w:p>
    <w:p>
      <w:pPr>
        <w:pStyle w:val="BlockText"/>
      </w:pPr>
      <w:r>
        <w:rPr>
          <w:b/>
        </w:rPr>
        <w:t xml:space="preserve">Жизнеугрожающее, инвалидирующее или смертельное нежелательное событие также будет соответствовать критериям серьезности и будет считаться серьезным нежелательным событием.</w:t>
      </w:r>
    </w:p>
    <w:p>
      <w:pPr>
        <w:pStyle w:val="FirstParagraph"/>
      </w:pPr>
      <w:r>
        <w:t xml:space="preserve">Отношения между нежелательными событиями и исследуемым препаратом</w:t>
      </w:r>
    </w:p>
    <w:p>
      <w:pPr>
        <w:pStyle w:val="7"/>
      </w:pPr>
      <w:r>
        <w:t xml:space="preserve">Для каждого нежелательного события, исследователь должен оценить его возможную связь с исследуемым препаратом, основываясь на категориях, указанных в таблице 7.</w:t>
      </w:r>
    </w:p>
    <w:p>
      <w:pPr>
        <w:pStyle w:val="7"/>
      </w:pPr>
      <w:r>
        <w:t xml:space="preserve">Таблица 8. Оценка причинно-следственной связи</w:t>
      </w:r>
    </w:p>
    <w:p>
      <w:pPr>
        <w:pStyle w:val="7"/>
      </w:pPr>
      <w:r>
        <w:t xml:space="preserve">&gt;</w:t>
      </w:r>
      <w:r>
        <w:t xml:space="preserve"> </w:t>
      </w:r>
      <w:r>
        <w:rPr>
          <w:b/>
        </w:rPr>
        <w:t xml:space="preserve">Категория по AE</w:t>
      </w:r>
      <w:r>
        <w:t xml:space="preserve"> </w:t>
      </w:r>
      <w:r>
        <w:t xml:space="preserve">| &gt;</w:t>
      </w:r>
      <w:r>
        <w:t xml:space="preserve"> </w:t>
      </w:r>
      <w:r>
        <w:rPr>
          <w:b/>
        </w:rPr>
        <w:t xml:space="preserve">Определение</w:t>
      </w:r>
      <w:r>
        <w:t xml:space="preserve"> </w:t>
      </w:r>
      <w:r>
        <w:t xml:space="preserve">|</w:t>
      </w:r>
      <w:r>
        <w:br w:type="textWrapping"/>
      </w:r>
      <w:r>
        <w:t xml:space="preserve">&gt; Связанные | - Возникает в течение определенного значительного периода времени после приема лекарства |</w:t>
      </w:r>
      <w:r>
        <w:br w:type="textWrapping"/>
      </w:r>
      <w:r>
        <w:t xml:space="preserve">                         | - Известная реакция на прием лекарства |</w:t>
      </w:r>
      <w:r>
        <w:br w:type="textWrapping"/>
      </w:r>
      <w:r>
        <w:t xml:space="preserve">                         | - Исчезает после прекращения приема лекарства |</w:t>
      </w:r>
      <w:r>
        <w:br w:type="textWrapping"/>
      </w:r>
      <w:r>
        <w:t xml:space="preserve">                         | - Возникает повторно после возобновления приема лекарства (в зависимости от характера AE, повторное применение может быть невозможно) |</w:t>
      </w:r>
      <w:r>
        <w:br w:type="textWrapping"/>
      </w:r>
      <w:r>
        <w:t xml:space="preserve">&gt; Возможно, связаны | - Возникает в течение определенного значительного периода времени после приема лекарства |</w:t>
      </w:r>
      <w:r>
        <w:br w:type="textWrapping"/>
      </w:r>
      <w:r>
        <w:t xml:space="preserve">                         | - Известная реакция на прием лекарства или лекарств той же фармакологической группы |</w:t>
      </w:r>
      <w:r>
        <w:br w:type="textWrapping"/>
      </w:r>
      <w:r>
        <w:t xml:space="preserve">                         | - Возможно, связана с заболеванием или состоянием пациента, сопутствующей терапией или процедурой |</w:t>
      </w:r>
      <w:r>
        <w:br w:type="textWrapping"/>
      </w:r>
      <w:r>
        <w:t xml:space="preserve">&gt; Маловероятно, что связаны | - Достаточное доказательство отсутствия причинно-следственной связи с лекарством |</w:t>
      </w:r>
      <w:r>
        <w:br w:type="textWrapping"/>
      </w:r>
      <w:r>
        <w:t xml:space="preserve">                         | - Возможно, другое причина ее возникновения |</w:t>
      </w:r>
      <w:r>
        <w:br w:type="textWrapping"/>
      </w:r>
      <w:r>
        <w:t xml:space="preserve">&gt; Не связаны | - Отсутствие временной связи с лекарством (например, AE, возникающая у волонтера, не получавшего лекарство) |</w:t>
      </w:r>
      <w:r>
        <w:br w:type="textWrapping"/>
      </w:r>
      <w:r>
        <w:t xml:space="preserve">                         | - Известная другая причина |</w:t>
      </w:r>
    </w:p>
    <w:p>
      <w:pPr>
        <w:pStyle w:val="7"/>
      </w:pPr>
      <w:r>
        <w:t xml:space="preserve">Результаты возникновения нежелательных явлений</w:t>
      </w:r>
    </w:p>
    <w:p>
      <w:pPr>
        <w:pStyle w:val="7"/>
      </w:pPr>
      <w:r>
        <w:t xml:space="preserve">Результат неблагоприятного события следует оценивать при его регистрации на основании следующих категорий.</w:t>
      </w:r>
    </w:p>
    <w:p>
      <w:pPr>
        <w:numPr>
          <w:numId w:val="1061"/>
          <w:ilvl w:val="0"/>
        </w:numPr>
      </w:pPr>
      <w:r>
        <w:t xml:space="preserve">Решено (признаки неблагоприятного события полностью исчезли).</w:t>
      </w:r>
    </w:p>
    <w:p>
      <w:pPr>
        <w:numPr>
          <w:numId w:val="1061"/>
          <w:ilvl w:val="0"/>
        </w:numPr>
      </w:pPr>
      <w:r>
        <w:t xml:space="preserve">Решено с последствиями (включая улучшение/ухудшение динамики признака/симптома).</w:t>
      </w:r>
    </w:p>
    <w:p>
      <w:pPr>
        <w:numPr>
          <w:numId w:val="1061"/>
          <w:ilvl w:val="0"/>
        </w:numPr>
      </w:pPr>
      <w:r>
        <w:t xml:space="preserve">Не разрешено (неблагоприятное событие, которое продолжается на момент регистрации или на момент смерти волонтера по другим причинам или из-за возникновения другого неблагоприятного события).</w:t>
      </w:r>
    </w:p>
    <w:p>
      <w:pPr>
        <w:numPr>
          <w:numId w:val="1061"/>
          <w:ilvl w:val="0"/>
        </w:numPr>
      </w:pPr>
      <w:r>
        <w:t xml:space="preserve">Неблагоприятное событие, приведшее к смерти (смерть, вызванная неблагоприятным событием).</w:t>
      </w:r>
    </w:p>
    <w:p>
      <w:pPr>
        <w:numPr>
          <w:numId w:val="1061"/>
          <w:ilvl w:val="0"/>
        </w:numPr>
      </w:pPr>
      <w:r>
        <w:t xml:space="preserve">Неизвестно (если волонтер больше не наблюдается).</w:t>
      </w:r>
    </w:p>
    <w:p>
      <w:pPr>
        <w:pStyle w:val="Compact"/>
        <w:numPr>
          <w:numId w:val="1062"/>
          <w:ilvl w:val="1"/>
        </w:numPr>
      </w:pPr>
      <w:r>
        <w:t xml:space="preserve">Период сообщения о неблагоприятных событиях/тяжёлых неблагоприятных событиях</w:t>
      </w:r>
    </w:p>
    <w:p>
      <w:pPr>
        <w:pStyle w:val="FirstParagraph"/>
      </w:pPr>
      <w:r>
        <w:t xml:space="preserve">Если происходит неблагоприятное событие/тяжёлое неблагоприятное событие, исследователь должен максимально подробно описать его в документации, предоставленной волонтером, и зафиксировать в eCRF.</w:t>
      </w:r>
    </w:p>
    <w:p>
      <w:pPr>
        <w:pStyle w:val="7"/>
      </w:pPr>
      <w:r>
        <w:t xml:space="preserve">При возникновении тяжёлого неблагоприятного события, в дополнение к описанию в документации и заполнению страниц в eCRF, указывающих на серьёзность неблагоприятного события, все поля специальной формы для тяжёлых неблагоприятных событий в eCRF должны быть заполнены.</w:t>
      </w:r>
    </w:p>
    <w:p>
      <w:pPr>
        <w:pStyle w:val="7"/>
      </w:pPr>
      <w:r>
        <w:t xml:space="preserve">Документация должна включать: дату и время (при необходимости) возникновения и разрешения неблагоприятного события/тяжёлого неблагоприятного события, серьёзность неблагоприятного события/тяжёлого неблагоприятного события, тяжесть неблагоприятного события/тяжёлого неблагоприятного события, причинно-следственную связь с SD, связь с методом введения, предпринятые меры в отношении волонтера и дозировки, лекарства для лечения неблагоприятного события/тяжёлого неблагоприятного события, и результат/разрешение неблагоприятного события/тяжёлого неблагоприятного события.</w:t>
      </w:r>
    </w:p>
    <w:p>
      <w:pPr>
        <w:pStyle w:val="7"/>
      </w:pPr>
      <w:r>
        <w:t xml:space="preserve">Когда исследователь получает дополнительную информацию о развитии/разрешении неблагоприятного события/тяжёлого неблагоприятного события, он должен включить её в документацию и в eCRF.</w:t>
      </w:r>
    </w:p>
    <w:p>
      <w:pPr>
        <w:pStyle w:val="7"/>
      </w:pPr>
      <w:r>
        <w:t xml:space="preserve">Форма сообщения о тяжёлых неблагоприятных событиях заполняется в eCRF в течение 24 часов после того, как исследователь получил информацию о тяжёлом неблагоприятном событии.</w:t>
      </w:r>
    </w:p>
    <w:p>
      <w:pPr>
        <w:pStyle w:val="7"/>
      </w:pPr>
      <w:r>
        <w:t xml:space="preserve">Каждый раз, когда поступает дополнительная информация о тяжёлом неблагоприятном событии, следует заполнить новую форму, указывающую, что это дополнительная информация о данном тяжёлом неблагоприятном событии, и указывающую номер серии отчёта. Такие формы также должны быть заполнены в eCRF в течение 24 часов.</w:t>
      </w:r>
    </w:p>
    <w:p>
      <w:pPr>
        <w:pStyle w:val="4"/>
      </w:pPr>
      <w:bookmarkStart w:id="33" w:name="Xcc943f1b4d7f347bd44e17b9d5fece7405b2f38"/>
      <w:r>
        <w:t xml:space="preserve">Информацию о тяжёлых неблагоприятных событиях следует направлять:</w:t>
      </w:r>
      <w:bookmarkEnd w:id="33"/>
    </w:p>
    <w:p>
      <w:pPr>
        <w:pStyle w:val="BlockText"/>
      </w:pPr>
      <w:r>
        <w:t xml:space="preserve">Название компании: IPHARMA LLC</w:t>
      </w:r>
      <w:r>
        <w:t xml:space="preserve"> </w:t>
      </w:r>
      <w:r>
        <w:t xml:space="preserve">Медицинский координатор: Горчаков Д.С.</w:t>
      </w:r>
      <w:r>
        <w:t xml:space="preserve"> </w:t>
      </w:r>
      <w:r>
        <w:t xml:space="preserve">Телефон: +7 (495) 276-11-43</w:t>
      </w:r>
      <w:r>
        <w:t xml:space="preserve"> </w:t>
      </w:r>
      <w:r>
        <w:t xml:space="preserve">Факс: +7 (495) 276-11-47</w:t>
      </w:r>
      <w:r>
        <w:t xml:space="preserve"> </w:t>
      </w:r>
      <w:r>
        <w:t xml:space="preserve">Мобильный телефон: +7 (926) 902-00-75</w:t>
      </w:r>
      <w:r>
        <w:t xml:space="preserve"> </w:t>
      </w:r>
      <w:r>
        <w:t xml:space="preserve">Электронная почта: SAE@ipharma.ru</w:t>
      </w:r>
    </w:p>
    <w:p>
      <w:pPr>
        <w:pStyle w:val="FirstParagraph"/>
      </w:pPr>
      <w:r>
        <w:t xml:space="preserve">Мониторинг после неблагоприятного события/тяжёлого неблагоприятного события</w:t>
      </w:r>
    </w:p>
    <w:p>
      <w:pPr>
        <w:pStyle w:val="7"/>
      </w:pPr>
      <w:r>
        <w:t xml:space="preserve">Все неблагоприятные события должны быть отслеживаемы до их разрешения или до тех пор, пока исследователь не классифицирует их как «хронические» или «стабильные», но не более чем через 1 месяц после даты сообщения. Эта информация должна быть зафиксирована в документации и в eCRF. Результат события следует зарегистрировать и отнести к одной из следующих категорий, указанных в разделе 6.9.6 протокола.</w:t>
      </w:r>
    </w:p>
    <w:p>
      <w:pPr>
        <w:pStyle w:val="7"/>
      </w:pPr>
      <w:r>
        <w:t xml:space="preserve">Клинически значимые отклонения в лабораторных и инструментальных тестах и жизненно важных показателях</w:t>
      </w:r>
    </w:p>
    <w:p>
      <w:pPr>
        <w:pStyle w:val="7"/>
      </w:pPr>
      <w:r>
        <w:t xml:space="preserve">Исследователь должен ознакомиться с лабораторным отчётом, результатами инструментальных исследований и, при наличии любых отклонений параметров от нормальных значений, оценить их, подписать и проставить дату в отчёте/выводе.</w:t>
      </w:r>
    </w:p>
    <w:p>
      <w:pPr>
        <w:pStyle w:val="7"/>
      </w:pPr>
      <w:r>
        <w:t xml:space="preserve">Любые клинически значимые аномалии в лабораторных/инструментальных/жизненно важных параметрах, наблюдаемые у субъекта во время скрининга, следует приписать медицинскому анамнезу субъекта. После скрининга аномальные лабораторные параметры или другие результаты исследований считаются неблагоприятными событиями только в том случае, если они:</w:t>
      </w:r>
    </w:p>
    <w:p>
      <w:pPr>
        <w:numPr>
          <w:numId w:val="1063"/>
          <w:ilvl w:val="0"/>
        </w:numPr>
      </w:pPr>
      <w:r>
        <w:t xml:space="preserve">Вызывают клинические признаки или симптомы,</w:t>
      </w:r>
    </w:p>
    <w:p>
      <w:pPr>
        <w:numPr>
          <w:numId w:val="1063"/>
          <w:ilvl w:val="0"/>
        </w:numPr>
      </w:pPr>
      <w:r>
        <w:t xml:space="preserve">Считаются клинически значимыми исследователем, или</w:t>
      </w:r>
    </w:p>
    <w:p>
      <w:pPr>
        <w:numPr>
          <w:numId w:val="1063"/>
          <w:ilvl w:val="0"/>
        </w:numPr>
      </w:pPr>
      <w:r>
        <w:t xml:space="preserve">Требуют лечения.</w:t>
      </w:r>
    </w:p>
    <w:p>
      <w:pPr>
        <w:pStyle w:val="FirstParagraph"/>
      </w:pPr>
      <w:r>
        <w:t xml:space="preserve">Изменения в лабораторных/инструментальных/жизненно важных параметрах по сравнению с базовыми значениями, которые считаются неблагоприятными событиями, следует соответствующим образом зафиксировать в документации и в eCRF.</w:t>
      </w:r>
    </w:p>
    <w:p>
      <w:pPr>
        <w:pStyle w:val="BlockText"/>
      </w:pPr>
      <w:r>
        <w:t xml:space="preserve">Если во время исследования происходит необъяснимая или неожиданная лабораторная аномалия, лабораторное исследование следует проводить с такой частотой, чтобы задокументировать его возвращение к нормальным значениям или до тех пор, пока не будет установлена или объяснена причина аномалии.</w:t>
      </w:r>
    </w:p>
    <w:p>
      <w:pPr>
        <w:pStyle w:val="FirstParagraph"/>
      </w:pPr>
      <w:r>
        <w:t xml:space="preserve">TRANSLATION:</w:t>
      </w:r>
    </w:p>
    <w:p>
      <w:pPr>
        <w:pStyle w:val="7"/>
      </w:pPr>
      <w:r>
        <w:t xml:space="preserve">Критерии прекращения исследования без перехода к дальнейшей эскалации дозы</w:t>
      </w:r>
    </w:p>
    <w:p>
      <w:pPr>
        <w:pStyle w:val="7"/>
      </w:pPr>
      <w:r>
        <w:t xml:space="preserve">Критерии прекращения участия волонтером основаны на рекомендациях EMA [39] и включают следующее:</w:t>
      </w:r>
    </w:p>
    <w:p>
      <w:pPr>
        <w:numPr>
          <w:numId w:val="1064"/>
          <w:ilvl w:val="0"/>
        </w:numPr>
      </w:pPr>
      <w:r>
        <w:t xml:space="preserve">Развитие серьезных нежелательных явлений (т.е. нежелательных явлений, которые определяются как</w:t>
      </w:r>
      <w:r>
        <w:t xml:space="preserve"> </w:t>
      </w:r>
      <w:r>
        <w:t xml:space="preserve">“</w:t>
      </w:r>
      <w:r>
        <w:t xml:space="preserve">потенциально связанные</w:t>
      </w:r>
      <w:r>
        <w:t xml:space="preserve">”</w:t>
      </w:r>
      <w:r>
        <w:t xml:space="preserve"> </w:t>
      </w:r>
      <w:r>
        <w:t xml:space="preserve">со лекарством, используемым в исследовании, даже у одного волонтера в каждой группе, что привело к смерти участника, к стойкой или значительной инвалидности или недееспособности, или, когда волонтер переходит на фазу последующего наблюдения, к развитию состояния, требующего госпитализации (уровень 4 тяжести).</w:t>
      </w:r>
    </w:p>
    <w:p>
      <w:pPr>
        <w:numPr>
          <w:numId w:val="1064"/>
          <w:ilvl w:val="0"/>
        </w:numPr>
      </w:pPr>
      <w:r>
        <w:t xml:space="preserve">Развитие серьезных и потенциально опасных для жизни нежелательных явлений (класс 3 и класс 4 в соответствии с классификацией, представленной в разделе 6.9.4), за исключением изменений в лабораторных параметрах, которые не требуют терапии, у более чем двух волонтеров из группы после приема лекарства, используемого в исследовании, которые определяются как</w:t>
      </w:r>
      <w:r>
        <w:t xml:space="preserve"> </w:t>
      </w:r>
      <w:r>
        <w:t xml:space="preserve">“</w:t>
      </w:r>
      <w:r>
        <w:t xml:space="preserve">потенциально связанные</w:t>
      </w:r>
      <w:r>
        <w:t xml:space="preserve">”</w:t>
      </w:r>
      <w:r>
        <w:t xml:space="preserve"> </w:t>
      </w:r>
      <w:r>
        <w:t xml:space="preserve">с этим лекарством.</w:t>
      </w:r>
    </w:p>
    <w:p>
      <w:pPr>
        <w:pStyle w:val="FirstParagraph"/>
      </w:pPr>
      <w:r>
        <w:t xml:space="preserve">Волонтеры, которые прекращают участие в клиническом исследовании из-за развития нежелательных явлений, получат лечение в соответствии с текущими клиническими стандартами и будут находиться под наблюдением до выздоровления или стабилизации, или до установления разумного объяснения произошедшего. Все соответствующие сведения о результатах нежелательных явлений должны быть задокументированы в источнике данных.</w:t>
      </w:r>
    </w:p>
    <w:p>
      <w:pPr>
        <w:pStyle w:val="7"/>
      </w:pPr>
      <w:r>
        <w:t xml:space="preserve">Клиническое исследование может быть прекращено досрочно или остановлено спонсором после оценки рисков, связанных с исследованием.</w:t>
      </w:r>
    </w:p>
    <w:p>
      <w:pPr>
        <w:pStyle w:val="7"/>
      </w:pPr>
      <w:r>
        <w:t xml:space="preserve">Если во время исследования наблюдается неблагоприятный профиль безопасности лекарства, исследование может быть прекращено досрочно.</w:t>
      </w:r>
    </w:p>
    <w:p>
      <w:pPr>
        <w:pStyle w:val="BlockText"/>
      </w:pPr>
      <w:r>
        <w:t xml:space="preserve">Решение о прекращении или продолжении исследования принимает спонсор.</w:t>
      </w:r>
    </w:p>
    <w:p>
      <w:pPr>
        <w:pStyle w:val="FirstParagraph"/>
      </w:pPr>
      <w:r>
        <w:t xml:space="preserve">Досрочное прекращение исследования и досрочное прекращение участия волонтеров</w:t>
      </w:r>
    </w:p>
    <w:p>
      <w:pPr>
        <w:pStyle w:val="BlockText"/>
      </w:pPr>
      <w:r>
        <w:t xml:space="preserve">Исследование может быть прекращено по следующим причинам:</w:t>
      </w:r>
    </w:p>
    <w:p>
      <w:pPr>
        <w:numPr>
          <w:numId w:val="1065"/>
          <w:ilvl w:val="0"/>
        </w:numPr>
      </w:pPr>
      <w:r>
        <w:t xml:space="preserve">Спонсором:</w:t>
      </w:r>
    </w:p>
    <w:p>
      <w:pPr>
        <w:numPr>
          <w:numId w:val="1066"/>
          <w:ilvl w:val="1"/>
        </w:numPr>
      </w:pPr>
      <w:r>
        <w:t xml:space="preserve">если появились новые токсикологические или фармакологические данные (или данные о нежелательных явлениях), которые требовали пересмотра предыдущей оценки риска и пользы участия в исследовании;</w:t>
      </w:r>
    </w:p>
    <w:p>
      <w:pPr>
        <w:numPr>
          <w:numId w:val="1066"/>
          <w:ilvl w:val="1"/>
        </w:numPr>
      </w:pPr>
      <w:r>
        <w:t xml:space="preserve">если частота и/или тяжесть нежелательных явлений сделали дальнейшие исследования невозможными;</w:t>
      </w:r>
    </w:p>
    <w:p>
      <w:pPr>
        <w:numPr>
          <w:numId w:val="1066"/>
          <w:ilvl w:val="1"/>
        </w:numPr>
      </w:pPr>
      <w:r>
        <w:t xml:space="preserve">по другим причинам (включая административные).</w:t>
      </w:r>
    </w:p>
    <w:p>
      <w:pPr>
        <w:numPr>
          <w:numId w:val="1065"/>
          <w:ilvl w:val="0"/>
        </w:numPr>
      </w:pPr>
      <w:r>
        <w:t xml:space="preserve">Исследователем: если частота и/или тяжесть нежелательных явлений повысила риск участия волонтера в исследовании до неприемлемого уровня.</w:t>
      </w:r>
    </w:p>
    <w:p>
      <w:pPr>
        <w:numPr>
          <w:numId w:val="1065"/>
          <w:ilvl w:val="0"/>
        </w:numPr>
      </w:pPr>
      <w:r>
        <w:t xml:space="preserve">Регуляторными органами.</w:t>
      </w:r>
    </w:p>
    <w:p>
      <w:pPr>
        <w:pStyle w:val="FirstParagraph"/>
      </w:pPr>
      <w:r>
        <w:t xml:space="preserve">В случае досрочного прекращения исследования спонсор должен уведомить персонал исследовательского центра и регуляторные органы, указав причину досрочного прекращения исследования.</w:t>
      </w:r>
    </w:p>
    <w:p>
      <w:pPr>
        <w:pStyle w:val="7"/>
      </w:pPr>
      <w:r>
        <w:t xml:space="preserve">Если исследование будет прекращено досрочно, все волонтеры должны завершить процедуры последнего визита в центре, и все материалы исследования должны быть возвращены спонсору.</w:t>
      </w:r>
    </w:p>
    <w:p>
      <w:pPr>
        <w:pStyle w:val="7"/>
      </w:pPr>
      <w:r>
        <w:t xml:space="preserve">Волонтер должен быть досрочно исключен из клинического исследования, если он соответствует любому из следующих критериев прекращения участия для каждого участника, указанных в разделе 4.4 протокола.</w:t>
      </w:r>
    </w:p>
    <w:p>
      <w:pPr>
        <w:pStyle w:val="7"/>
      </w:pPr>
      <w:r>
        <w:t xml:space="preserve">По возможности, исследователь должен обсудить исключение волонтера со спонсором до исключения. В противном случае, исследователь должен обсудить исключение волонтера со спонсором в течение 24 часов после исключения. Причина исключения волонтера должна быть указана в источнике данных и в eCRF. Если волонтер отказывается от участия в исследовании по одной или нескольким причинам, следует указать только основную причину. В качестве причины отказа волонтера от участия в исследовании из-за нежелательных явлений следует указать возникновение нежелательных явлений или нежелательных явлений.</w:t>
      </w:r>
    </w:p>
    <w:p>
      <w:pPr>
        <w:numPr>
          <w:numId w:val="1067"/>
          <w:ilvl w:val="0"/>
        </w:numPr>
      </w:pPr>
      <w:r>
        <w:t xml:space="preserve">ПРОЦЕДУРЫ ИССЛЕДОВАНИЯ</w:t>
      </w:r>
    </w:p>
    <w:p>
      <w:pPr>
        <w:numPr>
          <w:numId w:val="1068"/>
          <w:ilvl w:val="1"/>
        </w:numPr>
      </w:pPr>
      <w:r>
        <w:t xml:space="preserve">Отбор (для групп с однократным и многократным дозированием)</w:t>
      </w:r>
    </w:p>
    <w:p>
      <w:pPr>
        <w:pStyle w:val="Compact"/>
        <w:numPr>
          <w:numId w:val="1069"/>
          <w:ilvl w:val="2"/>
        </w:numPr>
      </w:pPr>
      <w:r>
        <w:t xml:space="preserve">День -14</w:t>
      </w:r>
    </w:p>
    <w:p>
      <w:pPr>
        <w:pStyle w:val="BlockText"/>
      </w:pPr>
      <w:r>
        <w:rPr>
          <w:b/>
        </w:rPr>
        <w:t xml:space="preserve">(Период визита, дни -14…-1)</w:t>
      </w:r>
    </w:p>
    <w:p>
      <w:pPr>
        <w:numPr>
          <w:numId w:val="1070"/>
          <w:ilvl w:val="0"/>
        </w:numPr>
      </w:pPr>
      <w:r>
        <w:t xml:space="preserve">Согласие на участие</w:t>
      </w:r>
    </w:p>
    <w:p>
      <w:pPr>
        <w:numPr>
          <w:numId w:val="1070"/>
          <w:ilvl w:val="0"/>
        </w:numPr>
      </w:pPr>
      <w:r>
        <w:t xml:space="preserve">Назначение уникального идентификатора</w:t>
      </w:r>
    </w:p>
    <w:p>
      <w:pPr>
        <w:numPr>
          <w:numId w:val="1070"/>
          <w:ilvl w:val="0"/>
        </w:numPr>
      </w:pPr>
      <w:r>
        <w:t xml:space="preserve">Демографическая и медицинская информация</w:t>
      </w:r>
    </w:p>
    <w:p>
      <w:pPr>
        <w:numPr>
          <w:numId w:val="1070"/>
          <w:ilvl w:val="0"/>
        </w:numPr>
      </w:pPr>
      <w:r>
        <w:t xml:space="preserve">Физический осмотр</w:t>
      </w:r>
    </w:p>
    <w:p>
      <w:pPr>
        <w:numPr>
          <w:numId w:val="1070"/>
          <w:ilvl w:val="0"/>
        </w:numPr>
      </w:pPr>
      <w:r>
        <w:t xml:space="preserve">Рост, вес, ИМТ</w:t>
      </w:r>
    </w:p>
    <w:p>
      <w:pPr>
        <w:numPr>
          <w:numId w:val="1070"/>
          <w:ilvl w:val="0"/>
        </w:numPr>
      </w:pPr>
      <w:r>
        <w:t xml:space="preserve">Физиологические показатели (АД, ЧСС, частота дыхания, температура тела)</w:t>
      </w:r>
    </w:p>
    <w:p>
      <w:pPr>
        <w:numPr>
          <w:numId w:val="1070"/>
          <w:ilvl w:val="0"/>
        </w:numPr>
      </w:pPr>
      <w:r>
        <w:t xml:space="preserve">ЭКГ с 12 электродами в состоянии покоя (интервалы HR, RR, PQ, QT, QRS и QT</w:t>
      </w:r>
      <w:r>
        <w:rPr>
          <w:vertAlign w:val="subscript"/>
        </w:rPr>
        <w:t xml:space="preserve">C</w:t>
      </w:r>
      <w:r>
        <w:t xml:space="preserve">)</w:t>
      </w:r>
    </w:p>
    <w:p>
      <w:pPr>
        <w:numPr>
          <w:numId w:val="1070"/>
          <w:ilvl w:val="0"/>
        </w:numPr>
      </w:pPr>
      <w:r>
        <w:t xml:space="preserve">Кровь для серологического исследования на ВИЧ, гепатит B и C, сифилис, общий анализ крови и биохимический анализ</w:t>
      </w:r>
    </w:p>
    <w:p>
      <w:pPr>
        <w:numPr>
          <w:numId w:val="1070"/>
          <w:ilvl w:val="0"/>
        </w:numPr>
      </w:pPr>
      <w:r>
        <w:t xml:space="preserve">Урина для анализа мочи</w:t>
      </w:r>
    </w:p>
    <w:p>
      <w:pPr>
        <w:numPr>
          <w:numId w:val="1070"/>
          <w:ilvl w:val="0"/>
        </w:numPr>
      </w:pPr>
      <w:r>
        <w:t xml:space="preserve">Тест на наличие наркотических веществ и сильнодействующих препаратов (с использованием тест-полосок)</w:t>
      </w:r>
    </w:p>
    <w:p>
      <w:pPr>
        <w:numPr>
          <w:numId w:val="1070"/>
          <w:ilvl w:val="0"/>
        </w:numPr>
      </w:pPr>
      <w:r>
        <w:t xml:space="preserve">Тест на содержание алкоголя в выдыхаемом воздухе</w:t>
      </w:r>
    </w:p>
    <w:p>
      <w:pPr>
        <w:numPr>
          <w:numId w:val="1070"/>
          <w:ilvl w:val="0"/>
        </w:numPr>
      </w:pPr>
      <w:r>
        <w:t xml:space="preserve">Тест на котиноин</w:t>
      </w:r>
    </w:p>
    <w:p>
      <w:pPr>
        <w:numPr>
          <w:numId w:val="1070"/>
          <w:ilvl w:val="0"/>
        </w:numPr>
      </w:pPr>
      <w:r>
        <w:t xml:space="preserve">Оценка критериев включения/исключения</w:t>
      </w:r>
    </w:p>
    <w:p>
      <w:pPr>
        <w:numPr>
          <w:numId w:val="1070"/>
          <w:ilvl w:val="0"/>
        </w:numPr>
      </w:pPr>
      <w:r>
        <w:t xml:space="preserve">Одновременные лекарства и побочные эффекты.</w:t>
      </w:r>
    </w:p>
    <w:p>
      <w:pPr>
        <w:pStyle w:val="FirstParagraph"/>
      </w:pPr>
      <w:r>
        <w:t xml:space="preserve">Если участник соответствует всем критериям включения и не соответствует ни одному критерию исключения, он будет признан подходящим для участия в исследовании и приглашен в исследовательский центр.</w:t>
      </w:r>
    </w:p>
    <w:p>
      <w:pPr>
        <w:pStyle w:val="7"/>
      </w:pPr>
      <w:r>
        <w:rPr>
          <w:b/>
        </w:rPr>
        <w:t xml:space="preserve">День -1 (для однократных и многократных доз)</w:t>
      </w:r>
    </w:p>
    <w:p>
      <w:pPr>
        <w:pStyle w:val="7"/>
      </w:pPr>
      <w:r>
        <w:t xml:space="preserve">Участников пригласят в исследовательский центр накануне дня -1 для проведения окончательной оценки соответствия критериям включения/исключения и госпитализации. В этот визит будут проведены следующие процедуры:</w:t>
      </w:r>
    </w:p>
    <w:p>
      <w:pPr>
        <w:numPr>
          <w:numId w:val="1071"/>
          <w:ilvl w:val="0"/>
        </w:numPr>
      </w:pPr>
      <w:r>
        <w:t xml:space="preserve">Одновременные лекарства и побочные эффекты</w:t>
      </w:r>
    </w:p>
    <w:p>
      <w:pPr>
        <w:numPr>
          <w:numId w:val="1071"/>
          <w:ilvl w:val="0"/>
        </w:numPr>
      </w:pPr>
      <w:r>
        <w:t xml:space="preserve">Физический осмотр</w:t>
      </w:r>
    </w:p>
    <w:p>
      <w:pPr>
        <w:numPr>
          <w:numId w:val="1071"/>
          <w:ilvl w:val="0"/>
        </w:numPr>
      </w:pPr>
      <w:r>
        <w:t xml:space="preserve">Жизненные показатели (АД, ЧСС, частота дыхания, температура тела)</w:t>
      </w:r>
    </w:p>
    <w:p>
      <w:pPr>
        <w:numPr>
          <w:numId w:val="1071"/>
          <w:ilvl w:val="0"/>
        </w:numPr>
      </w:pPr>
      <w:r>
        <w:t xml:space="preserve">Тест на наличие наркотических веществ и сильнодействующих препаратов (с использованием тест-полосок)</w:t>
      </w:r>
    </w:p>
    <w:p>
      <w:pPr>
        <w:numPr>
          <w:numId w:val="1071"/>
          <w:ilvl w:val="0"/>
        </w:numPr>
      </w:pPr>
      <w:r>
        <w:t xml:space="preserve">Тест на содержание алкоголя в выдыхаемом воздухе</w:t>
      </w:r>
    </w:p>
    <w:p>
      <w:pPr>
        <w:numPr>
          <w:numId w:val="1071"/>
          <w:ilvl w:val="0"/>
        </w:numPr>
      </w:pPr>
      <w:r>
        <w:t xml:space="preserve">Тест на котиноин</w:t>
      </w:r>
    </w:p>
    <w:p>
      <w:pPr>
        <w:numPr>
          <w:numId w:val="1071"/>
          <w:ilvl w:val="0"/>
        </w:numPr>
      </w:pPr>
      <w:r>
        <w:t xml:space="preserve">Оценка соответствия критериям включения/исключения</w:t>
      </w:r>
    </w:p>
    <w:p>
      <w:pPr>
        <w:numPr>
          <w:numId w:val="1071"/>
          <w:ilvl w:val="0"/>
        </w:numPr>
      </w:pPr>
      <w:r>
        <w:t xml:space="preserve">Госпитализация.</w:t>
      </w:r>
    </w:p>
    <w:p>
      <w:pPr>
        <w:numPr>
          <w:numId w:val="1072"/>
          <w:ilvl w:val="1"/>
        </w:numPr>
      </w:pPr>
      <w:r>
        <w:rPr>
          <w:b/>
        </w:rPr>
        <w:t xml:space="preserve">Процедуры для однократных доз</w:t>
      </w:r>
    </w:p>
    <w:p>
      <w:pPr>
        <w:numPr>
          <w:numId w:val="1073"/>
          <w:ilvl w:val="2"/>
        </w:numPr>
      </w:pPr>
      <w:r>
        <w:rPr>
          <w:b/>
        </w:rPr>
        <w:t xml:space="preserve">Терапия исследования</w:t>
      </w:r>
    </w:p>
    <w:p>
      <w:pPr>
        <w:pStyle w:val="Compact"/>
        <w:numPr>
          <w:numId w:val="1074"/>
          <w:ilvl w:val="3"/>
        </w:numPr>
      </w:pPr>
      <w:r>
        <w:rPr>
          <w:b/>
        </w:rPr>
        <w:t xml:space="preserve">День 0</w:t>
      </w:r>
    </w:p>
    <w:p>
      <w:pPr>
        <w:numPr>
          <w:numId w:val="1071"/>
          <w:ilvl w:val="0"/>
        </w:numPr>
      </w:pPr>
      <w:r>
        <w:t xml:space="preserve">Одновременные лекарства и побочные эффекты</w:t>
      </w:r>
    </w:p>
    <w:p>
      <w:pPr>
        <w:numPr>
          <w:numId w:val="1071"/>
          <w:ilvl w:val="0"/>
        </w:numPr>
      </w:pPr>
      <w:r>
        <w:t xml:space="preserve">Жизненные показатели (АД, ЧСС, частота дыхания, температура тела), до приема лекарства</w:t>
      </w:r>
    </w:p>
    <w:p>
      <w:pPr>
        <w:numPr>
          <w:numId w:val="1071"/>
          <w:ilvl w:val="0"/>
        </w:numPr>
      </w:pPr>
      <w:r>
        <w:t xml:space="preserve">ЭКГ с 12 электродами в состоянии покоя (интервалы HR, RR, PQ, QT, QRS и QT</w:t>
      </w:r>
      <w:r>
        <w:rPr>
          <w:vertAlign w:val="subscript"/>
        </w:rPr>
        <w:t xml:space="preserve">C</w:t>
      </w:r>
      <w:r>
        <w:t xml:space="preserve">), до приема лекарства</w:t>
      </w:r>
    </w:p>
    <w:p>
      <w:pPr>
        <w:numPr>
          <w:numId w:val="1071"/>
          <w:ilvl w:val="0"/>
        </w:numPr>
      </w:pPr>
      <w:r>
        <w:t xml:space="preserve">Кровь для общего анализа крови и биохимического анализа</w:t>
      </w:r>
    </w:p>
    <w:p>
      <w:pPr>
        <w:numPr>
          <w:numId w:val="1071"/>
          <w:ilvl w:val="0"/>
        </w:numPr>
      </w:pPr>
      <w:r>
        <w:t xml:space="preserve">Урина для анализа мочи</w:t>
      </w:r>
    </w:p>
    <w:p>
      <w:pPr>
        <w:numPr>
          <w:numId w:val="1071"/>
          <w:ilvl w:val="0"/>
        </w:numPr>
      </w:pPr>
      <w:r>
        <w:t xml:space="preserve">Повторная оценка соответствия критериям включения/исключения</w:t>
      </w:r>
    </w:p>
    <w:p>
      <w:pPr>
        <w:numPr>
          <w:numId w:val="1071"/>
          <w:ilvl w:val="0"/>
        </w:numPr>
      </w:pPr>
      <w:r>
        <w:t xml:space="preserve">Назначение ID для рандомизации</w:t>
      </w:r>
    </w:p>
    <w:p>
      <w:pPr>
        <w:numPr>
          <w:numId w:val="1071"/>
          <w:ilvl w:val="0"/>
        </w:numPr>
      </w:pPr>
      <w:r>
        <w:t xml:space="preserve">Карта участника</w:t>
      </w:r>
    </w:p>
    <w:p>
      <w:pPr>
        <w:numPr>
          <w:numId w:val="1071"/>
          <w:ilvl w:val="0"/>
        </w:numPr>
      </w:pPr>
      <w:r>
        <w:t xml:space="preserve">Кровь для оценки фармакокинетики, до приема лекарства</w:t>
      </w:r>
    </w:p>
    <w:p>
      <w:pPr>
        <w:numPr>
          <w:numId w:val="1071"/>
          <w:ilvl w:val="0"/>
        </w:numPr>
      </w:pPr>
      <w:r>
        <w:t xml:space="preserve">Кровь для оценки фармакодинамики до приема лекарства и через 1 час, 2 часа, 3 часа, 4 часа, 6 часов, 8 часов и 12 часов после однократной дозы лекарства, исследуемого в рамках исследования</w:t>
      </w:r>
    </w:p>
    <w:p>
      <w:pPr>
        <w:pStyle w:val="4"/>
      </w:pPr>
      <w:bookmarkStart w:id="34" w:name="X84e2bdc1e512e81c42eafbbad79460a12be5b83"/>
      <w:r>
        <w:rPr>
          <w:i/>
          <w:b/>
        </w:rPr>
        <w:t xml:space="preserve">Введение лекарства, исследуемого в рамках исследования (одна доза)</w:t>
      </w:r>
      <w:bookmarkEnd w:id="34"/>
    </w:p>
    <w:p>
      <w:pPr>
        <w:numPr>
          <w:numId w:val="1075"/>
          <w:ilvl w:val="0"/>
        </w:numPr>
      </w:pPr>
      <w:r>
        <w:t xml:space="preserve">Кровь для оценки фармакокинетики через 15 минут, 30 минут, 45 минут, 1 час, 1 час 30 минут, 2 часа, 3 часа, 4 часа, 5 часов, 6 часов, 8 часов, 12 часов после однократной дозы лекарства, исследуемого в рамках исследования</w:t>
      </w:r>
    </w:p>
    <w:p>
      <w:pPr>
        <w:numPr>
          <w:numId w:val="1075"/>
          <w:ilvl w:val="0"/>
        </w:numPr>
      </w:pPr>
      <w:r>
        <w:t xml:space="preserve">Жизненные показатели через 4 часа после приема лекарства</w:t>
      </w:r>
    </w:p>
    <w:p>
      <w:pPr>
        <w:numPr>
          <w:numId w:val="1075"/>
          <w:ilvl w:val="0"/>
        </w:numPr>
      </w:pPr>
      <w:r>
        <w:t xml:space="preserve">ЭКГ через 4 часа после приема лекарства</w:t>
      </w:r>
    </w:p>
    <w:p>
      <w:pPr>
        <w:numPr>
          <w:numId w:val="1075"/>
          <w:ilvl w:val="0"/>
        </w:numPr>
      </w:pPr>
      <w:r>
        <w:t xml:space="preserve">Одновременные лекарства и побочные эффекты.</w:t>
      </w:r>
    </w:p>
    <w:p>
      <w:pPr>
        <w:pStyle w:val="BlockText"/>
      </w:pPr>
      <w:r>
        <w:t xml:space="preserve">Участник должен оставаться в центре не менее 72 часов после приема лекарства.</w:t>
      </w:r>
    </w:p>
    <w:p>
      <w:pPr>
        <w:pStyle w:val="FirstParagraph"/>
      </w:pPr>
      <w:r>
        <w:t xml:space="preserve">День 1</w:t>
      </w:r>
    </w:p>
    <w:p>
      <w:pPr>
        <w:pStyle w:val="BlockText"/>
      </w:pPr>
      <w:r>
        <w:t xml:space="preserve">В день выписки из больницы будут проведены следующие процедуры:</w:t>
      </w:r>
    </w:p>
    <w:p>
      <w:pPr>
        <w:numPr>
          <w:numId w:val="1076"/>
          <w:ilvl w:val="0"/>
        </w:numPr>
      </w:pPr>
      <w:r>
        <w:t xml:space="preserve">Одновременные лекарства и побочные эффекты</w:t>
      </w:r>
    </w:p>
    <w:p>
      <w:pPr>
        <w:numPr>
          <w:numId w:val="1076"/>
          <w:ilvl w:val="0"/>
        </w:numPr>
      </w:pPr>
      <w:r>
        <w:t xml:space="preserve">Жизненные показатели (АД, ЧСС, частота дыхания, температура тела)</w:t>
      </w:r>
    </w:p>
    <w:p>
      <w:pPr>
        <w:numPr>
          <w:numId w:val="1076"/>
          <w:ilvl w:val="0"/>
        </w:numPr>
      </w:pPr>
      <w:r>
        <w:t xml:space="preserve">Физический осмотр</w:t>
      </w:r>
    </w:p>
    <w:p>
      <w:pPr>
        <w:numPr>
          <w:numId w:val="1076"/>
          <w:ilvl w:val="0"/>
        </w:numPr>
      </w:pPr>
      <w:r>
        <w:t xml:space="preserve">ЭКГ</w:t>
      </w:r>
    </w:p>
    <w:p>
      <w:pPr>
        <w:numPr>
          <w:numId w:val="1076"/>
          <w:ilvl w:val="0"/>
        </w:numPr>
      </w:pPr>
      <w:r>
        <w:t xml:space="preserve">Кровь для оценки фармакокинетики через 24 часа после приема лекарства</w:t>
      </w:r>
    </w:p>
    <w:p>
      <w:pPr>
        <w:numPr>
          <w:numId w:val="1076"/>
          <w:ilvl w:val="0"/>
        </w:numPr>
      </w:pPr>
      <w:r>
        <w:t xml:space="preserve">Кровь для оценки фармакодинамики</w:t>
      </w:r>
    </w:p>
    <w:p>
      <w:pPr>
        <w:numPr>
          <w:numId w:val="1076"/>
          <w:ilvl w:val="0"/>
        </w:numPr>
      </w:pPr>
      <w:r>
        <w:t xml:space="preserve">Урина для анализа мочи.</w:t>
      </w:r>
    </w:p>
    <w:p>
      <w:pPr>
        <w:pStyle w:val="Compact"/>
        <w:numPr>
          <w:numId w:val="1077"/>
          <w:ilvl w:val="1"/>
        </w:numPr>
      </w:pPr>
      <w:r>
        <w:t xml:space="preserve">День 2</w:t>
      </w:r>
    </w:p>
    <w:p>
      <w:pPr>
        <w:pStyle w:val="BlockText"/>
      </w:pPr>
      <w:r>
        <w:t xml:space="preserve">В день выписки из больницы будут проведены следующие процедуры:</w:t>
      </w:r>
    </w:p>
    <w:p>
      <w:pPr>
        <w:numPr>
          <w:numId w:val="1078"/>
          <w:ilvl w:val="0"/>
        </w:numPr>
      </w:pPr>
      <w:r>
        <w:t xml:space="preserve">Одновременные лекарства и побочные эффекты</w:t>
      </w:r>
    </w:p>
    <w:p>
      <w:pPr>
        <w:numPr>
          <w:numId w:val="1078"/>
          <w:ilvl w:val="0"/>
        </w:numPr>
      </w:pPr>
      <w:r>
        <w:t xml:space="preserve">Жизненные показатели (АД, ЧСС, частота дыхания, температура тела)</w:t>
      </w:r>
    </w:p>
    <w:p>
      <w:pPr>
        <w:numPr>
          <w:numId w:val="1078"/>
          <w:ilvl w:val="0"/>
        </w:numPr>
      </w:pPr>
      <w:r>
        <w:t xml:space="preserve">Кровь для общего анализа крови и биохимического анализа</w:t>
      </w:r>
    </w:p>
    <w:p>
      <w:pPr>
        <w:numPr>
          <w:numId w:val="1078"/>
          <w:ilvl w:val="0"/>
        </w:numPr>
      </w:pPr>
      <w:r>
        <w:t xml:space="preserve">Кровь для оценки фармакокинетики через 48 часов после приема лекарства</w:t>
      </w:r>
    </w:p>
    <w:p>
      <w:pPr>
        <w:numPr>
          <w:numId w:val="1078"/>
          <w:ilvl w:val="0"/>
        </w:numPr>
      </w:pPr>
      <w:r>
        <w:t xml:space="preserve">Кровь для оценки фармакодинамики</w:t>
      </w:r>
    </w:p>
    <w:p>
      <w:pPr>
        <w:numPr>
          <w:numId w:val="1078"/>
          <w:ilvl w:val="0"/>
        </w:numPr>
      </w:pPr>
      <w:r>
        <w:t xml:space="preserve">Урина для анализа мочи.</w:t>
      </w:r>
    </w:p>
    <w:p>
      <w:pPr>
        <w:pStyle w:val="Compact"/>
        <w:numPr>
          <w:numId w:val="1079"/>
          <w:ilvl w:val="1"/>
        </w:numPr>
      </w:pPr>
      <w:r>
        <w:t xml:space="preserve">День 3</w:t>
      </w:r>
    </w:p>
    <w:p>
      <w:pPr>
        <w:pStyle w:val="BlockText"/>
      </w:pPr>
      <w:r>
        <w:t xml:space="preserve">В день выписки из больницы будут проведены следующие процедуры:</w:t>
      </w:r>
    </w:p>
    <w:p>
      <w:pPr>
        <w:numPr>
          <w:numId w:val="1080"/>
          <w:ilvl w:val="0"/>
        </w:numPr>
      </w:pPr>
      <w:r>
        <w:t xml:space="preserve">Одновременные лекарства и побочные эффекты</w:t>
      </w:r>
    </w:p>
    <w:p>
      <w:pPr>
        <w:numPr>
          <w:numId w:val="1080"/>
          <w:ilvl w:val="0"/>
        </w:numPr>
      </w:pPr>
      <w:r>
        <w:t xml:space="preserve">Жизненные показатели (АД, ЧСС, частота дыхания, температура тела)</w:t>
      </w:r>
    </w:p>
    <w:p>
      <w:pPr>
        <w:numPr>
          <w:numId w:val="1080"/>
          <w:ilvl w:val="0"/>
        </w:numPr>
      </w:pPr>
      <w:r>
        <w:t xml:space="preserve">Получение крови для общего анализа крови и биохимического анализа</w:t>
      </w:r>
    </w:p>
    <w:p>
      <w:pPr>
        <w:numPr>
          <w:numId w:val="1080"/>
          <w:ilvl w:val="0"/>
        </w:numPr>
      </w:pPr>
      <w:r>
        <w:t xml:space="preserve">Кровь для оценки фармакокинетики через 72 часа после приема лекарства</w:t>
      </w:r>
    </w:p>
    <w:p>
      <w:pPr>
        <w:numPr>
          <w:numId w:val="1080"/>
          <w:ilvl w:val="0"/>
        </w:numPr>
      </w:pPr>
      <w:r>
        <w:t xml:space="preserve">Кровь для оценки фармакодинамики</w:t>
      </w:r>
    </w:p>
    <w:p>
      <w:pPr>
        <w:numPr>
          <w:numId w:val="1080"/>
          <w:ilvl w:val="0"/>
        </w:numPr>
      </w:pPr>
      <w:r>
        <w:t xml:space="preserve">Урина для анализа мочи.</w:t>
      </w:r>
    </w:p>
    <w:p>
      <w:pPr>
        <w:pStyle w:val="FirstParagraph"/>
      </w:pPr>
      <w:r>
        <w:t xml:space="preserve">После завершения процедур в день 3 госпитализация завершена, и участник может покинуть центр, с последующими визитами на 5-й и 7-й день.</w:t>
      </w:r>
    </w:p>
    <w:p>
      <w:pPr>
        <w:numPr>
          <w:numId w:val="1081"/>
          <w:ilvl w:val="0"/>
        </w:numPr>
      </w:pPr>
      <w:r>
        <w:rPr>
          <w:b/>
        </w:rPr>
        <w:t xml:space="preserve">Последующий мониторинг</w:t>
      </w:r>
    </w:p>
    <w:p>
      <w:pPr>
        <w:pStyle w:val="Compact"/>
        <w:numPr>
          <w:numId w:val="1082"/>
          <w:ilvl w:val="1"/>
        </w:numPr>
      </w:pPr>
      <w:r>
        <w:rPr>
          <w:b/>
        </w:rPr>
        <w:t xml:space="preserve">День 5</w:t>
      </w:r>
    </w:p>
    <w:p>
      <w:pPr>
        <w:numPr>
          <w:numId w:val="1083"/>
          <w:ilvl w:val="0"/>
        </w:numPr>
      </w:pPr>
      <w:r>
        <w:t xml:space="preserve">Одновременные лекарства и побочные эффекты</w:t>
      </w:r>
    </w:p>
    <w:p>
      <w:pPr>
        <w:numPr>
          <w:numId w:val="1083"/>
          <w:ilvl w:val="0"/>
        </w:numPr>
      </w:pPr>
      <w:r>
        <w:t xml:space="preserve">Жизненные показатели (АД, ЧСС, частота дыхания, температура тела).</w:t>
      </w:r>
    </w:p>
    <w:p>
      <w:pPr>
        <w:pStyle w:val="Compact"/>
        <w:numPr>
          <w:numId w:val="1084"/>
          <w:ilvl w:val="1"/>
        </w:numPr>
      </w:pPr>
      <w:r>
        <w:t xml:space="preserve">День 7</w:t>
      </w:r>
    </w:p>
    <w:p>
      <w:pPr>
        <w:numPr>
          <w:numId w:val="1083"/>
          <w:ilvl w:val="0"/>
        </w:numPr>
      </w:pPr>
      <w:r>
        <w:t xml:space="preserve">Одновременные лекарства и побочные эффекты</w:t>
      </w:r>
    </w:p>
    <w:p>
      <w:pPr>
        <w:numPr>
          <w:numId w:val="1083"/>
          <w:ilvl w:val="0"/>
        </w:numPr>
      </w:pPr>
      <w:r>
        <w:t xml:space="preserve">Физический осмотр</w:t>
      </w:r>
    </w:p>
    <w:p>
      <w:pPr>
        <w:numPr>
          <w:numId w:val="1083"/>
          <w:ilvl w:val="0"/>
        </w:numPr>
      </w:pPr>
      <w:r>
        <w:t xml:space="preserve">Жизненные показатели (АД, ЧСС, частота дыхания, температура тела)</w:t>
      </w:r>
    </w:p>
    <w:p>
      <w:pPr>
        <w:numPr>
          <w:numId w:val="1083"/>
          <w:ilvl w:val="0"/>
        </w:numPr>
      </w:pPr>
      <w:r>
        <w:t xml:space="preserve">ЭКГ 12-ти отведения, в состоянии покоя (интервалы HR, RR, PQ, QT, QRS и QT</w:t>
      </w:r>
      <w:r>
        <w:rPr>
          <w:vertAlign w:val="subscript"/>
        </w:rPr>
        <w:t xml:space="preserve">C</w:t>
      </w:r>
      <w:r>
        <w:t xml:space="preserve">)</w:t>
      </w:r>
    </w:p>
    <w:p>
      <w:pPr>
        <w:numPr>
          <w:numId w:val="1083"/>
          <w:ilvl w:val="0"/>
        </w:numPr>
      </w:pPr>
      <w:r>
        <w:t xml:space="preserve">Кровь для общего анализа крови и биохимии</w:t>
      </w:r>
    </w:p>
    <w:p>
      <w:pPr>
        <w:numPr>
          <w:numId w:val="1083"/>
          <w:ilvl w:val="0"/>
        </w:numPr>
      </w:pPr>
      <w:r>
        <w:t xml:space="preserve">Моча для анализа мочи</w:t>
      </w:r>
    </w:p>
    <w:p>
      <w:pPr>
        <w:numPr>
          <w:numId w:val="1083"/>
          <w:ilvl w:val="0"/>
        </w:numPr>
      </w:pPr>
      <w:r>
        <w:t xml:space="preserve">Кровь для оценки фармакокинетики</w:t>
      </w:r>
    </w:p>
    <w:p>
      <w:pPr>
        <w:numPr>
          <w:numId w:val="1083"/>
          <w:ilvl w:val="0"/>
        </w:numPr>
      </w:pPr>
      <w:r>
        <w:t xml:space="preserve">Вес тела.</w:t>
      </w:r>
    </w:p>
    <w:p>
      <w:pPr>
        <w:numPr>
          <w:numId w:val="1085"/>
          <w:ilvl w:val="1"/>
        </w:numPr>
      </w:pPr>
      <w:r>
        <w:rPr>
          <w:b/>
        </w:rPr>
        <w:t xml:space="preserve">Процедуры для групп с многократным применением</w:t>
      </w:r>
    </w:p>
    <w:p>
      <w:pPr>
        <w:numPr>
          <w:numId w:val="1086"/>
          <w:ilvl w:val="2"/>
        </w:numPr>
      </w:pPr>
      <w:r>
        <w:rPr>
          <w:b/>
        </w:rPr>
        <w:t xml:space="preserve">Терапия исследования</w:t>
      </w:r>
    </w:p>
    <w:p>
      <w:pPr>
        <w:pStyle w:val="Compact"/>
        <w:numPr>
          <w:numId w:val="1087"/>
          <w:ilvl w:val="3"/>
        </w:numPr>
      </w:pPr>
      <w:r>
        <w:rPr>
          <w:b/>
        </w:rPr>
        <w:t xml:space="preserve">День 0</w:t>
      </w:r>
    </w:p>
    <w:p>
      <w:pPr>
        <w:numPr>
          <w:numId w:val="1083"/>
          <w:ilvl w:val="0"/>
        </w:numPr>
      </w:pPr>
      <w:r>
        <w:t xml:space="preserve">Сопутствующие лекарства и побочные эффекты</w:t>
      </w:r>
    </w:p>
    <w:p>
      <w:pPr>
        <w:numPr>
          <w:numId w:val="1083"/>
          <w:ilvl w:val="0"/>
        </w:numPr>
      </w:pPr>
      <w:r>
        <w:t xml:space="preserve">Физический осмотр</w:t>
      </w:r>
    </w:p>
    <w:p>
      <w:pPr>
        <w:numPr>
          <w:numId w:val="1083"/>
          <w:ilvl w:val="0"/>
        </w:numPr>
      </w:pPr>
      <w:r>
        <w:t xml:space="preserve">Клинические показатели (АД, ЧСС, ЧД, температура тела), до приема лекарства</w:t>
      </w:r>
    </w:p>
    <w:p>
      <w:pPr>
        <w:numPr>
          <w:numId w:val="1083"/>
          <w:ilvl w:val="0"/>
        </w:numPr>
      </w:pPr>
      <w:r>
        <w:t xml:space="preserve">ЭКГ 12-ти отведения, в состоянии покоя (интервалы HR, RR, PQ, QT, QRS и QT</w:t>
      </w:r>
      <w:r>
        <w:rPr>
          <w:vertAlign w:val="subscript"/>
        </w:rPr>
        <w:t xml:space="preserve">C</w:t>
      </w:r>
      <w:r>
        <w:t xml:space="preserve">), до приема лекарства</w:t>
      </w:r>
    </w:p>
    <w:p>
      <w:pPr>
        <w:numPr>
          <w:numId w:val="1083"/>
          <w:ilvl w:val="0"/>
        </w:numPr>
      </w:pPr>
      <w:r>
        <w:t xml:space="preserve">Кровь для общего анализа крови и биохимии</w:t>
      </w:r>
    </w:p>
    <w:p>
      <w:pPr>
        <w:numPr>
          <w:numId w:val="1083"/>
          <w:ilvl w:val="0"/>
        </w:numPr>
      </w:pPr>
      <w:r>
        <w:t xml:space="preserve">Моча для анализа мочи</w:t>
      </w:r>
    </w:p>
    <w:p>
      <w:pPr>
        <w:numPr>
          <w:numId w:val="1083"/>
          <w:ilvl w:val="0"/>
        </w:numPr>
      </w:pPr>
      <w:r>
        <w:t xml:space="preserve">Повторная оценка критериев включения/исключения</w:t>
      </w:r>
    </w:p>
    <w:p>
      <w:pPr>
        <w:numPr>
          <w:numId w:val="1083"/>
          <w:ilvl w:val="0"/>
        </w:numPr>
      </w:pPr>
      <w:r>
        <w:t xml:space="preserve">Рандомизация и назначение идентификатора рандомизации</w:t>
      </w:r>
    </w:p>
    <w:p>
      <w:pPr>
        <w:numPr>
          <w:numId w:val="1083"/>
          <w:ilvl w:val="0"/>
        </w:numPr>
      </w:pPr>
      <w:r>
        <w:t xml:space="preserve">Карта участника</w:t>
      </w:r>
    </w:p>
    <w:p>
      <w:pPr>
        <w:numPr>
          <w:numId w:val="1083"/>
          <w:ilvl w:val="0"/>
        </w:numPr>
      </w:pPr>
      <w:r>
        <w:t xml:space="preserve">Кровь для оценки фармакокинетики, до приема лекарства</w:t>
      </w:r>
    </w:p>
    <w:p>
      <w:pPr>
        <w:numPr>
          <w:numId w:val="1083"/>
          <w:ilvl w:val="0"/>
        </w:numPr>
      </w:pPr>
      <w:r>
        <w:t xml:space="preserve">Кровь для оценки фармадинамики до приема лекарства и через 1 час, 2 часа, 3 часа, 4 часа, 6 часов, 8 часов и 12 часов после первой дозы исследуемого препарата.</w:t>
      </w:r>
    </w:p>
    <w:p>
      <w:pPr>
        <w:pStyle w:val="4"/>
        <w:numPr>
          <w:numId w:val="1083"/>
          <w:ilvl w:val="0"/>
        </w:numPr>
      </w:pPr>
      <w:bookmarkStart w:id="35" w:name="применение-исследуемого-препарата"/>
      <w:r>
        <w:rPr>
          <w:i/>
          <w:b/>
        </w:rPr>
        <w:t xml:space="preserve">Применение исследуемого препарата</w:t>
      </w:r>
      <w:bookmarkEnd w:id="35"/>
    </w:p>
    <w:p>
      <w:pPr>
        <w:numPr>
          <w:numId w:val="1083"/>
          <w:ilvl w:val="0"/>
        </w:numPr>
      </w:pPr>
      <w:r>
        <w:t xml:space="preserve">Кровь для оценки фармакокинетики через 15 минут, 30 минут, 45 минут, 1 час, 1 час 30 минут, 2 часа, 3 часа, 4 часа, 5 часов, 6 часов, 8 часов и 12 часов после одной дозы исследуемого препарата</w:t>
      </w:r>
    </w:p>
    <w:p>
      <w:pPr>
        <w:numPr>
          <w:numId w:val="1083"/>
          <w:ilvl w:val="0"/>
        </w:numPr>
      </w:pPr>
      <w:r>
        <w:t xml:space="preserve">Клинические показатели через 4 часа после применения препарата</w:t>
      </w:r>
    </w:p>
    <w:p>
      <w:pPr>
        <w:numPr>
          <w:numId w:val="1083"/>
          <w:ilvl w:val="0"/>
        </w:numPr>
      </w:pPr>
      <w:r>
        <w:t xml:space="preserve">ЭКГ через 4 часа после применения препарата</w:t>
      </w:r>
    </w:p>
    <w:p>
      <w:pPr>
        <w:numPr>
          <w:numId w:val="1083"/>
          <w:ilvl w:val="0"/>
        </w:numPr>
      </w:pPr>
      <w:r>
        <w:t xml:space="preserve">Сопутствующие лекарства и побочные эффекты.</w:t>
      </w:r>
    </w:p>
    <w:p>
      <w:pPr>
        <w:pStyle w:val="BlockText"/>
      </w:pPr>
      <w:r>
        <w:t xml:space="preserve">Участник останется на месте до 9-го дня для получения нескольких доз исследуемого препарата.</w:t>
      </w:r>
    </w:p>
    <w:p>
      <w:pPr>
        <w:pStyle w:val="FirstParagraph"/>
      </w:pPr>
      <w:r>
        <w:t xml:space="preserve">День 1</w:t>
      </w:r>
    </w:p>
    <w:p>
      <w:pPr>
        <w:numPr>
          <w:numId w:val="1088"/>
          <w:ilvl w:val="0"/>
        </w:numPr>
      </w:pPr>
      <w:r>
        <w:t xml:space="preserve">Сопутствующие лекарства и побочные эффекты</w:t>
      </w:r>
    </w:p>
    <w:p>
      <w:pPr>
        <w:numPr>
          <w:numId w:val="1088"/>
          <w:ilvl w:val="0"/>
        </w:numPr>
      </w:pPr>
      <w:r>
        <w:t xml:space="preserve">Клинические показатели (АД, ЧСС, ЧД, температура тела)</w:t>
      </w:r>
    </w:p>
    <w:p>
      <w:pPr>
        <w:numPr>
          <w:numId w:val="1088"/>
          <w:ilvl w:val="0"/>
        </w:numPr>
      </w:pPr>
      <w:r>
        <w:t xml:space="preserve">Получение образца крови для оценки фармакокинетики через 24 часа после применения препарата</w:t>
      </w:r>
    </w:p>
    <w:p>
      <w:pPr>
        <w:numPr>
          <w:numId w:val="1088"/>
          <w:ilvl w:val="0"/>
        </w:numPr>
      </w:pPr>
      <w:r>
        <w:t xml:space="preserve">Получение образца крови для оценки фармадинамики</w:t>
      </w:r>
    </w:p>
    <w:p>
      <w:pPr>
        <w:numPr>
          <w:numId w:val="1088"/>
          <w:ilvl w:val="0"/>
        </w:numPr>
      </w:pPr>
      <w:r>
        <w:rPr>
          <w:i/>
          <w:b/>
        </w:rPr>
        <w:t xml:space="preserve">Применение исследуемого препарата.</w:t>
      </w:r>
    </w:p>
    <w:p>
      <w:pPr>
        <w:pStyle w:val="Compact"/>
        <w:numPr>
          <w:numId w:val="1089"/>
          <w:ilvl w:val="1"/>
        </w:numPr>
      </w:pPr>
      <w:r>
        <w:t xml:space="preserve">День 2</w:t>
      </w:r>
    </w:p>
    <w:p>
      <w:pPr>
        <w:numPr>
          <w:numId w:val="1088"/>
          <w:ilvl w:val="0"/>
        </w:numPr>
      </w:pPr>
      <w:r>
        <w:t xml:space="preserve">Сопутствующие лекарства и побочные эффекты</w:t>
      </w:r>
    </w:p>
    <w:p>
      <w:pPr>
        <w:numPr>
          <w:numId w:val="1088"/>
          <w:ilvl w:val="0"/>
        </w:numPr>
      </w:pPr>
      <w:r>
        <w:t xml:space="preserve">Клинические показатели (АД, ЧСС, ЧД, температура тела)</w:t>
      </w:r>
    </w:p>
    <w:p>
      <w:pPr>
        <w:numPr>
          <w:numId w:val="1088"/>
          <w:ilvl w:val="0"/>
        </w:numPr>
      </w:pPr>
      <w:r>
        <w:t xml:space="preserve">Физический осмотр</w:t>
      </w:r>
    </w:p>
    <w:p>
      <w:pPr>
        <w:numPr>
          <w:numId w:val="1088"/>
          <w:ilvl w:val="0"/>
        </w:numPr>
      </w:pPr>
      <w:r>
        <w:t xml:space="preserve">ЭКГ</w:t>
      </w:r>
    </w:p>
    <w:p>
      <w:pPr>
        <w:numPr>
          <w:numId w:val="1088"/>
          <w:ilvl w:val="0"/>
        </w:numPr>
      </w:pPr>
      <w:r>
        <w:t xml:space="preserve">Получение образца крови для оценки фармакокинетики через 48 часов после применения препарата</w:t>
      </w:r>
    </w:p>
    <w:p>
      <w:pPr>
        <w:numPr>
          <w:numId w:val="1088"/>
          <w:ilvl w:val="0"/>
        </w:numPr>
      </w:pPr>
      <w:r>
        <w:t xml:space="preserve">Получение образца крови для оценки фармадинамики</w:t>
      </w:r>
    </w:p>
    <w:p>
      <w:pPr>
        <w:numPr>
          <w:numId w:val="1088"/>
          <w:ilvl w:val="0"/>
        </w:numPr>
      </w:pPr>
      <w:r>
        <w:t xml:space="preserve">Получение образца крови для общего анализа крови и биохимии</w:t>
      </w:r>
    </w:p>
    <w:p>
      <w:pPr>
        <w:numPr>
          <w:numId w:val="1088"/>
          <w:ilvl w:val="0"/>
        </w:numPr>
      </w:pPr>
      <w:r>
        <w:t xml:space="preserve">Моча для анализа мочи</w:t>
      </w:r>
    </w:p>
    <w:p>
      <w:pPr>
        <w:numPr>
          <w:numId w:val="1088"/>
          <w:ilvl w:val="0"/>
        </w:numPr>
      </w:pPr>
      <w:r>
        <w:rPr>
          <w:i/>
          <w:b/>
        </w:rPr>
        <w:t xml:space="preserve">Применение исследуемого препарата</w:t>
      </w:r>
    </w:p>
    <w:p>
      <w:pPr>
        <w:pStyle w:val="Compact"/>
        <w:numPr>
          <w:numId w:val="1090"/>
          <w:ilvl w:val="1"/>
        </w:numPr>
      </w:pPr>
      <w:r>
        <w:t xml:space="preserve">День 3</w:t>
      </w:r>
    </w:p>
    <w:p>
      <w:pPr>
        <w:numPr>
          <w:numId w:val="1088"/>
          <w:ilvl w:val="0"/>
        </w:numPr>
      </w:pPr>
      <w:r>
        <w:t xml:space="preserve">Сопутствующие лекарства и побочные эффекты</w:t>
      </w:r>
    </w:p>
    <w:p>
      <w:pPr>
        <w:numPr>
          <w:numId w:val="1088"/>
          <w:ilvl w:val="0"/>
        </w:numPr>
      </w:pPr>
      <w:r>
        <w:t xml:space="preserve">Клинические показатели (АД, ЧСС, ЧД, температура тела)</w:t>
      </w:r>
    </w:p>
    <w:p>
      <w:pPr>
        <w:numPr>
          <w:numId w:val="1088"/>
          <w:ilvl w:val="0"/>
        </w:numPr>
      </w:pPr>
      <w:r>
        <w:rPr>
          <w:i/>
        </w:rPr>
        <w:t xml:space="preserve">Получение образца крови для оценки фармакокинетики</w:t>
      </w:r>
      <w:r>
        <w:t xml:space="preserve"> </w:t>
      </w:r>
      <w:r>
        <w:t xml:space="preserve">через 72 часа после применения препарата</w:t>
      </w:r>
    </w:p>
    <w:p>
      <w:pPr>
        <w:numPr>
          <w:numId w:val="1088"/>
          <w:ilvl w:val="0"/>
        </w:numPr>
      </w:pPr>
      <w:r>
        <w:t xml:space="preserve">Получение образца крови для оценки фармадинамики</w:t>
      </w:r>
    </w:p>
    <w:p>
      <w:pPr>
        <w:numPr>
          <w:numId w:val="1088"/>
          <w:ilvl w:val="0"/>
        </w:numPr>
      </w:pPr>
      <w:r>
        <w:rPr>
          <w:i/>
          <w:b/>
        </w:rPr>
        <w:t xml:space="preserve">Применение исследуемого препарата.</w:t>
      </w:r>
    </w:p>
    <w:p>
      <w:pPr>
        <w:pStyle w:val="Compact"/>
        <w:numPr>
          <w:numId w:val="1091"/>
          <w:ilvl w:val="1"/>
        </w:numPr>
      </w:pPr>
      <w:r>
        <w:t xml:space="preserve">День 4</w:t>
      </w:r>
    </w:p>
    <w:p>
      <w:pPr>
        <w:numPr>
          <w:numId w:val="1088"/>
          <w:ilvl w:val="0"/>
        </w:numPr>
      </w:pPr>
      <w:r>
        <w:rPr>
          <w:i/>
          <w:b/>
        </w:rPr>
        <w:t xml:space="preserve">Сопутствующие лекарства и побочные эффекты</w:t>
      </w:r>
      <w:r>
        <w:rPr>
          <w:i/>
          <w:b/>
        </w:rPr>
        <w:t xml:space="preserve"> </w:t>
      </w:r>
    </w:p>
    <w:p>
      <w:pPr>
        <w:numPr>
          <w:numId w:val="1088"/>
          <w:ilvl w:val="0"/>
        </w:numPr>
      </w:pPr>
      <w:r>
        <w:rPr>
          <w:i/>
          <w:b/>
        </w:rPr>
        <w:t xml:space="preserve">Клинические показатели (АД, ЧСС, ЧД, температура тела)</w:t>
      </w:r>
    </w:p>
    <w:p>
      <w:pPr>
        <w:numPr>
          <w:numId w:val="1088"/>
          <w:ilvl w:val="0"/>
        </w:numPr>
      </w:pPr>
      <w:r>
        <w:rPr>
          <w:i/>
          <w:b/>
        </w:rPr>
        <w:t xml:space="preserve">Применение исследуемого препарата.</w:t>
      </w:r>
    </w:p>
    <w:p>
      <w:pPr>
        <w:pStyle w:val="Compact"/>
        <w:numPr>
          <w:numId w:val="1092"/>
          <w:ilvl w:val="1"/>
        </w:numPr>
      </w:pPr>
      <w:r>
        <w:t xml:space="preserve">День 5</w:t>
      </w:r>
    </w:p>
    <w:p>
      <w:pPr>
        <w:numPr>
          <w:numId w:val="1088"/>
          <w:ilvl w:val="0"/>
        </w:numPr>
      </w:pPr>
      <w:r>
        <w:rPr>
          <w:i/>
          <w:b/>
        </w:rPr>
        <w:t xml:space="preserve">Сопутствующие лекарства и побочные эффекты</w:t>
      </w:r>
      <w:r>
        <w:rPr>
          <w:i/>
          <w:b/>
        </w:rPr>
        <w:t xml:space="preserve"> </w:t>
      </w:r>
    </w:p>
    <w:p>
      <w:pPr>
        <w:numPr>
          <w:numId w:val="1088"/>
          <w:ilvl w:val="0"/>
        </w:numPr>
      </w:pPr>
      <w:r>
        <w:rPr>
          <w:i/>
          <w:b/>
        </w:rPr>
        <w:t xml:space="preserve">Клинические показатели (АД, ЧСС, ЧД, температура тела)</w:t>
      </w:r>
    </w:p>
    <w:p>
      <w:pPr>
        <w:numPr>
          <w:numId w:val="1088"/>
          <w:ilvl w:val="0"/>
        </w:numPr>
      </w:pPr>
      <w:r>
        <w:rPr>
          <w:i/>
          <w:b/>
        </w:rPr>
        <w:t xml:space="preserve">ЭКГ 12-ти отведения, в состоянии покоя (интервалы HR, RR, PQ, QT, QRS и QT</w:t>
      </w:r>
      <w:r>
        <w:rPr>
          <w:vertAlign w:val="subscript"/>
          <w:i/>
          <w:b/>
        </w:rPr>
        <w:t xml:space="preserve">C</w:t>
      </w:r>
      <w:r>
        <w:rPr>
          <w:i/>
          <w:b/>
        </w:rPr>
        <w:t xml:space="preserve">)</w:t>
      </w:r>
      <w:r>
        <w:rPr>
          <w:i/>
          <w:b/>
        </w:rPr>
        <w:t xml:space="preserve"> </w:t>
      </w:r>
    </w:p>
    <w:p>
      <w:pPr>
        <w:numPr>
          <w:numId w:val="1088"/>
          <w:ilvl w:val="0"/>
        </w:numPr>
      </w:pPr>
      <w:r>
        <w:rPr>
          <w:i/>
        </w:rPr>
        <w:t xml:space="preserve">Получение образца крови для оценки фармакокинетики перед следующей дозой исследуемого препарата</w:t>
      </w:r>
    </w:p>
    <w:p>
      <w:pPr>
        <w:numPr>
          <w:numId w:val="1088"/>
          <w:ilvl w:val="0"/>
        </w:numPr>
      </w:pPr>
      <w:r>
        <w:rPr>
          <w:i/>
        </w:rPr>
        <w:t xml:space="preserve">Образец крови для общего анализа крови и биохимии</w:t>
      </w:r>
      <w:r>
        <w:t xml:space="preserve">**</w:t>
      </w:r>
    </w:p>
    <w:p>
      <w:pPr>
        <w:numPr>
          <w:numId w:val="1088"/>
          <w:ilvl w:val="0"/>
        </w:numPr>
      </w:pPr>
      <w:r>
        <w:rPr>
          <w:i/>
          <w:b/>
        </w:rPr>
        <w:t xml:space="preserve">Моча для анализа мочи</w:t>
      </w:r>
    </w:p>
    <w:p>
      <w:pPr>
        <w:numPr>
          <w:numId w:val="1088"/>
          <w:ilvl w:val="0"/>
        </w:numPr>
      </w:pPr>
      <w:r>
        <w:rPr>
          <w:i/>
          <w:b/>
        </w:rPr>
        <w:t xml:space="preserve">Применение исследуемого препарата.</w:t>
      </w:r>
    </w:p>
    <w:p>
      <w:pPr>
        <w:pStyle w:val="Compact"/>
        <w:numPr>
          <w:numId w:val="1093"/>
          <w:ilvl w:val="1"/>
        </w:numPr>
      </w:pPr>
      <w:r>
        <w:t xml:space="preserve">День 6</w:t>
      </w:r>
    </w:p>
    <w:p>
      <w:pPr>
        <w:numPr>
          <w:numId w:val="1088"/>
          <w:ilvl w:val="0"/>
        </w:numPr>
      </w:pPr>
      <w:r>
        <w:t xml:space="preserve">Сопутствующие лекарства и побочные эффекты</w:t>
      </w:r>
    </w:p>
    <w:p>
      <w:pPr>
        <w:numPr>
          <w:numId w:val="1088"/>
          <w:ilvl w:val="0"/>
        </w:numPr>
      </w:pPr>
      <w:r>
        <w:t xml:space="preserve">Клинические показатели (АД, ЧСС, ЧД, температура тела)</w:t>
      </w:r>
    </w:p>
    <w:p>
      <w:pPr>
        <w:numPr>
          <w:numId w:val="1088"/>
          <w:ilvl w:val="0"/>
        </w:numPr>
      </w:pPr>
      <w:r>
        <w:t xml:space="preserve">Получение образца крови для оценки фармакокинетики ПЕРЕД последней дозой исследуемого препарата</w:t>
      </w:r>
    </w:p>
    <w:p>
      <w:pPr>
        <w:pStyle w:val="4"/>
        <w:numPr>
          <w:numId w:val="1088"/>
          <w:ilvl w:val="0"/>
        </w:numPr>
      </w:pPr>
      <w:bookmarkStart w:id="36" w:name="применение-исследуемого-препарата-1"/>
      <w:r>
        <w:rPr>
          <w:i/>
          <w:b/>
        </w:rPr>
        <w:t xml:space="preserve">Применение исследуемого препарата</w:t>
      </w:r>
      <w:bookmarkEnd w:id="36"/>
    </w:p>
    <w:p>
      <w:pPr>
        <w:numPr>
          <w:numId w:val="1088"/>
          <w:ilvl w:val="0"/>
        </w:numPr>
      </w:pPr>
      <w:r>
        <w:rPr>
          <w:i/>
        </w:rPr>
        <w:t xml:space="preserve">Образцы крови для оценки фармакокинетики</w:t>
      </w:r>
      <w:r>
        <w:t xml:space="preserve"> </w:t>
      </w:r>
      <w:r>
        <w:t xml:space="preserve">через 15 минут, 30 минут, 45 минут, 1 час, 1 час 30 минут, 2 часа, 3 часа, 4 часа, 5 часов, 6 часов, 8 часов и 12 часов после одной дозы исследуемого препарата</w:t>
      </w:r>
    </w:p>
    <w:p>
      <w:pPr>
        <w:numPr>
          <w:numId w:val="1088"/>
          <w:ilvl w:val="0"/>
        </w:numPr>
      </w:pPr>
      <w:r>
        <w:t xml:space="preserve">Образцы крови для оценки фармадинамики до и через 1 час, 2 часа, 3 часа, 4 часа, 6 часов, 8 часов и 12 часов после последней дозы исследуемого препарата</w:t>
      </w:r>
    </w:p>
    <w:p>
      <w:pPr>
        <w:pStyle w:val="Compact"/>
        <w:numPr>
          <w:numId w:val="1094"/>
          <w:ilvl w:val="1"/>
        </w:numPr>
      </w:pPr>
      <w:r>
        <w:t xml:space="preserve">День 7</w:t>
      </w:r>
    </w:p>
    <w:p>
      <w:pPr>
        <w:numPr>
          <w:numId w:val="1088"/>
          <w:ilvl w:val="0"/>
        </w:numPr>
      </w:pPr>
      <w:r>
        <w:t xml:space="preserve">Сопутствующие лекарства и побочные эффекты</w:t>
      </w:r>
    </w:p>
    <w:p>
      <w:pPr>
        <w:numPr>
          <w:numId w:val="1088"/>
          <w:ilvl w:val="0"/>
        </w:numPr>
      </w:pPr>
      <w:r>
        <w:t xml:space="preserve">Клинические показатели (АД, ЧСС, ЧД, температура тела)</w:t>
      </w:r>
    </w:p>
    <w:p>
      <w:pPr>
        <w:numPr>
          <w:numId w:val="1088"/>
          <w:ilvl w:val="0"/>
        </w:numPr>
      </w:pPr>
      <w:r>
        <w:t xml:space="preserve">Получение образца крови для оценки фармакокинетики через 24 часа после применения препарата</w:t>
      </w:r>
    </w:p>
    <w:p>
      <w:pPr>
        <w:numPr>
          <w:numId w:val="1088"/>
          <w:ilvl w:val="0"/>
        </w:numPr>
      </w:pPr>
      <w:r>
        <w:t xml:space="preserve">Получение образца крови для оценки фармадинамики</w:t>
      </w:r>
    </w:p>
    <w:p>
      <w:pPr>
        <w:numPr>
          <w:numId w:val="1088"/>
          <w:ilvl w:val="0"/>
        </w:numPr>
      </w:pPr>
      <w:r>
        <w:t xml:space="preserve">Получение образца крови для оценки фармадинамики (IL-8, IL-12, IFNγ)</w:t>
      </w:r>
    </w:p>
    <w:p>
      <w:pPr>
        <w:pStyle w:val="Compact"/>
        <w:numPr>
          <w:numId w:val="1095"/>
          <w:ilvl w:val="1"/>
        </w:numPr>
      </w:pPr>
      <w:r>
        <w:t xml:space="preserve">День 8</w:t>
      </w:r>
    </w:p>
    <w:p>
      <w:pPr>
        <w:numPr>
          <w:numId w:val="1088"/>
          <w:ilvl w:val="0"/>
        </w:numPr>
      </w:pPr>
      <w:r>
        <w:t xml:space="preserve">Сопутствующие лекарства и побочные эффекты</w:t>
      </w:r>
    </w:p>
    <w:p>
      <w:pPr>
        <w:numPr>
          <w:numId w:val="1088"/>
          <w:ilvl w:val="0"/>
        </w:numPr>
      </w:pPr>
      <w:r>
        <w:t xml:space="preserve">Клинические показатели (АД, ЧСС, ЧД, температура тела)</w:t>
      </w:r>
    </w:p>
    <w:p>
      <w:pPr>
        <w:numPr>
          <w:numId w:val="1088"/>
          <w:ilvl w:val="0"/>
        </w:numPr>
      </w:pPr>
      <w:r>
        <w:t xml:space="preserve">Получение образца крови для оценки фармакокинетики через 48 часов после применения препарата</w:t>
      </w:r>
    </w:p>
    <w:p>
      <w:pPr>
        <w:numPr>
          <w:numId w:val="1088"/>
          <w:ilvl w:val="0"/>
        </w:numPr>
      </w:pPr>
      <w:r>
        <w:t xml:space="preserve">Получение образца крови для оценки фармадинамики</w:t>
      </w:r>
    </w:p>
    <w:p>
      <w:pPr>
        <w:numPr>
          <w:numId w:val="1088"/>
          <w:ilvl w:val="0"/>
        </w:numPr>
      </w:pPr>
      <w:r>
        <w:t xml:space="preserve">Дневник волонтера</w:t>
      </w:r>
    </w:p>
    <w:p>
      <w:pPr>
        <w:pStyle w:val="Compact"/>
        <w:numPr>
          <w:numId w:val="1096"/>
          <w:ilvl w:val="1"/>
        </w:numPr>
      </w:pPr>
      <w:r>
        <w:t xml:space="preserve">9-й день</w:t>
      </w:r>
    </w:p>
    <w:p>
      <w:pPr>
        <w:numPr>
          <w:numId w:val="1088"/>
          <w:ilvl w:val="0"/>
        </w:numPr>
      </w:pPr>
      <w:r>
        <w:t xml:space="preserve">Одновременные лекарства и побочные эффекты</w:t>
      </w:r>
    </w:p>
    <w:p>
      <w:pPr>
        <w:numPr>
          <w:numId w:val="1088"/>
          <w:ilvl w:val="0"/>
        </w:numPr>
      </w:pPr>
      <w:r>
        <w:t xml:space="preserve">Физический осмотр</w:t>
      </w:r>
    </w:p>
    <w:p>
      <w:pPr>
        <w:numPr>
          <w:numId w:val="1088"/>
          <w:ilvl w:val="0"/>
        </w:numPr>
      </w:pPr>
      <w:r>
        <w:t xml:space="preserve">Жизненные показатели (АД, ЧСС, частота дыхания, температура тела)</w:t>
      </w:r>
    </w:p>
    <w:p>
      <w:pPr>
        <w:numPr>
          <w:numId w:val="1088"/>
          <w:ilvl w:val="0"/>
        </w:numPr>
      </w:pPr>
      <w:r>
        <w:t xml:space="preserve">ЭКГ с 12 отведениями в состоянии покоя (интервалы ЧСС, частота дыхания, PQ, QT, QRS и QT</w:t>
      </w:r>
      <w:r>
        <w:rPr>
          <w:vertAlign w:val="subscript"/>
        </w:rPr>
        <w:t xml:space="preserve">C</w:t>
      </w:r>
      <w:r>
        <w:t xml:space="preserve">)</w:t>
      </w:r>
    </w:p>
    <w:p>
      <w:pPr>
        <w:numPr>
          <w:numId w:val="1088"/>
          <w:ilvl w:val="0"/>
        </w:numPr>
      </w:pPr>
      <w:r>
        <w:t xml:space="preserve">Образец крови для общего анализа крови и биохимии</w:t>
      </w:r>
    </w:p>
    <w:p>
      <w:pPr>
        <w:numPr>
          <w:numId w:val="1088"/>
          <w:ilvl w:val="0"/>
        </w:numPr>
      </w:pPr>
      <w:r>
        <w:t xml:space="preserve">Образец мочи для анализа мочи</w:t>
      </w:r>
    </w:p>
    <w:p>
      <w:pPr>
        <w:numPr>
          <w:numId w:val="1088"/>
          <w:ilvl w:val="0"/>
        </w:numPr>
      </w:pPr>
      <w:r>
        <w:t xml:space="preserve">Образец крови для оценки PK через 72 часа после введения исследуемого препарата</w:t>
      </w:r>
    </w:p>
    <w:p>
      <w:pPr>
        <w:numPr>
          <w:numId w:val="1088"/>
          <w:ilvl w:val="0"/>
        </w:numPr>
      </w:pPr>
      <w:r>
        <w:t xml:space="preserve">Образец крови для оценки PD</w:t>
      </w:r>
    </w:p>
    <w:p>
      <w:pPr>
        <w:pStyle w:val="FirstParagraph"/>
      </w:pPr>
      <w:r>
        <w:t xml:space="preserve">После завершения процедур 9-го дня госпитализация будет завершена.</w:t>
      </w:r>
    </w:p>
    <w:p>
      <w:pPr>
        <w:numPr>
          <w:numId w:val="1097"/>
          <w:ilvl w:val="0"/>
        </w:numPr>
      </w:pPr>
      <w:r>
        <w:rPr>
          <w:b/>
        </w:rPr>
        <w:t xml:space="preserve">Последующий осмотр</w:t>
      </w:r>
    </w:p>
    <w:p>
      <w:pPr>
        <w:pStyle w:val="Compact"/>
        <w:numPr>
          <w:numId w:val="1098"/>
          <w:ilvl w:val="1"/>
        </w:numPr>
      </w:pPr>
      <w:r>
        <w:rPr>
          <w:b/>
        </w:rPr>
        <w:t xml:space="preserve">14-й день</w:t>
      </w:r>
    </w:p>
    <w:p>
      <w:pPr>
        <w:numPr>
          <w:numId w:val="1099"/>
          <w:ilvl w:val="0"/>
        </w:numPr>
      </w:pPr>
      <w:r>
        <w:t xml:space="preserve">Одновременные лекарства и побочные эффекты</w:t>
      </w:r>
    </w:p>
    <w:p>
      <w:pPr>
        <w:numPr>
          <w:numId w:val="1099"/>
          <w:ilvl w:val="0"/>
        </w:numPr>
      </w:pPr>
      <w:r>
        <w:t xml:space="preserve">Физический осмотр</w:t>
      </w:r>
    </w:p>
    <w:p>
      <w:pPr>
        <w:numPr>
          <w:numId w:val="1099"/>
          <w:ilvl w:val="0"/>
        </w:numPr>
      </w:pPr>
      <w:r>
        <w:t xml:space="preserve">Жизненные показатели (АД, ЧСС, частота дыхания, температура тела)</w:t>
      </w:r>
    </w:p>
    <w:p>
      <w:pPr>
        <w:numPr>
          <w:numId w:val="1099"/>
          <w:ilvl w:val="0"/>
        </w:numPr>
      </w:pPr>
      <w:r>
        <w:t xml:space="preserve">ЭКГ с 12 отведениями в состоянии покоя (интервалы ЧСС, частота дыхания, PQ, QT, QRS и QT</w:t>
      </w:r>
      <w:r>
        <w:rPr>
          <w:vertAlign w:val="subscript"/>
        </w:rPr>
        <w:t xml:space="preserve">C</w:t>
      </w:r>
      <w:r>
        <w:t xml:space="preserve">)</w:t>
      </w:r>
    </w:p>
    <w:p>
      <w:pPr>
        <w:numPr>
          <w:numId w:val="1099"/>
          <w:ilvl w:val="0"/>
        </w:numPr>
      </w:pPr>
      <w:r>
        <w:t xml:space="preserve">Образец крови для оценки PK</w:t>
      </w:r>
    </w:p>
    <w:p>
      <w:pPr>
        <w:numPr>
          <w:numId w:val="1099"/>
          <w:ilvl w:val="0"/>
        </w:numPr>
      </w:pPr>
      <w:r>
        <w:t xml:space="preserve">Образец крови для оценки PD</w:t>
      </w:r>
    </w:p>
    <w:p>
      <w:pPr>
        <w:numPr>
          <w:numId w:val="1099"/>
          <w:ilvl w:val="0"/>
        </w:numPr>
      </w:pPr>
      <w:r>
        <w:t xml:space="preserve">Образец крови для общего анализа крови и биохимии</w:t>
      </w:r>
    </w:p>
    <w:p>
      <w:pPr>
        <w:numPr>
          <w:numId w:val="1099"/>
          <w:ilvl w:val="0"/>
        </w:numPr>
      </w:pPr>
      <w:r>
        <w:t xml:space="preserve">Образец мочи для анализа мочи</w:t>
      </w:r>
    </w:p>
    <w:p>
      <w:pPr>
        <w:numPr>
          <w:numId w:val="1099"/>
          <w:ilvl w:val="0"/>
        </w:numPr>
      </w:pPr>
      <w:r>
        <w:t xml:space="preserve">Вес тела</w:t>
      </w:r>
    </w:p>
    <w:p>
      <w:pPr>
        <w:pStyle w:val="Compact"/>
        <w:numPr>
          <w:numId w:val="1100"/>
          <w:ilvl w:val="1"/>
        </w:numPr>
      </w:pPr>
      <w:r>
        <w:t xml:space="preserve">21-й день</w:t>
      </w:r>
    </w:p>
    <w:p>
      <w:pPr>
        <w:numPr>
          <w:numId w:val="1099"/>
          <w:ilvl w:val="0"/>
        </w:numPr>
      </w:pPr>
      <w:r>
        <w:t xml:space="preserve">Одновременные лекарства и побочные эффекты</w:t>
      </w:r>
    </w:p>
    <w:p>
      <w:pPr>
        <w:numPr>
          <w:numId w:val="1099"/>
          <w:ilvl w:val="0"/>
        </w:numPr>
      </w:pPr>
      <w:r>
        <w:t xml:space="preserve">Просмотр дневника волонтера</w:t>
      </w:r>
    </w:p>
    <w:p>
      <w:pPr>
        <w:numPr>
          <w:numId w:val="1099"/>
          <w:ilvl w:val="0"/>
        </w:numPr>
      </w:pPr>
      <w:r>
        <w:t xml:space="preserve">Физический осмотр</w:t>
      </w:r>
    </w:p>
    <w:p>
      <w:pPr>
        <w:numPr>
          <w:numId w:val="1099"/>
          <w:ilvl w:val="0"/>
        </w:numPr>
      </w:pPr>
      <w:r>
        <w:t xml:space="preserve">Жизненные показатели (АД, ЧСС, частота дыхания, температура тела)</w:t>
      </w:r>
    </w:p>
    <w:p>
      <w:pPr>
        <w:numPr>
          <w:numId w:val="1099"/>
          <w:ilvl w:val="0"/>
        </w:numPr>
      </w:pPr>
      <w:r>
        <w:t xml:space="preserve">ЭКГ с 12 отведениями в состоянии покоя (интервалы ЧСС, частота дыхания, PQ, QT, QRS и QT</w:t>
      </w:r>
      <w:r>
        <w:rPr>
          <w:vertAlign w:val="subscript"/>
        </w:rPr>
        <w:t xml:space="preserve">C</w:t>
      </w:r>
      <w:r>
        <w:t xml:space="preserve">)</w:t>
      </w:r>
    </w:p>
    <w:p>
      <w:pPr>
        <w:numPr>
          <w:numId w:val="1099"/>
          <w:ilvl w:val="0"/>
        </w:numPr>
      </w:pPr>
      <w:r>
        <w:t xml:space="preserve">Получение образца крови для общего анализа крови и биохимии</w:t>
      </w:r>
    </w:p>
    <w:p>
      <w:pPr>
        <w:numPr>
          <w:numId w:val="1099"/>
          <w:ilvl w:val="0"/>
        </w:numPr>
      </w:pPr>
      <w:r>
        <w:t xml:space="preserve">Получение образца мочи для анализа мочи.</w:t>
      </w:r>
    </w:p>
    <w:p>
      <w:pPr>
        <w:pStyle w:val="Compact"/>
        <w:numPr>
          <w:numId w:val="1101"/>
          <w:ilvl w:val="1"/>
        </w:numPr>
      </w:pPr>
      <w:r>
        <w:rPr>
          <w:b/>
        </w:rPr>
        <w:t xml:space="preserve">Не запланированные визиты</w:t>
      </w:r>
    </w:p>
    <w:p>
      <w:pPr>
        <w:pStyle w:val="FirstParagraph"/>
      </w:pPr>
      <w:r>
        <w:t xml:space="preserve">По усмотрению исследователя волонтеры могут быть приглашены для не запланированного визита по соображениям безопасности в любое время во время клинического исследования, если необходимо повторное тестирование или процедура. Во время не запланированных визитов исследователь может проводить необходимые процедуры, включая лабораторные и инструментальные исследования. Не запланированные визиты должны быть задокументированы в исходной документации и в eCRF. Не запланированные визиты не должны влиять на запланированные визиты, необходимые в соответствии с протоколом клинического исследования.</w:t>
      </w:r>
    </w:p>
    <w:p>
      <w:pPr>
        <w:pStyle w:val="7"/>
      </w:pPr>
      <w:r>
        <w:rPr>
          <w:b/>
        </w:rPr>
        <w:t xml:space="preserve">Ранняя отмена (для групп с однократным и многократным введением препарата)</w:t>
      </w:r>
    </w:p>
    <w:p>
      <w:pPr>
        <w:pStyle w:val="7"/>
      </w:pPr>
      <w:r>
        <w:t xml:space="preserve">В случае преждевременного выхода из исследования после посещения в день 0 и после приема хотя бы одной дозы исследуемого препарата, должна быть проведена визита ранней отмены (ET), если это возможно. В ходе визита ранней отмены будут проводиться следующие процедуры:</w:t>
      </w:r>
    </w:p>
    <w:p>
      <w:pPr>
        <w:numPr>
          <w:numId w:val="1102"/>
          <w:ilvl w:val="0"/>
        </w:numPr>
      </w:pPr>
      <w:r>
        <w:t xml:space="preserve">Одновременные лекарства и побочные эффекты</w:t>
      </w:r>
    </w:p>
    <w:p>
      <w:pPr>
        <w:numPr>
          <w:numId w:val="1102"/>
          <w:ilvl w:val="0"/>
        </w:numPr>
      </w:pPr>
      <w:r>
        <w:t xml:space="preserve">Просмотр дневника волонтера</w:t>
      </w:r>
    </w:p>
    <w:p>
      <w:pPr>
        <w:numPr>
          <w:numId w:val="1102"/>
          <w:ilvl w:val="0"/>
        </w:numPr>
      </w:pPr>
      <w:r>
        <w:t xml:space="preserve">Физический осмотр</w:t>
      </w:r>
    </w:p>
    <w:p>
      <w:pPr>
        <w:numPr>
          <w:numId w:val="1102"/>
          <w:ilvl w:val="0"/>
        </w:numPr>
      </w:pPr>
      <w:r>
        <w:t xml:space="preserve">Вес тела</w:t>
      </w:r>
    </w:p>
    <w:p>
      <w:pPr>
        <w:numPr>
          <w:numId w:val="1102"/>
          <w:ilvl w:val="0"/>
        </w:numPr>
      </w:pPr>
      <w:r>
        <w:t xml:space="preserve">Жизненные показатели (АД, ЧСС, частота дыхания, температура тела)</w:t>
      </w:r>
    </w:p>
    <w:p>
      <w:pPr>
        <w:numPr>
          <w:numId w:val="1102"/>
          <w:ilvl w:val="0"/>
        </w:numPr>
      </w:pPr>
      <w:r>
        <w:t xml:space="preserve">ЭКГ с 12 отведениями в состоянии покоя (интервалы ЧСС, частота дыхания, PQ, QT, QRS и QT</w:t>
      </w:r>
      <w:r>
        <w:rPr>
          <w:vertAlign w:val="subscript"/>
        </w:rPr>
        <w:t xml:space="preserve">C</w:t>
      </w:r>
      <w:r>
        <w:t xml:space="preserve">)</w:t>
      </w:r>
    </w:p>
    <w:p>
      <w:pPr>
        <w:numPr>
          <w:numId w:val="1102"/>
          <w:ilvl w:val="0"/>
        </w:numPr>
      </w:pPr>
      <w:r>
        <w:t xml:space="preserve">Образец крови для оценки PK</w:t>
      </w:r>
    </w:p>
    <w:p>
      <w:pPr>
        <w:numPr>
          <w:numId w:val="1102"/>
          <w:ilvl w:val="0"/>
        </w:numPr>
      </w:pPr>
      <w:r>
        <w:t xml:space="preserve">Образец крови для оценки PD</w:t>
      </w:r>
    </w:p>
    <w:p>
      <w:pPr>
        <w:numPr>
          <w:numId w:val="1102"/>
          <w:ilvl w:val="0"/>
        </w:numPr>
      </w:pPr>
      <w:r>
        <w:t xml:space="preserve">Образец крови для общего анализа крови и биохимии</w:t>
      </w:r>
    </w:p>
    <w:p>
      <w:pPr>
        <w:numPr>
          <w:numId w:val="1102"/>
          <w:ilvl w:val="0"/>
        </w:numPr>
      </w:pPr>
      <w:r>
        <w:t xml:space="preserve">Образец мочи для анализа мочи</w:t>
      </w:r>
    </w:p>
    <w:p>
      <w:pPr>
        <w:pStyle w:val="FirstParagraph"/>
      </w:pPr>
      <w:r>
        <w:t xml:space="preserve">Исследователь должен приложить все усилия для тщательного проведения визита ET. Если визит ET не может быть проведен тщательно, исследователь должен проконсультироваться со спонсором.</w:t>
      </w:r>
    </w:p>
    <w:p>
      <w:pPr>
        <w:pStyle w:val="7"/>
      </w:pPr>
      <w:r>
        <w:t xml:space="preserve">ОБЕСПЕЧЕНИЕ КАЧЕСТВА</w:t>
      </w:r>
    </w:p>
    <w:p>
      <w:pPr>
        <w:pStyle w:val="7"/>
      </w:pPr>
      <w:r>
        <w:t xml:space="preserve">Данное клиническое исследование будет проводиться в соответствии со Стандартными Операционными Процедурами (СОП) представителя спонсора, ICH GCP [34] и руководствами EAEU [35], принципами, изложенными в Декларации в Хельсинки [36], и применимых российских законах и нормативных требований. Соответствие будет обеспечено путем проведения аудита на месте проведения исследования и данных, полученных в ходе исследования.</w:t>
      </w:r>
    </w:p>
    <w:p>
      <w:pPr>
        <w:pStyle w:val="7"/>
      </w:pPr>
      <w:r>
        <w:t xml:space="preserve">Этот протокол и любые его изменения должны быть представлены в надлежаще уполномоченный этический комитет в соответствии с местными правовыми требованиями для формального утверждения исследования. Решение этического комитета о ходе исследования должно быть передано исследователю в письменной форме, и копия этого решения должна быть предоставлена спонсору до начала исследования. Исследователь должен предоставить спонсору список членов этического комитета и их принадлежность.</w:t>
      </w:r>
    </w:p>
    <w:p>
      <w:pPr>
        <w:pStyle w:val="7"/>
      </w:pPr>
      <w:r>
        <w:t xml:space="preserve">TRANSLATION:</w:t>
      </w:r>
    </w:p>
    <w:p>
      <w:pPr>
        <w:pStyle w:val="7"/>
      </w:pPr>
      <w:r>
        <w:t xml:space="preserve">Все участники данного исследования получат форму информированного согласия, описывающую исследование и предоставляющую всем необходимую информацию, чтобы участники могли решить, хотят ли они принять участие. Форма информированного согласия будет предоставлена вместе с протоколом для рассмотрения и утверждения ИСК. Формальное согласие от участника, используя форму информированного согласия, утвержденную ИСК, должно быть получено до начала любых процедур исследования. Участник, его уполномоченный представитель и уполномоченный исследователь, проводящий процесс получения согласия, должны подписать форму информированного согласия.</w:t>
      </w:r>
    </w:p>
    <w:p>
      <w:pPr>
        <w:pStyle w:val="7"/>
      </w:pPr>
      <w:r>
        <w:t xml:space="preserve">Если будут выявлены нарушения протокола, СОП спонсора, руководств по</w:t>
      </w:r>
      <w:r>
        <w:t xml:space="preserve"> </w:t>
      </w:r>
      <w:r>
        <w:t xml:space="preserve">“</w:t>
      </w:r>
      <w:r>
        <w:t xml:space="preserve">Good Clinical Practice</w:t>
      </w:r>
      <w:r>
        <w:t xml:space="preserve">”</w:t>
      </w:r>
      <w:r>
        <w:t xml:space="preserve"> </w:t>
      </w:r>
      <w:r>
        <w:t xml:space="preserve">или применимых законов, исследователь/учреждение или представитель спонсора должны принять меры для рассмотрения и минимизации рисков. В случае нарушения, которое существенно влияет на участника или может существенно повлиять на надежность результатов исследования, спонсор должен провести анализ первопричины и реализовать соответствующие корректирующие и профилактические меры в соответствии с разработанным планом корректирующих и профилактических действий.</w:t>
      </w:r>
    </w:p>
    <w:p>
      <w:pPr>
        <w:numPr>
          <w:numId w:val="1103"/>
          <w:ilvl w:val="0"/>
        </w:numPr>
      </w:pPr>
      <w:r>
        <w:t xml:space="preserve">ПЛАНИРУЕМЫЕ СТАТИСТИЧЕСКИЕ МЕТОДЫ</w:t>
      </w:r>
    </w:p>
    <w:p>
      <w:pPr>
        <w:pStyle w:val="Compact"/>
        <w:numPr>
          <w:numId w:val="1104"/>
          <w:ilvl w:val="1"/>
        </w:numPr>
      </w:pPr>
      <w:r>
        <w:t xml:space="preserve">Общие положения</w:t>
      </w:r>
    </w:p>
    <w:p>
      <w:pPr>
        <w:pStyle w:val="FirstParagraph"/>
      </w:pPr>
      <w:r>
        <w:t xml:space="preserve">Целью данного исследования является оценка безопасности, переносимости, фармакокинетики и фармакодинамики возрастающих доз L08-0623 при однократном (включая оценку влияния пищи) и многократном пероральном введении у здоровых добровольцев.</w:t>
      </w:r>
    </w:p>
    <w:p>
      <w:pPr>
        <w:pStyle w:val="7"/>
      </w:pPr>
      <w:r>
        <w:t xml:space="preserve">Основываясь на основной цели исследования (оценка переносимости и безопасности), основными аналитическими инструментами будут описательная статистика и схемы. Формулирование формальной статистической гипотезы не предусмотрено.</w:t>
      </w:r>
    </w:p>
    <w:p>
      <w:pPr>
        <w:pStyle w:val="7"/>
      </w:pPr>
      <w:r>
        <w:t xml:space="preserve">Сравнения между группами доз не будут проводиться.</w:t>
      </w:r>
    </w:p>
    <w:p>
      <w:pPr>
        <w:pStyle w:val="7"/>
      </w:pPr>
      <w:r>
        <w:t xml:space="preserve">Размер выборки</w:t>
      </w:r>
    </w:p>
    <w:p>
      <w:pPr>
        <w:pStyle w:val="7"/>
      </w:pPr>
      <w:r>
        <w:t xml:space="preserve">Количество добровольцев в каждой группе дозы основано на требованиях по оценке безопасности в пилотных исследованиях I фазы (Buen, 2005) [</w:t>
      </w:r>
      <w:hyperlink r:id="rId20">
        <w:r>
          <w:rPr>
            <w:rStyle w:val="11"/>
          </w:rPr>
          <w:t xml:space="preserve">33</w:t>
        </w:r>
      </w:hyperlink>
      <w:r>
        <w:t xml:space="preserve">].</w:t>
      </w:r>
    </w:p>
    <w:p>
      <w:pPr>
        <w:pStyle w:val="7"/>
      </w:pPr>
      <w:r>
        <w:t xml:space="preserve">Для получения данных каждая группа однократного и многократного введения будет состоять из 8 добровольцев, из которых 6 получат L08-0623, а 2 — плацебо.</w:t>
      </w:r>
    </w:p>
    <w:p>
      <w:pPr>
        <w:pStyle w:val="7"/>
      </w:pPr>
      <w:r>
        <w:t xml:space="preserve">В данном исследовании будут включены 64 добровольца. Учитывая примерно 30% отсев при скрининге, в исследовании может быть отобрано до 84 здоровых добровольцев. Замена добровольцев, которые прекращают участие в исследовании после первого приема лекарства, не предусмотрена.</w:t>
      </w:r>
    </w:p>
    <w:p>
      <w:pPr>
        <w:pStyle w:val="7"/>
      </w:pPr>
      <w:r>
        <w:t xml:space="preserve">Рандомизация</w:t>
      </w:r>
    </w:p>
    <w:p>
      <w:pPr>
        <w:pStyle w:val="7"/>
      </w:pPr>
      <w:r>
        <w:t xml:space="preserve">График рандомизации будет разработан спонсором или его представителем для назначения L08-0623 и плацебо добровольцам в каждой группе и будет содержать номера рандомизации добровольцев и назначенные им препараты.</w:t>
      </w:r>
    </w:p>
    <w:p>
      <w:pPr>
        <w:pStyle w:val="7"/>
      </w:pPr>
      <w:r>
        <w:rPr>
          <w:b/>
        </w:rPr>
        <w:t xml:space="preserve">Номер рандомизации будет присвоен типу терапии в соответствии со схемой рандомизации методом блока без стратификации с использованием IWRS iRand. Первые два добровольца в каждой группе (основной контроль безопасности) будут рандомизированы в соотношении 1:1. Оставшиеся добровольцы в каждой группе будут рандомизированы в соотношении 5:1.</w:t>
      </w:r>
    </w:p>
    <w:p>
      <w:pPr>
        <w:pStyle w:val="7"/>
      </w:pPr>
      <w:r>
        <w:rPr>
          <w:b/>
        </w:rPr>
        <w:t xml:space="preserve">Номер назначенного препарата будет добавлен к последним трем цифрам индивидуального номера добровольца.</w:t>
      </w:r>
    </w:p>
    <w:p>
      <w:pPr>
        <w:pStyle w:val="7"/>
      </w:pPr>
      <w:r>
        <w:t xml:space="preserve">Добровольцы будут рандомизированы для получения L08-0623 или плацебо в следующем соотношении:</w:t>
      </w:r>
    </w:p>
    <w:p>
      <w:pPr>
        <w:pStyle w:val="7"/>
      </w:pPr>
      <w:r>
        <w:t xml:space="preserve">Группа 1. L08-062, однократная доза (10 мг), натощак – 6 добровольцев; Плацебо, однократная доза, натощак – 2 добровольца;</w:t>
      </w:r>
    </w:p>
    <w:p>
      <w:pPr>
        <w:pStyle w:val="7"/>
      </w:pPr>
      <w:r>
        <w:t xml:space="preserve">Группа 2. L08-062, однократная доза (20 мг), натощак – 6 добровольцев; Плацебо, однократная доза, натощак – 2 добровольца;</w:t>
      </w:r>
    </w:p>
    <w:p>
      <w:pPr>
        <w:pStyle w:val="7"/>
      </w:pPr>
      <w:r>
        <w:t xml:space="preserve">Группа 3. L08-062, однократная доза (50 мг), натощак – 6 добровольцев; Плацебо, однократная доза, натощак – 2 добровольца;</w:t>
      </w:r>
    </w:p>
    <w:p>
      <w:pPr>
        <w:pStyle w:val="7"/>
      </w:pPr>
      <w:r>
        <w:t xml:space="preserve">Группа 4. L08-062, однократная доза (100 мг), натощак – 6 добровольцев; Плацебо, однократная доза, натощак – 2 добровольца;</w:t>
      </w:r>
    </w:p>
    <w:p>
      <w:pPr>
        <w:pStyle w:val="7"/>
      </w:pPr>
      <w:r>
        <w:t xml:space="preserve">Группа 5. L08-0623, 50 мг, один раз в день в течение 7 дней, натощак – 6 добровольцев; Плацебо, многократное введение в течение 7 дней, натощак – 2 добровольца;</w:t>
      </w:r>
    </w:p>
    <w:p>
      <w:pPr>
        <w:pStyle w:val="7"/>
      </w:pPr>
      <w:r>
        <w:t xml:space="preserve">Группа 6. L08-0623, 100 мг, один раз в день в течение 7 дней, натощак – 6 добровольцев; Плацебо, многократное введение в течение 7 дней, натощак – 2 добровольца;</w:t>
      </w:r>
    </w:p>
    <w:p>
      <w:pPr>
        <w:pStyle w:val="7"/>
      </w:pPr>
      <w:r>
        <w:t xml:space="preserve">Группа 7. L08-0623, однократная доза (Х мг), при приеме пищи – 6 волонтеров; Плацебо, однократная доза, при приеме пищи – 2 волонтера;</w:t>
      </w:r>
    </w:p>
    <w:p>
      <w:pPr>
        <w:pStyle w:val="7"/>
      </w:pPr>
      <w:r>
        <w:t xml:space="preserve">Группа 8. L08-0623, однократная доза (Х мг), при приеме пищи – 6 волонтеров; Плацебо, однократная доза, при приеме пищи – 2 волонтера.</w:t>
      </w:r>
    </w:p>
    <w:p>
      <w:pPr>
        <w:pStyle w:val="7"/>
      </w:pPr>
      <w:r>
        <w:t xml:space="preserve">Стратификация не будет проводиться.</w:t>
      </w:r>
    </w:p>
    <w:p>
      <w:pPr>
        <w:pStyle w:val="7"/>
      </w:pPr>
      <w:r>
        <w:t xml:space="preserve">Раскрытие кодов рандомизации для статистической обработки будет осуществляться после блокировки базы данных и получения подтверждения от спонсора.</w:t>
      </w:r>
    </w:p>
    <w:p>
      <w:pPr>
        <w:numPr>
          <w:numId w:val="1105"/>
          <w:ilvl w:val="0"/>
        </w:numPr>
      </w:pPr>
      <w:r>
        <w:t xml:space="preserve">Набор данных для анализа</w:t>
      </w:r>
    </w:p>
    <w:p>
      <w:pPr>
        <w:pStyle w:val="Compact"/>
        <w:numPr>
          <w:numId w:val="1106"/>
          <w:ilvl w:val="1"/>
        </w:numPr>
      </w:pPr>
      <w:r>
        <w:t xml:space="preserve">Набор данных для анализа безопасности</w:t>
      </w:r>
    </w:p>
    <w:p>
      <w:pPr>
        <w:pStyle w:val="FirstParagraph"/>
      </w:pPr>
      <w:r>
        <w:t xml:space="preserve">Все волонтеры, которым была введена хотя бы одна доза SD, будут включены в набор данных для анализа безопасности.</w:t>
      </w:r>
    </w:p>
    <w:p>
      <w:pPr>
        <w:pStyle w:val="7"/>
      </w:pPr>
      <w:r>
        <w:t xml:space="preserve">Набор данных для фармакокинетического анализа</w:t>
      </w:r>
    </w:p>
    <w:p>
      <w:pPr>
        <w:pStyle w:val="7"/>
      </w:pPr>
      <w:r>
        <w:t xml:space="preserve">Все волонтеры, которым была введена хотя бы одна доза SD и у которых достаточно высокие концентрации препарата в плазме для оценки параметров PK, будут включены в набор данных для фармакокинетического анализа.</w:t>
      </w:r>
    </w:p>
    <w:p>
      <w:pPr>
        <w:pStyle w:val="7"/>
      </w:pPr>
      <w:r>
        <w:t xml:space="preserve">Набор данных для фармакодинамического анализа</w:t>
      </w:r>
    </w:p>
    <w:p>
      <w:pPr>
        <w:pStyle w:val="7"/>
      </w:pPr>
      <w:r>
        <w:t xml:space="preserve">Все волонтеры, у которых был измерен уровень интерферона-гамма (в плазме, полученный вне организма) хотя бы один раз после введения препарата, будут включены в набор данных для фармакодинамического анализа.</w:t>
      </w:r>
    </w:p>
    <w:p>
      <w:pPr>
        <w:pStyle w:val="7"/>
      </w:pPr>
      <w:r>
        <w:t xml:space="preserve">Процедуры учета отсутствующих, недоступных и сомнительных данных</w:t>
      </w:r>
    </w:p>
    <w:p>
      <w:pPr>
        <w:pStyle w:val="BlockText"/>
      </w:pPr>
      <w:r>
        <w:t xml:space="preserve">Отсутствующие данные не будут заменяться.</w:t>
      </w:r>
    </w:p>
    <w:p>
      <w:pPr>
        <w:pStyle w:val="FirstParagraph"/>
      </w:pPr>
      <w:r>
        <w:t xml:space="preserve">Назначение волонтеров, демографические характеристики и анализ на базовом уровне</w:t>
      </w:r>
    </w:p>
    <w:p>
      <w:pPr>
        <w:pStyle w:val="7"/>
      </w:pPr>
      <w:r>
        <w:t xml:space="preserve">Количество волонтеров, включенных в исследование, будет представлено в абсолютном виде.</w:t>
      </w:r>
    </w:p>
    <w:p>
      <w:pPr>
        <w:pStyle w:val="7"/>
      </w:pPr>
      <w:r>
        <w:t xml:space="preserve">Количество волонтеров в наборах данных и количество волонтеров, завершивших исследование раньше, а также причины, будут представлены в абсолютном и относительном виде.</w:t>
      </w:r>
    </w:p>
    <w:p>
      <w:pPr>
        <w:pStyle w:val="7"/>
      </w:pPr>
      <w:r>
        <w:t xml:space="preserve">Следующие параметры волонтеров будут описаны в разделе о демографических и базовых характеристиках:</w:t>
      </w:r>
    </w:p>
    <w:p>
      <w:pPr>
        <w:numPr>
          <w:numId w:val="1107"/>
          <w:ilvl w:val="0"/>
        </w:numPr>
      </w:pPr>
      <w:r>
        <w:t xml:space="preserve">Возраст, пол, раса</w:t>
      </w:r>
    </w:p>
    <w:p>
      <w:pPr>
        <w:numPr>
          <w:numId w:val="1107"/>
          <w:ilvl w:val="0"/>
        </w:numPr>
      </w:pPr>
      <w:r>
        <w:t xml:space="preserve">Рост, вес, индекс массы тела</w:t>
      </w:r>
    </w:p>
    <w:p>
      <w:pPr>
        <w:numPr>
          <w:numId w:val="1107"/>
          <w:ilvl w:val="0"/>
        </w:numPr>
      </w:pPr>
      <w:r>
        <w:t xml:space="preserve">Предыдущие заболевания</w:t>
      </w:r>
    </w:p>
    <w:p>
      <w:pPr>
        <w:numPr>
          <w:numId w:val="1107"/>
          <w:ilvl w:val="0"/>
        </w:numPr>
      </w:pPr>
      <w:r>
        <w:t xml:space="preserve">Тестирование на лекарства, никотин и алкоголь</w:t>
      </w:r>
    </w:p>
    <w:p>
      <w:pPr>
        <w:pStyle w:val="FirstParagraph"/>
      </w:pPr>
      <w:r>
        <w:t xml:space="preserve">Непрерывные данные (возраст, рост, вес и индекс массы тела) будут представлены в виде количества наблюдений, среднего значения и стандартного отклонения, медианы и диапазона для каждой группы доз.</w:t>
      </w:r>
    </w:p>
    <w:p>
      <w:pPr>
        <w:pStyle w:val="7"/>
      </w:pPr>
      <w:r>
        <w:t xml:space="preserve">Предыдущие заболевания будут представлены в абсолютном и относительном виде, сгруппированными по группе доз, классу органов и предпочтительному термину.</w:t>
      </w:r>
    </w:p>
    <w:p>
      <w:pPr>
        <w:pStyle w:val="7"/>
      </w:pPr>
      <w:r>
        <w:t xml:space="preserve">Предыдущая терапия будет представлена в абсолютном и относительном виде для каждой группы доз и по кодам ATX.</w:t>
      </w:r>
    </w:p>
    <w:p>
      <w:pPr>
        <w:pStyle w:val="7"/>
      </w:pPr>
      <w:r>
        <w:t xml:space="preserve">Оценка эффективности</w:t>
      </w:r>
    </w:p>
    <w:p>
      <w:pPr>
        <w:pStyle w:val="7"/>
      </w:pPr>
      <w:r>
        <w:t xml:space="preserve">Не применимо в данном исследовании.</w:t>
      </w:r>
    </w:p>
    <w:p>
      <w:pPr>
        <w:pStyle w:val="7"/>
      </w:pPr>
      <w:r>
        <w:t xml:space="preserve">Оценка безопасности: Конечные показатели</w:t>
      </w:r>
    </w:p>
    <w:p>
      <w:pPr>
        <w:numPr>
          <w:numId w:val="1108"/>
          <w:ilvl w:val="0"/>
        </w:numPr>
      </w:pPr>
      <w:r>
        <w:t xml:space="preserve">Частота побочных эффектов и серьезных побочных эффектов;</w:t>
      </w:r>
    </w:p>
    <w:p>
      <w:pPr>
        <w:numPr>
          <w:numId w:val="1108"/>
          <w:ilvl w:val="0"/>
        </w:numPr>
      </w:pPr>
      <w:r>
        <w:t xml:space="preserve">Частота побочных эффектов, связанных с SD;</w:t>
      </w:r>
    </w:p>
    <w:p>
      <w:pPr>
        <w:numPr>
          <w:numId w:val="1108"/>
          <w:ilvl w:val="0"/>
        </w:numPr>
      </w:pPr>
      <w:r>
        <w:t xml:space="preserve">Частота серьезных побочных эффектов, связанных с SD;</w:t>
      </w:r>
    </w:p>
    <w:p>
      <w:pPr>
        <w:numPr>
          <w:numId w:val="1108"/>
          <w:ilvl w:val="0"/>
        </w:numPr>
      </w:pPr>
      <w:r>
        <w:t xml:space="preserve">Количество волонтеров, которые прекратили терапию SD/плацебо раньше из-за возникновения побочных эффектов/серьезных побочных эффектов.</w:t>
      </w:r>
    </w:p>
    <w:p>
      <w:pPr>
        <w:pStyle w:val="FirstParagraph"/>
      </w:pPr>
      <w:r>
        <w:t xml:space="preserve">Параметры безопасности будут анализироваться с использованием описательной статистики. Все результаты статистической обработки данных будут представлены в таблицах.</w:t>
      </w:r>
    </w:p>
    <w:p>
      <w:pPr>
        <w:pStyle w:val="BlockText"/>
      </w:pPr>
      <w:r>
        <w:t xml:space="preserve">Все побочные эффекты будут классифицированы в соответствии с терминологией MedDRA.</w:t>
      </w:r>
    </w:p>
    <w:p>
      <w:pPr>
        <w:pStyle w:val="FirstParagraph"/>
      </w:pPr>
      <w:r>
        <w:t xml:space="preserve">Количество побочных эффектов и серьезных побочных эффектов, а также количество и процент волонтеров с побочными эффектами и серьезными побочными эффектами, будут указаны в таблицах по классам органов и предпочтительным терминам, их связи с SD и степени тяжести.</w:t>
      </w:r>
    </w:p>
    <w:p>
      <w:pPr>
        <w:pStyle w:val="7"/>
      </w:pPr>
      <w:r>
        <w:t xml:space="preserve">Результаты лабораторных исследований, включая любые изменения от базового уровня, будут проанализированы. Любые отклонения от нормальных значений будут суммированы в таблицах частот. Таблицы суммарных лабораторных показателей будут организованы по группам на основе результатов, полученных на визитах и изменений от базового уровня.</w:t>
      </w:r>
    </w:p>
    <w:p>
      <w:pPr>
        <w:pStyle w:val="7"/>
      </w:pPr>
      <w:r>
        <w:t xml:space="preserve">Клинически значимые изменения жизненно важных показателей, включая, будут проанализированы. Любые отклонения от нормальных значений будут суммированы в таблицах частот.</w:t>
      </w:r>
    </w:p>
    <w:p>
      <w:pPr>
        <w:pStyle w:val="7"/>
      </w:pPr>
      <w:r>
        <w:t xml:space="preserve">Параметры PK будут представлены в виде среднего значения, стандартного отклонения, медианы, минимального и максимального значений, 95% доверительного интервала. Дискретные параметры будут представлены в виде количества и процента волонтеров.</w:t>
      </w:r>
    </w:p>
    <w:p>
      <w:pPr>
        <w:pStyle w:val="7"/>
      </w:pPr>
      <w:r>
        <w:t xml:space="preserve">Оценка фармакокинетики</w:t>
      </w:r>
      <w:r>
        <w:t xml:space="preserve"> </w:t>
      </w:r>
      <w:r>
        <w:rPr>
          <w:b/>
        </w:rPr>
        <w:t xml:space="preserve">Ключевые параметры PK</w:t>
      </w:r>
      <w:r>
        <w:t xml:space="preserve">:</w:t>
      </w:r>
    </w:p>
    <w:p>
      <w:pPr>
        <w:pStyle w:val="7"/>
      </w:pPr>
      <w:r>
        <w:t xml:space="preserve">Цель данного исследования - оценить (при наличии данных) следующие параметры PK для L08-0623:</w:t>
      </w:r>
    </w:p>
    <w:p>
      <w:pPr>
        <w:pStyle w:val="4"/>
      </w:pPr>
      <w:bookmarkStart w:id="37" w:name="один-раз-в-сутки"/>
      <w:r>
        <w:rPr>
          <w:i/>
          <w:b/>
        </w:rPr>
        <w:t xml:space="preserve">Один раз в сутки</w:t>
      </w:r>
      <w:bookmarkEnd w:id="37"/>
    </w:p>
    <w:p>
      <w:pPr>
        <w:pStyle w:val="Compact"/>
        <w:numPr>
          <w:numId w:val="1109"/>
          <w:ilvl w:val="0"/>
        </w:numPr>
      </w:pPr>
      <w:r>
        <w:t xml:space="preserve">Площадь под кривой концентрации плазмы-времени AUC0-inf – от нуля до бесконечности</w:t>
      </w:r>
    </w:p>
    <w:p>
      <w:pPr>
        <w:pStyle w:val="BlockText"/>
      </w:pPr>
      <w:r>
        <w:t xml:space="preserve">AUC0-t – от нуля до последней измеряемой концентрации</w:t>
      </w:r>
      <w:r>
        <w:t xml:space="preserve"> </w:t>
      </w:r>
      <w:r>
        <w:t xml:space="preserve">AUC0-τ – в пределах интервала дозирования</w:t>
      </w:r>
    </w:p>
    <w:p>
      <w:pPr>
        <w:numPr>
          <w:numId w:val="1110"/>
          <w:ilvl w:val="0"/>
        </w:numPr>
      </w:pPr>
      <w:r>
        <w:t xml:space="preserve">Максимальная концентрация в плазме (C</w:t>
      </w:r>
      <w:r>
        <w:rPr>
          <w:vertAlign w:val="subscript"/>
        </w:rPr>
        <w:t xml:space="preserve">max</w:t>
      </w:r>
      <w:r>
        <w:t xml:space="preserve">)</w:t>
      </w:r>
    </w:p>
    <w:p>
      <w:pPr>
        <w:numPr>
          <w:numId w:val="1110"/>
          <w:ilvl w:val="0"/>
        </w:numPr>
      </w:pPr>
      <w:r>
        <w:t xml:space="preserve">Время достижения максимальной концентрации в плазме (T</w:t>
      </w:r>
      <w:r>
        <w:rPr>
          <w:vertAlign w:val="subscript"/>
        </w:rPr>
        <w:t xml:space="preserve">max</w:t>
      </w:r>
      <w:r>
        <w:t xml:space="preserve">)</w:t>
      </w:r>
    </w:p>
    <w:p>
      <w:pPr>
        <w:numPr>
          <w:numId w:val="1110"/>
          <w:ilvl w:val="0"/>
        </w:numPr>
      </w:pPr>
      <w:r>
        <w:t xml:space="preserve">Конечная полупериод полувыведения (Terminal T</w:t>
      </w:r>
      <w:r>
        <w:rPr>
          <w:vertAlign w:val="subscript"/>
        </w:rPr>
        <w:t xml:space="preserve">1/2</w:t>
      </w:r>
      <w:r>
        <w:t xml:space="preserve">)</w:t>
      </w:r>
    </w:p>
    <w:p>
      <w:pPr>
        <w:numPr>
          <w:numId w:val="1110"/>
          <w:ilvl w:val="0"/>
        </w:numPr>
      </w:pPr>
      <w:r>
        <w:t xml:space="preserve">Конечная константа скорости выведения (λΖ)</w:t>
      </w:r>
    </w:p>
    <w:p>
      <w:pPr>
        <w:numPr>
          <w:numId w:val="1110"/>
          <w:ilvl w:val="0"/>
        </w:numPr>
      </w:pPr>
      <w:r>
        <w:t xml:space="preserve">Среднее время удержания (MRT)</w:t>
      </w:r>
    </w:p>
    <w:p>
      <w:pPr>
        <w:numPr>
          <w:numId w:val="1110"/>
          <w:ilvl w:val="0"/>
        </w:numPr>
      </w:pPr>
      <w:r>
        <w:t xml:space="preserve">Кажущийся объем распределения, скорректированный на биодоступность (Vz/F)</w:t>
      </w:r>
    </w:p>
    <w:p>
      <w:pPr>
        <w:numPr>
          <w:numId w:val="1110"/>
          <w:ilvl w:val="0"/>
        </w:numPr>
      </w:pPr>
      <w:r>
        <w:t xml:space="preserve">Кажущийся объем распределения, нормализованный к весу волонтера и скорректированный на биодоступность (VZ/F/M)</w:t>
      </w:r>
    </w:p>
    <w:p>
      <w:pPr>
        <w:pStyle w:val="4"/>
      </w:pPr>
      <w:bookmarkStart w:id="38" w:name="режим-многократной-дозировки"/>
      <w:r>
        <w:rPr>
          <w:i/>
          <w:b/>
        </w:rPr>
        <w:t xml:space="preserve">Режим многократной дозировки</w:t>
      </w:r>
      <w:bookmarkEnd w:id="38"/>
    </w:p>
    <w:p>
      <w:pPr>
        <w:numPr>
          <w:numId w:val="1111"/>
          <w:ilvl w:val="0"/>
        </w:numPr>
      </w:pPr>
      <w:r>
        <w:t xml:space="preserve">Концентрация перед следующей запланированной утренней дозой при режиме многократной дозировки (С</w:t>
      </w:r>
      <w:r>
        <w:rPr>
          <w:vertAlign w:val="subscript"/>
        </w:rPr>
        <w:t xml:space="preserve">trough</w:t>
      </w:r>
      <w:r>
        <w:t xml:space="preserve">)</w:t>
      </w:r>
    </w:p>
    <w:p>
      <w:pPr>
        <w:numPr>
          <w:numId w:val="1111"/>
          <w:ilvl w:val="0"/>
        </w:numPr>
      </w:pPr>
      <w:r>
        <w:t xml:space="preserve">Площадь под кривой концентрации плазмы-времени в пределах интервала дозирования при состоянии равновесия (AUC0-τ)</w:t>
      </w:r>
    </w:p>
    <w:p>
      <w:pPr>
        <w:numPr>
          <w:numId w:val="1111"/>
          <w:ilvl w:val="0"/>
        </w:numPr>
      </w:pPr>
      <w:r>
        <w:t xml:space="preserve">Максимальная концентрация в плазме при состоянии равновесия (C</w:t>
      </w:r>
      <w:r>
        <w:rPr>
          <w:vertAlign w:val="subscript"/>
        </w:rPr>
        <w:t xml:space="preserve">max ss</w:t>
      </w:r>
      <w:r>
        <w:t xml:space="preserve">)</w:t>
      </w:r>
    </w:p>
    <w:p>
      <w:pPr>
        <w:numPr>
          <w:numId w:val="1111"/>
          <w:ilvl w:val="0"/>
        </w:numPr>
      </w:pPr>
      <w:r>
        <w:t xml:space="preserve">Время достижения максимальной концентрации в плазме при состоянии равновесия (Т</w:t>
      </w:r>
      <w:r>
        <w:rPr>
          <w:vertAlign w:val="subscript"/>
        </w:rPr>
        <w:t xml:space="preserve">max ss</w:t>
      </w:r>
      <w:r>
        <w:t xml:space="preserve">)</w:t>
      </w:r>
    </w:p>
    <w:p>
      <w:pPr>
        <w:numPr>
          <w:numId w:val="1111"/>
          <w:ilvl w:val="0"/>
        </w:numPr>
      </w:pPr>
      <w:r>
        <w:t xml:space="preserve">Концентрация в конце интервала дозирования (C</w:t>
      </w:r>
      <w:r>
        <w:rPr>
          <w:vertAlign w:val="subscript"/>
        </w:rPr>
        <w:t xml:space="preserve">τ ss</w:t>
      </w:r>
      <w:r>
        <w:t xml:space="preserve">) после последней дозы (24 часа)</w:t>
      </w:r>
    </w:p>
    <w:p>
      <w:pPr>
        <w:numPr>
          <w:numId w:val="1111"/>
          <w:ilvl w:val="0"/>
        </w:numPr>
      </w:pPr>
      <w:r>
        <w:t xml:space="preserve">Средняя концентрация в плазме при состоянии равновесия (С</w:t>
      </w:r>
      <w:r>
        <w:rPr>
          <w:vertAlign w:val="subscript"/>
        </w:rPr>
        <w:t xml:space="preserve">av</w:t>
      </w:r>
      <w:r>
        <w:t xml:space="preserve">)</w:t>
      </w:r>
    </w:p>
    <w:p>
      <w:pPr>
        <w:numPr>
          <w:numId w:val="1111"/>
          <w:ilvl w:val="0"/>
        </w:numPr>
      </w:pPr>
      <w:r>
        <w:t xml:space="preserve">Полупериод полувыведения при режиме многократной дозировки (T</w:t>
      </w:r>
      <w:r>
        <w:rPr>
          <w:vertAlign w:val="subscript"/>
        </w:rPr>
        <w:t xml:space="preserve">½ ss</w:t>
      </w:r>
      <w:r>
        <w:t xml:space="preserve">)</w:t>
      </w:r>
    </w:p>
    <w:p>
      <w:pPr>
        <w:numPr>
          <w:numId w:val="1111"/>
          <w:ilvl w:val="0"/>
        </w:numPr>
      </w:pPr>
      <w:r>
        <w:t xml:space="preserve">Изменение (%) между максимальной и минимальной концентрациями при состоянии равновесия (% PTF)</w:t>
      </w:r>
    </w:p>
    <w:p>
      <w:pPr>
        <w:numPr>
          <w:numId w:val="1111"/>
          <w:ilvl w:val="0"/>
        </w:numPr>
      </w:pPr>
      <w:r>
        <w:t xml:space="preserve">Кумулятивный фактор для текущего режима дозирования (Fc)</w:t>
      </w:r>
    </w:p>
    <w:p>
      <w:pPr>
        <w:pStyle w:val="FirstParagraph"/>
      </w:pPr>
      <w:r>
        <w:t xml:space="preserve">Линейность фармакокинетики и накопление при многократной дозировке будут оценены путем сравнения AUC0-τ при состоянии равновесия с многократной дозировкой и AUC0-τ с однократной дозировкой.</w:t>
      </w:r>
    </w:p>
    <w:p>
      <w:pPr>
        <w:pStyle w:val="7"/>
      </w:pPr>
      <w:r>
        <w:t xml:space="preserve">Оценка фармакодинамики</w:t>
      </w:r>
      <w:r>
        <w:t xml:space="preserve"> </w:t>
      </w:r>
      <w:r>
        <w:rPr>
          <w:b/>
        </w:rPr>
        <w:t xml:space="preserve">Ключевые параметры фармакодинамики</w:t>
      </w:r>
      <w:r>
        <w:t xml:space="preserve">:</w:t>
      </w:r>
    </w:p>
    <w:p>
      <w:pPr>
        <w:pStyle w:val="7"/>
      </w:pPr>
      <w:r>
        <w:t xml:space="preserve">Цель данного исследования – оценить (при наличии данных) следующие параметры фармакодинамики L08-0623:</w:t>
      </w:r>
    </w:p>
    <w:p>
      <w:pPr>
        <w:pStyle w:val="Compact"/>
        <w:numPr>
          <w:numId w:val="1112"/>
          <w:ilvl w:val="0"/>
        </w:numPr>
      </w:pPr>
      <w:r>
        <w:t xml:space="preserve">Изменение уровня плазмы IFN-γ (после стимуляции ex vivo) после приема препарата в одно- и многократном режиме дозирования по сравнению с базовым уровнем.</w:t>
      </w:r>
    </w:p>
    <w:p>
      <w:pPr>
        <w:pStyle w:val="FirstParagraph"/>
      </w:pPr>
      <w:r>
        <w:rPr>
          <w:b/>
        </w:rPr>
        <w:t xml:space="preserve">Временный анализ</w:t>
      </w:r>
    </w:p>
    <w:p>
      <w:pPr>
        <w:pStyle w:val="7"/>
      </w:pPr>
      <w:r>
        <w:t xml:space="preserve">Не применимо.</w:t>
      </w:r>
    </w:p>
    <w:p>
      <w:pPr>
        <w:numPr>
          <w:numId w:val="1113"/>
          <w:ilvl w:val="0"/>
        </w:numPr>
      </w:pPr>
      <w:r>
        <w:t xml:space="preserve">АДМИНИСТРАТИВНЫЕ ПРОЦЕДУРЫ</w:t>
      </w:r>
    </w:p>
    <w:p>
      <w:pPr>
        <w:pStyle w:val="Compact"/>
        <w:numPr>
          <w:numId w:val="1114"/>
          <w:ilvl w:val="1"/>
        </w:numPr>
      </w:pPr>
      <w:r>
        <w:t xml:space="preserve">Юридические аспекты</w:t>
      </w:r>
    </w:p>
    <w:p>
      <w:pPr>
        <w:pStyle w:val="FirstParagraph"/>
      </w:pPr>
      <w:r>
        <w:t xml:space="preserve">Имена всех участников исследования должны строго конфиденциально храниться. Участников идентифицируют по присвоенному номеру, инициалам и дате рождения. Участников необходимо проинформировать о том, что любая информация, хранящаяся у исследовательского центра, спонсора или его представителей, будет храниться в строгом соответствии с нормативными требованиями.</w:t>
      </w:r>
    </w:p>
    <w:p>
      <w:pPr>
        <w:pStyle w:val="7"/>
      </w:pPr>
      <w:r>
        <w:t xml:space="preserve">Обязанности исследователя</w:t>
      </w:r>
    </w:p>
    <w:p>
      <w:pPr>
        <w:pStyle w:val="7"/>
      </w:pPr>
      <w:r>
        <w:t xml:space="preserve">Исследователь должен проводить исследование в соответствии с требованиями данного протокола, руководств ICH GCP и EAEU, принципами, изложенными в Декларации в Хельсинки, и применимых законах и нормативных требований.</w:t>
      </w:r>
    </w:p>
    <w:p>
      <w:pPr>
        <w:pStyle w:val="7"/>
      </w:pPr>
      <w:r>
        <w:t xml:space="preserve">Исследователь должен разрешать мониторинг, аудиты и проверки в исследовательском центре и предоставлять прямой доступ к материалам исследования (например, первичной документации, нормативных документов, инструментам сбора данных, данным исследования и т. д.) спонсору, его представителям и органам надзора в любое время по запросу. Исследователь должен обеспечить доступ к соответствующим помещениям для проведения проверок (например, аптеке, диагностической лаборатории и т. д.). Роль исследователя в этом исследовании включает согласие на проведение проверок органами надзора и аудитами.</w:t>
      </w:r>
    </w:p>
    <w:p>
      <w:pPr>
        <w:pStyle w:val="7"/>
      </w:pPr>
      <w:r>
        <w:t xml:space="preserve">Первичная документация, данные eCRF и файлы исследователя должны храниться в исследовательском центре или в специально отведенном архиве с ограниченным доступом не менее 25 лет после завершения исследования или до даты, указанной спонсором в соглашении. Исследователь должен немедленно сообщить спонсору о любых непреднамеренных повреждениях или уничтожении, а также об изменении места хранения клинических материалов исследования.</w:t>
      </w:r>
    </w:p>
    <w:p>
      <w:pPr>
        <w:pStyle w:val="7"/>
      </w:pPr>
      <w:r>
        <w:t xml:space="preserve">Процедуры мониторинга</w:t>
      </w:r>
    </w:p>
    <w:p>
      <w:pPr>
        <w:pStyle w:val="7"/>
      </w:pPr>
      <w:r>
        <w:t xml:space="preserve">Перевод:</w:t>
      </w:r>
    </w:p>
    <w:p>
      <w:pPr>
        <w:pStyle w:val="7"/>
      </w:pPr>
      <w:r>
        <w:t xml:space="preserve">Исследователь должен обеспечить прямой доступ ко всей исходной документации, eCRF и файлу исследователя спонсору и его представителям, комитету по этике (IEC) и соответствующим органам. Исходная документация включает в себя оригинальные документы, данные и записи (например, историю болезни, записи о посещениях врача, лабораторные журналы, заметки, дневники или анкеты участников исследования, журналы выдачи лекарств, записи автоматических устройств, заверенные и сертифицированные копии или извлечения, негативы, микрофильм или магнитные носители, рентгеновские снимки и любые записи, относящиеся к участнику, включая те, которые хранятся в аптеке, лабораториях и инструментальных диагностических отделах, используемых в клиническом исследовании).</w:t>
      </w:r>
    </w:p>
    <w:p>
      <w:pPr>
        <w:pStyle w:val="7"/>
      </w:pPr>
      <w:r>
        <w:t xml:space="preserve">Надзор будет осуществляться спонсором или его представителем в соответствии с их стандартными операционными процедурами (SOP) и планом мониторинга, разработанным для этого исследования. Мониторинг исследования включает:</w:t>
      </w:r>
    </w:p>
    <w:p>
      <w:pPr>
        <w:numPr>
          <w:numId w:val="1115"/>
          <w:ilvl w:val="0"/>
        </w:numPr>
      </w:pPr>
      <w:r>
        <w:t xml:space="preserve">Подтверждение того, что процесс получения информированного согласия, скрининг и набор участников были должным образом проведены и задокументированы.</w:t>
      </w:r>
    </w:p>
    <w:p>
      <w:pPr>
        <w:numPr>
          <w:numId w:val="1115"/>
          <w:ilvl w:val="0"/>
        </w:numPr>
      </w:pPr>
      <w:r>
        <w:t xml:space="preserve">Проверку данных в eCRF и исходных медицинских записей участников исследования.</w:t>
      </w:r>
    </w:p>
    <w:p>
      <w:pPr>
        <w:numPr>
          <w:numId w:val="1115"/>
          <w:ilvl w:val="0"/>
        </w:numPr>
      </w:pPr>
      <w:r>
        <w:t xml:space="preserve">Подтверждение регистрации и своевременного сообщения о нежелательных явлениях (AE) и серьёзных нежелательных явлениях (SAE) в ходе исследования.</w:t>
      </w:r>
    </w:p>
    <w:p>
      <w:pPr>
        <w:numPr>
          <w:numId w:val="1115"/>
          <w:ilvl w:val="0"/>
        </w:numPr>
      </w:pPr>
      <w:r>
        <w:t xml:space="preserve">Подтверждение соблюдения требований по выполнению процедур протокола персоналом исследовательского центра.</w:t>
      </w:r>
    </w:p>
    <w:p>
      <w:pPr>
        <w:numPr>
          <w:numId w:val="1115"/>
          <w:ilvl w:val="0"/>
        </w:numPr>
      </w:pPr>
      <w:r>
        <w:t xml:space="preserve">Подтверждение документации по поставке, хранению, распространению и утилизации лекарственного средства и материалов для исследования.</w:t>
      </w:r>
    </w:p>
    <w:p>
      <w:pPr>
        <w:numPr>
          <w:numId w:val="1115"/>
          <w:ilvl w:val="0"/>
        </w:numPr>
      </w:pPr>
      <w:r>
        <w:t xml:space="preserve">Подтверждение компетенции персонала исследовательского центра и местного лабораторного персонала, необходимых для исследования.</w:t>
      </w:r>
    </w:p>
    <w:p>
      <w:pPr>
        <w:numPr>
          <w:numId w:val="1115"/>
          <w:ilvl w:val="0"/>
        </w:numPr>
      </w:pPr>
      <w:r>
        <w:t xml:space="preserve">Подтверждение того, что используемое оборудование соответствует требованиям по безопасному и надлежащему использованию в ходе исследования.</w:t>
      </w:r>
    </w:p>
    <w:p>
      <w:pPr>
        <w:numPr>
          <w:numId w:val="1115"/>
          <w:ilvl w:val="0"/>
        </w:numPr>
      </w:pPr>
      <w:r>
        <w:t xml:space="preserve">Подтверждение взаимодействия исследователя с IEC по вопросам безопасности исследования и реализации изменений протокола, согласованных со спонсором.</w:t>
      </w:r>
    </w:p>
    <w:p>
      <w:pPr>
        <w:pStyle w:val="Compact"/>
        <w:numPr>
          <w:numId w:val="1116"/>
          <w:ilvl w:val="1"/>
        </w:numPr>
      </w:pPr>
      <w:r>
        <w:t xml:space="preserve">Отклонения от протокола</w:t>
      </w:r>
    </w:p>
    <w:p>
      <w:pPr>
        <w:pStyle w:val="FirstParagraph"/>
      </w:pPr>
      <w:r>
        <w:t xml:space="preserve">Отклонение от протокола — это случайное отклонение от утвержденного протокола исследования.</w:t>
      </w:r>
    </w:p>
    <w:p>
      <w:pPr>
        <w:pStyle w:val="7"/>
      </w:pPr>
      <w:r>
        <w:t xml:space="preserve">Исследователь или его представитель должен зафиксировать и объяснить любое отклонение от утвержденного протокола исследования. Исследователь может отклониться от протокола или внести в него изменения для устранения немедленных опасностей для участников исследования без предварительного одобрения IEC. Описание отклонений или изменений, а также причин и предлагаемых изменений протокола (если применимо), должно быть своевременно представлено:</w:t>
      </w:r>
    </w:p>
    <w:p>
      <w:pPr>
        <w:numPr>
          <w:numId w:val="1117"/>
          <w:ilvl w:val="0"/>
        </w:numPr>
      </w:pPr>
      <w:r>
        <w:t xml:space="preserve">Комитету по этике для рассмотрения и утверждения</w:t>
      </w:r>
    </w:p>
    <w:p>
      <w:pPr>
        <w:numPr>
          <w:numId w:val="1117"/>
          <w:ilvl w:val="0"/>
        </w:numPr>
      </w:pPr>
      <w:r>
        <w:t xml:space="preserve">Спонсору для утверждения</w:t>
      </w:r>
    </w:p>
    <w:p>
      <w:pPr>
        <w:numPr>
          <w:numId w:val="1117"/>
          <w:ilvl w:val="0"/>
        </w:numPr>
      </w:pPr>
      <w:r>
        <w:t xml:space="preserve">Соответствующим органам (при необходимости)</w:t>
      </w:r>
    </w:p>
    <w:p>
      <w:pPr>
        <w:pStyle w:val="FirstParagraph"/>
      </w:pPr>
      <w:r>
        <w:t xml:space="preserve">Исследователь должен своевременно сообщить в IEC:</w:t>
      </w:r>
    </w:p>
    <w:p>
      <w:pPr>
        <w:numPr>
          <w:numId w:val="1118"/>
          <w:ilvl w:val="0"/>
        </w:numPr>
      </w:pPr>
      <w:r>
        <w:t xml:space="preserve">о любых отклонениях от протокола или изменениях для устранения немедленных опасностей для участников исследования</w:t>
      </w:r>
    </w:p>
    <w:p>
      <w:pPr>
        <w:numPr>
          <w:numId w:val="1118"/>
          <w:ilvl w:val="0"/>
        </w:numPr>
      </w:pPr>
      <w:r>
        <w:t xml:space="preserve">о любых изменениях, увеличивающих риск для участников исследования и/или существенно влияющих на исследование</w:t>
      </w:r>
    </w:p>
    <w:p>
      <w:pPr>
        <w:numPr>
          <w:numId w:val="1118"/>
          <w:ilvl w:val="0"/>
        </w:numPr>
      </w:pPr>
      <w:r>
        <w:t xml:space="preserve">о любых неожиданных серьёзных нежелательных реакциях на лекарственные средства</w:t>
      </w:r>
    </w:p>
    <w:p>
      <w:pPr>
        <w:numPr>
          <w:numId w:val="1118"/>
          <w:ilvl w:val="0"/>
        </w:numPr>
      </w:pPr>
      <w:r>
        <w:t xml:space="preserve">о любых новых данных, которые могут указывать на повышенный риск для участников исследования или негативно влиять на исследование.</w:t>
      </w:r>
    </w:p>
    <w:p>
      <w:pPr>
        <w:pStyle w:val="BlockText"/>
      </w:pPr>
      <w:r>
        <w:t xml:space="preserve">Все отклонения от протокола должны быть описаны в итоговом отчете об исследовании.</w:t>
      </w:r>
    </w:p>
    <w:p>
      <w:pPr>
        <w:pStyle w:val="FirstParagraph"/>
      </w:pPr>
      <w:r>
        <w:t xml:space="preserve">Ввод данных в eCRF</w:t>
      </w:r>
    </w:p>
    <w:p>
      <w:pPr>
        <w:pStyle w:val="7"/>
      </w:pPr>
      <w:r>
        <w:t xml:space="preserve">Исследователь должен передать все данные, полученные в ходе клинического исследования, из исходной документации в eCRF. Любые данные, записанные в eCRF, должны отражаться в исходных медицинских записях участника в печатном виде или в виде заметок, сделанных исследователем или другим уполномоченным персоналом в клиническом центре. eCRF не должен содержать данных, не отраженных в исходной документации, за исключением данных, введенных непосредственно в eCRF (то есть без предварительного письменного или электронного фиксирования) и считающихся исходными данными (ИМТ, QTc(F), RR, рост, возраст, SAE). Руководство по заполнению eCRF будет рассматриваться исследователем во время встречи исследователя и/или посещения, инициированного. Если исследователь делегирует ответственность за заполнение eCRF другому персоналу исследовательского центра, имена, должности, подписи и инициалы этого персонала должны быть зафиксированы в журнале назначения персонала исследовательского центра и предоставлены спонсору или его представителю.</w:t>
      </w:r>
    </w:p>
    <w:p>
      <w:pPr>
        <w:pStyle w:val="7"/>
      </w:pPr>
      <w:r>
        <w:t xml:space="preserve">Если eCRF заполняется правильно и точно в соответствии с данными исходной документации, то монитор подтверждает точность данных в соответствии с SOP. Если возникают какие-либо вопросы относительно данных eCRF на этапе оценки данных eCRF, все разъяснения и изменения данных eCRF будут задокументированы путем создания запросов на разъяснение данных eCRF.</w:t>
      </w:r>
    </w:p>
    <w:p>
      <w:pPr>
        <w:pStyle w:val="7"/>
      </w:pPr>
      <w:r>
        <w:t xml:space="preserve">При внесении изменений в eCRF необходимо оставить документальное подтверждение, то есть данные до и после изменений, причину (если применимо), дату и инициалы лица, внесшего изменения должны быть видны. Завершенные eCRF должны быть подписаны исследователем.</w:t>
      </w:r>
    </w:p>
    <w:p>
      <w:pPr>
        <w:pStyle w:val="7"/>
      </w:pPr>
      <w:r>
        <w:t xml:space="preserve">Ведение записей</w:t>
      </w:r>
    </w:p>
    <w:p>
      <w:pPr>
        <w:pStyle w:val="7"/>
      </w:pPr>
      <w:r>
        <w:t xml:space="preserve">Исследователь должен хранить все оригинальные подписанные формы согласия и составить список участников исследования, включая их полное имя, присвоенный номер, инициалы, дату рождения, адрес и телефонный номер, чтобы обеспечить их последующую идентификацию (при необходимости). Эти документы не должны копироваться и передаваться спонсору или его представителям.</w:t>
      </w:r>
    </w:p>
    <w:p>
      <w:pPr>
        <w:pStyle w:val="7"/>
      </w:pPr>
      <w:r>
        <w:t xml:space="preserve">Комитет по мониторингу безопасности данных</w:t>
      </w:r>
    </w:p>
    <w:p>
      <w:pPr>
        <w:pStyle w:val="7"/>
      </w:pPr>
      <w:r>
        <w:t xml:space="preserve">Здоровые волонтеры будут постоянно включаться в группы с более высокой дозой после рассмотрения всех данных о безопасности и получения одобрения от Комитета по мониторингу безопасности данных (DSMB).</w:t>
      </w:r>
    </w:p>
    <w:p>
      <w:pPr>
        <w:pStyle w:val="7"/>
      </w:pPr>
      <w:r>
        <w:t xml:space="preserve">Цель DSMB — рассматривать представленные данные об АД (включая связь с SD, тяжесть, принятые меры и исходы), результаты лабораторных исследований, отклонения от протокола исследования и другую информацию о безопасности (по запросу); принимать решение о включении последующих групп и делать общий вывод о безопасности и переносимости SD.</w:t>
      </w:r>
    </w:p>
    <w:p>
      <w:pPr>
        <w:pStyle w:val="7"/>
      </w:pPr>
      <w:r>
        <w:t xml:space="preserve">Таблица 9. Критерии оценки безопасности АД (CTCAE v5.0 – 27 ноября 2017 г.), АД, связанные со лекарством исследования</w:t>
      </w:r>
    </w:p>
    <w:p>
      <w:pPr>
        <w:pStyle w:val="7"/>
      </w:pPr>
      <w:r>
        <w:t xml:space="preserve">&gt;</w:t>
      </w:r>
      <w:r>
        <w:t xml:space="preserve"> </w:t>
      </w:r>
      <w:r>
        <w:rPr>
          <w:b/>
        </w:rPr>
        <w:t xml:space="preserve">Отлично</w:t>
      </w:r>
      <w:r>
        <w:t xml:space="preserve"> </w:t>
      </w:r>
      <w:r>
        <w:t xml:space="preserve">| &gt;</w:t>
      </w:r>
      <w:r>
        <w:t xml:space="preserve"> </w:t>
      </w:r>
      <w:r>
        <w:rPr>
          <w:b/>
        </w:rPr>
        <w:t xml:space="preserve">Хорошо</w:t>
      </w:r>
      <w:r>
        <w:t xml:space="preserve"> </w:t>
      </w:r>
      <w:r>
        <w:t xml:space="preserve">| &gt;</w:t>
      </w:r>
      <w:r>
        <w:t xml:space="preserve"> </w:t>
      </w:r>
      <w:r>
        <w:rPr>
          <w:b/>
        </w:rPr>
        <w:t xml:space="preserve">Удовлетворительно</w:t>
      </w:r>
      <w:r>
        <w:t xml:space="preserve"> </w:t>
      </w:r>
      <w:r>
        <w:t xml:space="preserve">| &gt;</w:t>
      </w:r>
      <w:r>
        <w:t xml:space="preserve"> </w:t>
      </w:r>
      <w:r>
        <w:rPr>
          <w:b/>
        </w:rPr>
        <w:t xml:space="preserve">Неудовлетворительно/Окончание исследования</w:t>
      </w:r>
      <w:r>
        <w:t xml:space="preserve"> </w:t>
      </w:r>
      <w:r>
        <w:t xml:space="preserve">|</w:t>
      </w:r>
      <w:r>
        <w:br w:type="textWrapping"/>
      </w:r>
      <w:r>
        <w:t xml:space="preserve">&gt; Отсутствуют серьёзные нежелательные события (СНС) | &gt; Отсутствуют серьёзные нежелательные события (СНС) | &gt; Отсутствуют серьёзные нежелательные события (СНС) | &gt; Наличие СНС у как минимум одного волонтера в каждой группе, приведшей к смерти участника; постоянной или значительной инвалидности или недееспособности; или, если волонтер перешёл к фазе последующего наблюдения в амбулаторной клинике, к состоянию, требующему госпитализации (4-й уровень) |</w:t>
      </w:r>
      <w:r>
        <w:br w:type="textWrapping"/>
      </w:r>
      <w:r>
        <w:t xml:space="preserve">&gt; Легкие нежелательные события (1-й уровень) у любого числа волонтеров | &gt; Умеренные нежелательные события (2-й уровень) у не более чем 2 из 5 волонтеров | &gt; Умеренные нежелательные события (2-й уровень) у более чем 2 волонтеров в группе | &gt; Тяжёлые и потенциально опасные для жизни нежелательные события (3-й и 4-й уровни), за исключением изменений в лабораторных параметрах, не требующих терапии, у более чем 2 волонтеров в группе |</w:t>
      </w:r>
      <w:r>
        <w:br w:type="textWrapping"/>
      </w:r>
      <w:r>
        <w:t xml:space="preserve">                                                 | | &gt; Тяжёлые нежелательные события (3-й уровень), связанные с изменениями в лабораторных параметрах у более чем 2 волонтеров в группе | |</w:t>
      </w:r>
    </w:p>
    <w:p>
      <w:pPr>
        <w:pStyle w:val="7"/>
      </w:pPr>
      <w:r>
        <w:t xml:space="preserve">Критерии приемлемости для дозовой группы будут оценены и подтверждены DSMB на основе всех данных о переносимости препарата для каждого волонтера. Каждый случай раннего выбытия волонтера из исследования по причине непереносимости препарата (если таковой имеется) будет рассматриваться как часть общих данных для каждого волонтера в дозовой группе.</w:t>
      </w:r>
    </w:p>
    <w:p>
      <w:pPr>
        <w:pStyle w:val="7"/>
      </w:pPr>
      <w:r>
        <w:t xml:space="preserve">В случае неблагоприятного профиля безопасности, дозу можно будет скорректировать в последующих группах, что потребует внесения изменений в протокол. Дозу в последующих группах также можно будет изменить на основе оценки фармакокинетики, что также будет рассматриваться на встречах DSMB при наличии обработанных данных.</w:t>
      </w:r>
    </w:p>
    <w:p>
      <w:pPr>
        <w:pStyle w:val="7"/>
      </w:pPr>
      <w:r>
        <w:t xml:space="preserve">Решение о включении последующих групп будет принято Советом по мониторингу безопасности (DSMB) после тщательного анализа данных о безопасности, полученных до 7/21 дня после приема препарата в предыдущих группах. После каждой встречи DSMB будет предоставлен отчет о безопасности и переносимости препарата спонсору и ИЭК.</w:t>
      </w:r>
    </w:p>
    <w:p>
      <w:pPr>
        <w:pStyle w:val="7"/>
      </w:pPr>
      <w:r>
        <w:t xml:space="preserve">Совет по мониторингу безопасности будет оставаться независимым от спонсора, чтобы избежать возможных конфликтов интересов. Для обеспечения объективной оценки данных, в состав Совета будет включен ведущий исследователь. Подробное описание членов Совета, процедур и отчетности будет предоставлено в отдельном документе (Правила Совета по мониторингу безопасности).</w:t>
      </w:r>
    </w:p>
    <w:p>
      <w:pPr>
        <w:numPr>
          <w:numId w:val="1119"/>
          <w:ilvl w:val="0"/>
        </w:numPr>
      </w:pPr>
      <w:r>
        <w:t xml:space="preserve">Этические аспекты</w:t>
      </w:r>
    </w:p>
    <w:p>
      <w:pPr>
        <w:pStyle w:val="Compact"/>
        <w:numPr>
          <w:numId w:val="1120"/>
          <w:ilvl w:val="1"/>
        </w:numPr>
      </w:pPr>
      <w:r>
        <w:t xml:space="preserve">Независимый этический комитет</w:t>
      </w:r>
    </w:p>
    <w:p>
      <w:pPr>
        <w:pStyle w:val="FirstParagraph"/>
      </w:pPr>
      <w:r>
        <w:t xml:space="preserve">Перед началом клинического исследования необходимо получить письменное одобрение от Независимых этических комитетов (ИК) для всех мест проведения исследования в соответствии с рекомендациями Международной конференции по гармонизации (ICH) в области</w:t>
      </w:r>
      <w:r>
        <w:t xml:space="preserve"> </w:t>
      </w:r>
      <w:r>
        <w:t xml:space="preserve">“</w:t>
      </w:r>
      <w:r>
        <w:t xml:space="preserve">Хорошей клинической практики (GCP)</w:t>
      </w:r>
      <w:r>
        <w:t xml:space="preserve">”</w:t>
      </w:r>
      <w:r>
        <w:t xml:space="preserve">, применимых законах и нормативных требований. Для рассмотрения ИК необходимо предоставить следующие документы: протокол исследования и его изменения, информационный лист для пациента и форму согласия, письменные материалы, которые будут предоставлены участникам исследования, брошюру для исследователя, информацию о безопасности исследуемого препарата, информацию о выплатах и вознаграждениях участникам исследования, резюме исследователя и другие документы по запросу.</w:t>
      </w:r>
    </w:p>
    <w:p>
      <w:pPr>
        <w:pStyle w:val="7"/>
      </w:pPr>
      <w:r>
        <w:t xml:space="preserve">Спонсору необходимо предоставить список членов ИК и заявление о соответствии организации и ее деятельности требованиям</w:t>
      </w:r>
      <w:r>
        <w:t xml:space="preserve"> </w:t>
      </w:r>
      <w:r>
        <w:t xml:space="preserve">“</w:t>
      </w:r>
      <w:r>
        <w:t xml:space="preserve">Хорошей клинической практики (GCP)</w:t>
      </w:r>
      <w:r>
        <w:t xml:space="preserve">”</w:t>
      </w:r>
      <w:r>
        <w:t xml:space="preserve"> </w:t>
      </w:r>
      <w:r>
        <w:t xml:space="preserve">и нормативным требованиям.</w:t>
      </w:r>
    </w:p>
    <w:p>
      <w:pPr>
        <w:pStyle w:val="7"/>
      </w:pPr>
      <w:r>
        <w:t xml:space="preserve">Этические аспекты проведения клинического исследования</w:t>
      </w:r>
    </w:p>
    <w:p>
      <w:pPr>
        <w:pStyle w:val="7"/>
      </w:pPr>
      <w:r>
        <w:t xml:space="preserve">Процедуры, описанные в протоколе клинического исследования, касающиеся его проведения, оценки и документирования результатов, предназначены для обеспечения того, чтобы спонсор и исследователь соблюдали требования</w:t>
      </w:r>
      <w:r>
        <w:t xml:space="preserve"> </w:t>
      </w:r>
      <w:r>
        <w:t xml:space="preserve">“</w:t>
      </w:r>
      <w:r>
        <w:t xml:space="preserve">Хорошей клинической практики (GCP)</w:t>
      </w:r>
      <w:r>
        <w:t xml:space="preserve">”</w:t>
      </w:r>
      <w:r>
        <w:t xml:space="preserve"> </w:t>
      </w:r>
      <w:r>
        <w:t xml:space="preserve">Международной конференции по гармонизации (ICH). Данное клиническое исследование также будет проводиться в соответствии с применимыми законами и нормативными требованиями. Это включает в себя возможность проведения аудитов и проверок представителями спонсора и/или регулирующих органов.</w:t>
      </w:r>
    </w:p>
    <w:p>
      <w:pPr>
        <w:pStyle w:val="7"/>
      </w:pPr>
      <w:r>
        <w:t xml:space="preserve">Согласие на участие</w:t>
      </w:r>
    </w:p>
    <w:p>
      <w:pPr>
        <w:pStyle w:val="7"/>
      </w:pPr>
      <w:r>
        <w:t xml:space="preserve">Перед началом клинического исследования, исследователь обязан получить письменное одобрение ИК на форму Информационного листа для пациента и Форму согласия, а также любые другие письменные материалы, предоставленные волонтерам. Письменное одобрение ИК и одобренные документы должны храниться в документации исследования.</w:t>
      </w:r>
    </w:p>
    <w:p>
      <w:pPr>
        <w:pStyle w:val="7"/>
      </w:pPr>
      <w:r>
        <w:t xml:space="preserve">Процесс получения согласия должен соответствовать рекомендациям ICH GCP, принципам, изложенным в Декларации в Хельсинки, и применимым законам и нормативным требованиям. Форма согласия должна быть подписана и датирована пациентом до начала любых процедур, связанных с исследованием. Процесс получения согласия должен быть подробно описан в исходной документации, включая согласие волонтера на участие в данном клиническом исследовании и дату подписания формы согласия.</w:t>
      </w:r>
    </w:p>
    <w:p>
      <w:pPr>
        <w:pStyle w:val="7"/>
      </w:pPr>
      <w:r>
        <w:t xml:space="preserve">Форма информированного согласия будет дополнена и изменена в соответствии с появлением новой информации, которая может быть актуальна для участников исследования. Обновленные версии документа будут представлены в этическом комитете для рассмотрения. После получения письменного одобрения этического комитета, исследователь должен попросить участника подписать обновленную форму информированного согласия.</w:t>
      </w:r>
    </w:p>
    <w:p>
      <w:pPr>
        <w:pStyle w:val="7"/>
      </w:pPr>
      <w:r>
        <w:t xml:space="preserve">Финансирование</w:t>
      </w:r>
    </w:p>
    <w:p>
      <w:pPr>
        <w:pStyle w:val="7"/>
      </w:pPr>
      <w:r>
        <w:t xml:space="preserve">Исследование полностью финансируется компанией BetaRex LLC. Компания покроет все расходы, связанные с исследованием, включая государственные сборы, страховые взносы, оплату участникам исследования, исследователям и другим сторонам, участвующим в исследовании, а также предоставит лекарственное средство для исследования и другие материалы.</w:t>
      </w:r>
    </w:p>
    <w:p>
      <w:pPr>
        <w:pStyle w:val="7"/>
      </w:pPr>
      <w:r>
        <w:t xml:space="preserve">Участие в исследовании не требует каких-либо выплат от участников исследования. Все процедуры исследования, включая посещение участниками исследовательских центров, лабораторные и инструментальные исследования, будут проводиться бесплатно. Участие в этом исследовании предполагает получение компенсации волонтерами.</w:t>
      </w:r>
    </w:p>
    <w:p>
      <w:pPr>
        <w:pStyle w:val="7"/>
      </w:pPr>
      <w:r>
        <w:t xml:space="preserve">Процедура и условия компенсации, включая уменьшенные выплаты в случае ненадлежащего выполнения волонтером своих обязанностей (особенно в случае несоблюдения требуемого интервала участия в других клинических исследованиях или сокрытого использования лекарств), будут подробно описаны в соглашении об участии в клиническом исследовании или аналогичном документе.</w:t>
      </w:r>
    </w:p>
    <w:p>
      <w:pPr>
        <w:pStyle w:val="7"/>
      </w:pPr>
      <w:r>
        <w:t xml:space="preserve">Жизнь и здоровье участников исследования, участвующих в этом клиническом исследовании, будут застрахованы в соответствии с российским законодательством (статья 44 Федерального закона «О лекарственных средствах» № 61-ФЗ от 12 апреля 2010 г. и Постановление Правительства № 714 от 13 сентября 2010 г.). При подписании формы информированного согласия участникам исследования будут выданы страховые полисы для участников клинических исследований лекарственных средств.</w:t>
      </w:r>
    </w:p>
    <w:p>
      <w:pPr>
        <w:pStyle w:val="7"/>
      </w:pPr>
      <w:r>
        <w:t xml:space="preserve">ПЛАН ПУБЛИКАЦИИ</w:t>
      </w:r>
    </w:p>
    <w:p>
      <w:pPr>
        <w:pStyle w:val="7"/>
      </w:pPr>
      <w:r>
        <w:t xml:space="preserve">Исключительные права на результаты данного исследования принадлежат спонсору исследования. Любая информация, связанная с исследованием, включая результаты и данные, предоставленные спонсором, не может быть опубликована или передана третьим лицам без разрешения спонсора. Любой участник исследования должен предоставить спонсору окончательный отчет об исследовании и все данные, полученные в ходе исследования.</w:t>
      </w:r>
    </w:p>
    <w:p>
      <w:pPr>
        <w:pStyle w:val="7"/>
      </w:pPr>
      <w:r>
        <w:t xml:space="preserve">СВЕДения</w:t>
      </w:r>
    </w:p>
    <w:p>
      <w:pPr>
        <w:numPr>
          <w:numId w:val="1121"/>
          <w:ilvl w:val="0"/>
        </w:numPr>
      </w:pPr>
      <w:r>
        <w:t xml:space="preserve">Псориаз. Клинические рекомендации Министерства здравоохранения Российской Федерации. 2023.</w:t>
      </w:r>
    </w:p>
    <w:p>
      <w:pPr>
        <w:numPr>
          <w:numId w:val="1121"/>
          <w:ilvl w:val="0"/>
        </w:numPr>
      </w:pPr>
      <w:r>
        <w:t xml:space="preserve">Michalek IM, Loring B, John SM. Систематический обзор эпидемиологии псориаза во всем мире. J Eur Acad Dermatol Venereol 2017; 31:205.</w:t>
      </w:r>
    </w:p>
    <w:p>
      <w:pPr>
        <w:numPr>
          <w:numId w:val="1121"/>
          <w:ilvl w:val="0"/>
        </w:numPr>
      </w:pPr>
      <w:r>
        <w:t xml:space="preserve">López-Estebaranz JL, Sánchez-Carazo JL, Sulleiro S. Влияние семейной истории псориаза и возраста на сопутствующие заболевания и качество жизни у пациентов с умеренным или тяжелым псориазом: результаты исследования ARIZONA. J Dermatol 2016; 43:395.</w:t>
      </w:r>
    </w:p>
    <w:p>
      <w:pPr>
        <w:numPr>
          <w:numId w:val="1121"/>
          <w:ilvl w:val="0"/>
        </w:numPr>
      </w:pPr>
      <w:r>
        <w:t xml:space="preserve">Trembath RC, Clough RL, Rosbotham JL, et al. Выявление основного гетерозиготного локуса на хромосоме 6p и доказательства наличия дополнительных гетерозиготных локусов, выявленных в двухэтапном геномном поиске при псориазе. Hum Mol Genet 1997; 6:813.</w:t>
      </w:r>
    </w:p>
    <w:p>
      <w:pPr>
        <w:numPr>
          <w:numId w:val="1121"/>
          <w:ilvl w:val="0"/>
        </w:numPr>
      </w:pPr>
      <w:r>
        <w:t xml:space="preserve">Sagoo GS, Tazi-Ahnini R, Barker JW, et al. Мета-анализ исследований по выявлению генетической предрасположенности к псориазу показывает связь с хромосомами 6p21 и 4q28-q31 у бельгийской и китайской популяции Hans. J Invest Dermatol 2004; 122:1401.</w:t>
      </w:r>
    </w:p>
    <w:p>
      <w:pPr>
        <w:numPr>
          <w:numId w:val="1121"/>
          <w:ilvl w:val="0"/>
        </w:numPr>
      </w:pPr>
      <w:r>
        <w:t xml:space="preserve">Chen L, Tsai TF. HLA-Cw6 и псориаз. Br J Dermatol 2018; 178:854.</w:t>
      </w:r>
    </w:p>
    <w:p>
      <w:pPr>
        <w:numPr>
          <w:numId w:val="1121"/>
          <w:ilvl w:val="0"/>
        </w:numPr>
      </w:pPr>
      <w:r>
        <w:t xml:space="preserve">Alenius GM, Jidell E, Nordmark L, Rantapää Dahlqvist S. Проявления заболевания и антигены HLA при псориатическом артрите в северном Швеции. Clin Rheumatol 2002; 21:357.</w:t>
      </w:r>
    </w:p>
    <w:p>
      <w:pPr>
        <w:numPr>
          <w:numId w:val="1121"/>
          <w:ilvl w:val="0"/>
        </w:numPr>
      </w:pPr>
      <w:r>
        <w:t xml:space="preserve">Nair RP, Duffin KC, Helms C, et al. Генетический скрининг выявляет связь псориаза с путями IL-23 и NF-kappaB. Nat Genet 2009; 41:199.</w:t>
      </w:r>
    </w:p>
    <w:p>
      <w:pPr>
        <w:numPr>
          <w:numId w:val="1121"/>
          <w:ilvl w:val="0"/>
        </w:numPr>
      </w:pPr>
      <w:r>
        <w:t xml:space="preserve">Cargill M, Schrodi SJ, Chang M, et al. Крупномасштадное генетическое исследование подтверждает связь IL12B и приводит к выявлению IL23R в качестве генов, связанных с псориазом. Am J Hum Genet 2007; 80:273.</w:t>
      </w:r>
    </w:p>
    <w:p>
      <w:pPr>
        <w:numPr>
          <w:numId w:val="1121"/>
          <w:ilvl w:val="0"/>
        </w:numPr>
      </w:pPr>
      <w:r>
        <w:t xml:space="preserve">Garcia VE, Chang M, Brandon R, et al. Детальная генетическая характеристика рецептора интерлейкина-23 при псориазе. Genes Immun 2008; 9:546.</w:t>
      </w:r>
    </w:p>
    <w:p>
      <w:pPr>
        <w:numPr>
          <w:numId w:val="1121"/>
          <w:ilvl w:val="0"/>
        </w:numPr>
      </w:pPr>
      <w:r>
        <w:t xml:space="preserve">Hollox EJ, Huffmeier U, Zeeuwen PL, et al. Псориаз связан с увеличенным числом копий гена бета-дефензина. Nat Genet 2008; 40:23.</w:t>
      </w:r>
    </w:p>
    <w:p>
      <w:pPr>
        <w:numPr>
          <w:numId w:val="1121"/>
          <w:ilvl w:val="0"/>
        </w:numPr>
      </w:pPr>
      <w:r>
        <w:t xml:space="preserve">Sundberg JP, Pratt CH, Silva KA, и др. Модификация p.E138A при Card14 приводит к псориаформному воспалению кожи и указывает на генетические модификаторы, влияющие на тяжесть заболевания. Exp Mol Pathol 2019; 110:104286.</w:t>
      </w:r>
    </w:p>
    <w:p>
      <w:pPr>
        <w:numPr>
          <w:numId w:val="1121"/>
          <w:ilvl w:val="0"/>
        </w:numPr>
      </w:pPr>
      <w:r>
        <w:t xml:space="preserve">de Cid R, Riveira-Munoz E, Zeeuwen PL, и др. Удаление генов поздней кортикозной оболочки LCE3B и LCE3C как фактор восприимчивости к псориазу. Nat Genet 2009; 41:211.</w:t>
      </w:r>
    </w:p>
    <w:p>
      <w:pPr>
        <w:numPr>
          <w:numId w:val="1121"/>
          <w:ilvl w:val="0"/>
        </w:numPr>
      </w:pPr>
      <w:r>
        <w:t xml:space="preserve">Steven R Feldman, MD, PhD. Лечение псориаза у взрослых. UpToDate. https://www-uptodate-com.kaplanmc.idm.oclc.org/contents/treatment-of-psoriasis-in- adults?search=psoriasis&amp;source=search_result&amp;selectedTitle=2%7E150&amp;usage_type=default&amp;d isplay_rank=2</w:t>
      </w:r>
    </w:p>
    <w:p>
      <w:pPr>
        <w:numPr>
          <w:numId w:val="1121"/>
          <w:ilvl w:val="0"/>
        </w:numPr>
      </w:pPr>
      <w:r>
        <w:t xml:space="preserve">Chen X, Yang M, Cheng Y, и др. Фототерапия на узкой ультрафиолетовой B длине волны против широкой ультрафиолетовой B длины волны или фотохимиотерапия с использованием псоралена и ультрафиолетовой А длины волны для псориаза. Cochrane Database Syst Rev 2013; :CD009481.</w:t>
      </w:r>
    </w:p>
    <w:p>
      <w:pPr>
        <w:numPr>
          <w:numId w:val="1121"/>
          <w:ilvl w:val="0"/>
        </w:numPr>
      </w:pPr>
      <w:r>
        <w:t xml:space="preserve">Menter A, Gelfand JM, Connor C, Armstrong AW, Cordoro KM, Davis DMR, Elewski BE, Gordon KB, Gottlieb AB, Kaplan DH, Kavanaugh A, Kiselica M, Kivelevitch D, Korman NJ, Kroshinsky D, Lebwohl M, Leonardi CL, Lichten J, Lim HW, Mehta NN, Paller AS, Parra SL, Pathy AL, Prater EF, Rahimi RS, Rupani RN, Siegel M, Stoff B, Strober BE, Tapper EB, Wong EB, Wu JJ, Hariharan V, Elmets CA. Совместные рекомендации Американской академии дерматологии и Национального фонда по псориазу для лечения псориаза с системными небиологическими терапиями. J Am Acad Dermatol. 2020 Jun;82(6):1445-1486. doi: 10.1016/j.jaad.2020.02.044.</w:t>
      </w:r>
    </w:p>
    <w:p>
      <w:pPr>
        <w:numPr>
          <w:numId w:val="1121"/>
          <w:ilvl w:val="0"/>
        </w:numPr>
      </w:pPr>
      <w:r>
        <w:t xml:space="preserve">Menter A, Strober BE, Kaplan DH, Kivelevitch D, Prater EF, Stoff B, Armstrong AW, Connor C, Cordoro KM, Davis DMR, Elewski BE, Gelfand JM, Gordon KB, Gottlieb AB, Kavanaugh A, Kiselica M, Korman NJ, Kroshinsky D, Lebwohl M, Leonardi CL, Lichten J, Lim HW, Mehta NN, Paller AS, Parra SL, Pathy AL, Rupani RN, Siegel M, Wong EB, Wu JJ, Hariharan V, Elmets CA. Совместные рекомендации ААД-НПФ для лечения и терапии псориаза с использованием биологических препаратов. J Am Acad Dermatol. 2019 Apr;80(4):1029-1072. doi: 10.1016/j.jaad.2018.11.057.</w:t>
      </w:r>
    </w:p>
    <w:p>
      <w:pPr>
        <w:numPr>
          <w:numId w:val="1121"/>
          <w:ilvl w:val="0"/>
        </w:numPr>
      </w:pPr>
      <w:r>
        <w:t xml:space="preserve">Gottlieb AB, Kalb RE, Langley RG, и др. Наблюдения по безопасности у 12095 пациентов с псориазом, включенных в международную регистрацию (PSOLAR): опыт применения инфликсимаба и других системных и биологических терапий. J Drugs Dermatol 2014; 13:1441.</w:t>
      </w:r>
    </w:p>
    <w:p>
      <w:pPr>
        <w:numPr>
          <w:numId w:val="1121"/>
          <w:ilvl w:val="0"/>
        </w:numPr>
      </w:pPr>
      <w:r>
        <w:t xml:space="preserve">Hawkes JE, Chan TC, Krueger JG. Патогенез псориаза и разработка новых таргетированных иммунных терапий. J Allergy Clin Immunol. 2017;140(3):645–653. doi: 10.1016/j.jaci.2017.07.004</w:t>
      </w:r>
    </w:p>
    <w:p>
      <w:pPr>
        <w:numPr>
          <w:numId w:val="1121"/>
          <w:ilvl w:val="0"/>
        </w:numPr>
      </w:pPr>
      <w:r>
        <w:t xml:space="preserve">Burke JR, Cheng L, Gillooly KM, и др. Автоиммунные пути у мышей и человека блокируются фармакологической стабилизацией домена TYK2, являющегося псевокиназой. Sci Transl Med. 2019;11:502. doi: 10.1126/scitranslmed.aaw1736</w:t>
      </w:r>
    </w:p>
    <w:p>
      <w:pPr>
        <w:numPr>
          <w:numId w:val="1121"/>
          <w:ilvl w:val="0"/>
        </w:numPr>
      </w:pPr>
      <w:r>
        <w:t xml:space="preserve">Trivella DB, Ferreira-Júnior JR, Dumoutier L, и др. Структура и функция интерлейкина-22 и других членов семейства интерлейкина-10. Cell Mol Life Sci. 2010;67(17):2909–2935. doi: 10.1007/s00018-010-0380-0</w:t>
      </w:r>
    </w:p>
    <w:p>
      <w:pPr>
        <w:numPr>
          <w:numId w:val="1121"/>
          <w:ilvl w:val="0"/>
        </w:numPr>
      </w:pPr>
      <w:r>
        <w:t xml:space="preserve">Hawkes JE, Yan BY, Chan TC, Krueger JG. Открытие сигнального пути IL-23/IL-17 и лечение псориаза. J Immunol. 2018;201(6):1605–1613.</w:t>
      </w:r>
    </w:p>
    <w:p>
      <w:pPr>
        <w:numPr>
          <w:numId w:val="1121"/>
          <w:ilvl w:val="0"/>
        </w:numPr>
      </w:pPr>
      <w:r>
        <w:t xml:space="preserve">Baker KF, Isaacs JD. Новые терапевтические подходы для лечения иммуноопосредованных воспалительных заболеваний: что мы можем узнать об их использовании при ревматоидном артрите, спондилоартрите, системной красной волчанке, псориазе, болезни Крона и язвенном колите? Ann Rheum Dis. 2018;77(2):175–187.</w:t>
      </w:r>
    </w:p>
    <w:p>
      <w:pPr>
        <w:numPr>
          <w:numId w:val="1121"/>
          <w:ilvl w:val="0"/>
        </w:numPr>
      </w:pPr>
      <w:r>
        <w:t xml:space="preserve">Ghoreschi K, Jesson MI, Li X, и др. Модуляция инной и адаптивной иммунной системы тофацитинибом (CP-690,550). J Immunol. 2011;186(7):4234–4243. doi: 10.4049/jimmunol.1003668</w:t>
      </w:r>
    </w:p>
    <w:p>
      <w:pPr>
        <w:numPr>
          <w:numId w:val="1121"/>
          <w:ilvl w:val="0"/>
        </w:numPr>
      </w:pPr>
      <w:r>
        <w:t xml:space="preserve">Chimalakonda A, Burke J, Cheng L, и др. Профиль селективности ингибитора тирозинкиназы 2 деукравацитина по сравнению с ингибиторами Janus Kinase 1/2/3. Dermatol Ther. 2021;11(5):1763–1776. doi: 10.1007/s13555-021-00596-8</w:t>
      </w:r>
    </w:p>
    <w:p>
      <w:pPr>
        <w:numPr>
          <w:numId w:val="1121"/>
          <w:ilvl w:val="0"/>
        </w:numPr>
      </w:pPr>
      <w:r>
        <w:t xml:space="preserve">Sotyktu [пакет инструкций]. Принстон, штат Нью-Джерси, США: Bristol-Myers Squibb Company, 2022.</w:t>
      </w:r>
    </w:p>
    <w:p>
      <w:pPr>
        <w:numPr>
          <w:numId w:val="1121"/>
          <w:ilvl w:val="0"/>
        </w:numPr>
      </w:pPr>
      <w:r>
        <w:t xml:space="preserve">Папп К, Гордон К, Тачи Д, Морита А, Гудерхэм М, Фоли П и др. Фаза 2-е исследование селективной ингибиции тирозинкиназы 2 при псориазе. N Engl J Med. 2018;379(14):1313–1321.</w:t>
      </w:r>
    </w:p>
    <w:p>
      <w:pPr>
        <w:numPr>
          <w:numId w:val="1121"/>
          <w:ilvl w:val="0"/>
        </w:numPr>
      </w:pPr>
      <w:r>
        <w:t xml:space="preserve">Армстронг А.В., Гудерхэм М, Уоррен Р.Б., Папп К.А., Стробер Б, Тачи Д, Морита А, Шэпиетоуски Дж.К., Имафуку С, Колстон Э, Трауп Дж, Кунду С, Шонфелд С, Линаберри М, Банерджи С, Блаувэлт А. Деукравацитин и плацебо и апремиласт при умеренном или тяжелом псориазе: результаты эффективности и безопасности из рандомизированного, двойного слепого, плацебо-контролируемого фазы 3-го POETYK PSO-1 исследования, продолжавшегося 52 недели. J Am Acad Dermatol. 2023 Янв.;88(1):29-39. doi: 10.1016/j.jaad.2022.07.002.</w:t>
      </w:r>
    </w:p>
    <w:p>
      <w:pPr>
        <w:numPr>
          <w:numId w:val="1121"/>
          <w:ilvl w:val="0"/>
        </w:numPr>
      </w:pPr>
      <w:r>
        <w:t xml:space="preserve">Стробер Б, Тачи Д, Софен Х, Кирик Л, Гордон К.Б., Фоли П, Рич П, Пол К, Бейгл Дж, Колстон Э, Трауп Дж, Кунду С, Секаран С, Линаберри М, Банерджи С, Папп К.А. Деукравацитин и плацебо и апремиласт при умеренном или тяжелом псориазе: результаты эффективности и безопасности из рандомизированного, двойного слепого, фазы 3-го POETYK PSO-1 исследования, продолжавшегося 52 недели. J Am Acad Dermatol. 2023 Янв.;88(1):40-51. doi: 10.1016/j.jaad.2022.08.061.</w:t>
      </w:r>
    </w:p>
    <w:p>
      <w:pPr>
        <w:numPr>
          <w:numId w:val="1121"/>
          <w:ilvl w:val="0"/>
        </w:numPr>
      </w:pPr>
      <w:r>
        <w:t xml:space="preserve">Информационное письмо для исследователя. Препарат для исследования L08-0623. BetaRex LLC, версия 2.0, 6 июня 2024 г.</w:t>
      </w:r>
    </w:p>
    <w:p>
      <w:pPr>
        <w:numPr>
          <w:numId w:val="1121"/>
          <w:ilvl w:val="0"/>
        </w:numPr>
      </w:pPr>
      <w:r>
        <w:t xml:space="preserve">Руководство EMA по принципам принятия регуляторных решений в рамках подходов 3R (замена, сокращение, улучшение) [цифровой ресурс]. URL: www.ema.europa.eu/en/documents/scientific-guideline/guideline-principles-regulatory- acceptance-3rs-replacement-reduction-refinement-testing-approaches_en.pdf.</w:t>
      </w:r>
    </w:p>
    <w:p>
      <w:pPr>
        <w:numPr>
          <w:numId w:val="1121"/>
          <w:ilvl w:val="0"/>
        </w:numPr>
      </w:pPr>
      <w:r>
        <w:t xml:space="preserve">Руководство по предварительным исследованиям лекарственных средств. Под редакцией А.Н. Мироновой. М, «Гриф и К», 2012, 944 стр.</w:t>
      </w:r>
    </w:p>
    <w:p>
      <w:pPr>
        <w:numPr>
          <w:numId w:val="1121"/>
          <w:ilvl w:val="0"/>
        </w:numPr>
      </w:pPr>
      <w:r>
        <w:t xml:space="preserve">Буен К, Бьеррум О.Д., Томсен М.С. Как проводятся первые в человеке исследования: Обзор фаз I-го дозирования в клинических испытаниях на здоровых добровольцах, опубликованных между 1995 и 2004 годами. Journal of Clinical Pharmacology 2005;45:1123-1136.</w:t>
      </w:r>
    </w:p>
    <w:p>
      <w:pPr>
        <w:numPr>
          <w:numId w:val="1121"/>
          <w:ilvl w:val="0"/>
        </w:numPr>
      </w:pPr>
      <w:r>
        <w:t xml:space="preserve">Интегрированное дополнение к ICH E6 (R1): Руководство по хорошей клинической практике E6 (R2) от 9 ноября 2016 г.;</w:t>
      </w:r>
    </w:p>
    <w:p>
      <w:pPr>
        <w:numPr>
          <w:numId w:val="1121"/>
          <w:ilvl w:val="0"/>
        </w:numPr>
      </w:pPr>
      <w:r>
        <w:t xml:space="preserve">Руководство Eurasian Economic Union по хорошей клинической практике, одобренное Решением Совета Евразийской экономической комиссии № 79 от 3 ноября 2016 г.</w:t>
      </w:r>
    </w:p>
    <w:p>
      <w:pPr>
        <w:numPr>
          <w:numId w:val="1121"/>
          <w:ilvl w:val="0"/>
        </w:numPr>
      </w:pPr>
      <w:r>
        <w:t xml:space="preserve">Декларация «Хельсинкская» Всемирной медицинской ассоциации: Этические принципы клинических исследований на людях. Форте, Бразилия, октябрь 2013 г.</w:t>
      </w:r>
    </w:p>
    <w:p>
      <w:pPr>
        <w:numPr>
          <w:numId w:val="1121"/>
          <w:ilvl w:val="0"/>
        </w:numPr>
      </w:pPr>
      <w:r>
        <w:t xml:space="preserve">Т. Киселева и др. Сигнализация через путь JAK/STAT, последние достижения и будущие вызовы. Gene 2002, 285(1-2): 1-24.</w:t>
      </w:r>
    </w:p>
    <w:p>
      <w:pPr>
        <w:pStyle w:val="FirstParagraph"/>
      </w:pPr>
      <w:r>
        <w:t xml:space="preserve">Самарина, Е.И., Лилеева, Е.Г., Рыбачкова, Ю.В. Фармакоэпидемиологические и фармакоэкономические аспекты лечения псориаза // Medical Ethics. 2024. No. 1. P. 30–37. DOI: 10.24075/medet.2024.001</w:t>
      </w:r>
    </w:p>
    <w:p>
      <w:pPr>
        <w:numPr>
          <w:numId w:val="1122"/>
          <w:ilvl w:val="0"/>
        </w:numPr>
      </w:pPr>
      <w:r>
        <w:t xml:space="preserve">Руководство по разработке стратегий выявления и смягчения рисков для первых в человеке и ранних клинических испытаний с использованием исследовательских лекарственных средств. 20 июля 2017 EMEA/CHMP/SWP/28367/07 Rev. 1 Committee for Medicinal Products for Human Use (CHMP)]</w:t>
      </w:r>
    </w:p>
    <w:p>
      <w:pPr>
        <w:numPr>
          <w:numId w:val="1122"/>
          <w:ilvl w:val="0"/>
        </w:numPr>
      </w:pPr>
      <w:r>
        <w:t xml:space="preserve">Catlett IM, Aras U, Hansen L, et al. Первое в человеке исследование деукравацитина: селективный, мощный, аллостерический небольшой молекулярный ингибитор тирозинкиназы 2. Clin Transl Sci. 2023;16:151-164. doi:10.1111/cts.13435</w:t>
      </w:r>
    </w:p>
    <w:sectPr>
      <w:headerReference r:id="rId11" w:type="default"/>
      <w:footerReference r:id="rId15" w:type="default"/>
      <w:type w:val="continuous"/>
      <w:pgSz w:w="11910" w:h="16840"/>
      <w:pgMar w:top="1320" w:right="566" w:bottom="920" w:left="1559" w:header="730" w:footer="739" w:gutter="0"/>
      <w:pgNumType w:start="1"/>
      <w:cols w:space="720" w:num="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auto"/>
    <w:pitch w:val="default"/>
    <w:sig w:usb0="E0000AFF" w:usb1="00007843" w:usb2="00000001" w:usb3="00000000" w:csb0="400001BF" w:csb1="DFF70000"/>
  </w:font>
  <w:font w:name="宋体">
    <w:panose1 w:val="02010600030101010101"/>
    <w:charset w:val="50"/>
    <w:family w:val="auto"/>
    <w:pitch w:val="default"/>
    <w:sig w:usb0="00000003" w:usb1="288F0000" w:usb2="00000006" w:usb3="00000000" w:csb0="00040001" w:csb1="00000000"/>
  </w:font>
  <w:font w:name="Arial">
    <w:panose1 w:val="020B0604020202090204"/>
    <w:charset w:val="00"/>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panose1 w:val="020F0702030404030204"/>
    <w:charset w:val="86"/>
    <w:family w:val="swiss"/>
    <w:pitch w:val="default"/>
    <w:sig w:usb0="E10002FF" w:usb1="4000ACFF" w:usb2="00000009" w:usb3="00000000" w:csb0="2000019F" w:csb1="00000000"/>
  </w:font>
  <w:font w:name="Calibri">
    <w:panose1 w:val="020F0702030404030204"/>
    <w:charset w:val="CC"/>
    <w:family w:val="swiss"/>
    <w:pitch w:val="default"/>
    <w:sig w:usb0="E10002FF" w:usb1="4000ACFF" w:usb2="00000009" w:usb3="00000000" w:csb0="2000019F" w:csb1="00000000"/>
  </w:font>
  <w:font w:name="Calibri">
    <w:panose1 w:val="020F0702030404030204"/>
    <w:charset w:val="00"/>
    <w:family w:val="auto"/>
    <w:pitch w:val="default"/>
    <w:sig w:usb0="E10002FF" w:usb1="4000ACFF" w:usb2="00000009" w:usb3="00000000" w:csb0="2000019F" w:csb1="00000000"/>
  </w:font>
  <w:font w:name="Wingdings">
    <w:panose1 w:val="05000000000000000000"/>
    <w:charset w:val="02"/>
    <w:family w:val="auto"/>
    <w:pitch w:val="default"/>
    <w:sig w:usb0="00000000" w:usb1="00000000" w:usb2="00000000" w:usb3="00000000" w:csb0="8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Hiragino Sans GB">
    <w:panose1 w:val="020B0300000000000000"/>
    <w:charset w:val="86"/>
    <w:family w:val="auto"/>
    <w:pitch w:val="default"/>
    <w:sig w:usb0="A00002BF" w:usb1="1ACF7CFA" w:usb2="00000016" w:usb3="00000000" w:csb0="00060007" w:csb1="00000000"/>
  </w:font>
  <w:font w:name="Arial Unicode MS">
    <w:panose1 w:val="020B0604020202020204"/>
    <w:charset w:val="80"/>
    <w:family w:val="swiss"/>
    <w:pitch w:val="default"/>
    <w:sig w:usb0="FFFFFFFF" w:usb1="E9FFFFFF" w:usb2="0000003F" w:usb3="00000000" w:csb0="603F01FF" w:csb1="FFFF0000"/>
  </w:font>
  <w:font w:name="Times New Roman Regular">
    <w:panose1 w:val="020207030605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TTE12574B0t00">
    <w:altName w:val="Hiragino Sans"/>
    <w:panose1 w:val="00000000000000000000"/>
    <w:charset w:val="80"/>
    <w:family w:val="auto"/>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Symbol">
    <w:altName w:val="Kingsoft Sign"/>
    <w:panose1 w:val="00000000000000000000"/>
    <w:charset w:val="00"/>
    <w:family w:val="auto"/>
    <w:pitch w:val="default"/>
    <w:sig w:usb0="00000000" w:usb1="00000000" w:usb2="00000000" w:usb3="00000000" w:csb0="00000000" w:csb1="00000000"/>
  </w:font>
  <w:font w:name="Times New Roman Bold">
    <w:panose1 w:val="02020703060505090304"/>
    <w:charset w:val="00"/>
    <w:family w:val="auto"/>
    <w:pitch w:val="default"/>
    <w:sig w:usb0="E0000AFF" w:usb1="00007843" w:usb2="00000001" w:usb3="00000000" w:csb0="400001BF" w:csb1="DFF70000"/>
  </w:font>
  <w:font w:name="SimSun">
    <w:panose1 w:val="02010600030101010101"/>
    <w:charset w:val="86"/>
    <w:family w:val="auto"/>
    <w:pitch w:val="default"/>
    <w:sig w:usb0="00000003" w:usb1="288F0000" w:usb2="00000006"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A57FE">
    <w:pPr>
      <w:pStyle w:val="7"/>
      <w:spacing w:before="0" w:line="14" w:lineRule="auto"/>
      <w:ind w:left="0" w:firstLine="0"/>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1068070</wp:posOffset>
              </wp:positionH>
              <wp:positionV relativeFrom="page">
                <wp:posOffset>10083165</wp:posOffset>
              </wp:positionV>
              <wp:extent cx="1356995"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1356995" cy="165735"/>
                      </a:xfrm>
                      <a:prstGeom prst="rect">
                        <a:avLst/>
                      </a:prstGeom>
                    </wps:spPr>
                    <wps:txbx>
                      <w:txbxContent>
                        <w:p w14:paraId="0253B58E">
                          <w:pPr>
                            <w:spacing w:before="10"/>
                            <w:ind w:left="20"/>
                            <w:rPr>
                              <w:rFonts w:hint="default"/>
                              <w:sz w:val="20"/>
                              <w:lang w:val="en-US"/>
                            </w:rPr>
                          </w:pPr>
                          <w:r>
                            <w:rPr>
                              <w:spacing w:val="-2"/>
                              <w:sz w:val="20"/>
                              <w:lang w:val="en-US"/>
                            </w:rPr>
                            <w:t>CONFIDENTIAL</w:t>
                          </w:r>
                        </w:p>
                      </w:txbxContent>
                    </wps:txbx>
                    <wps:bodyPr wrap="square" lIns="0" tIns="0" rIns="0" bIns="0" rtlCol="0">
                      <a:noAutofit/>
                    </wps:bodyPr>
                  </wps:wsp>
                </a:graphicData>
              </a:graphic>
            </wp:anchor>
          </w:drawing>
        </mc:Choice>
        <mc:Fallback>
          <w:pict>
            <v:shape id="Textbox 3" o:spid="_x0000_s1026" o:spt="202" type="#_x0000_t202" style="position:absolute;left:0pt;margin-left:84.1pt;margin-top:793.95pt;height:13.05pt;width:106.85pt;mso-position-horizontal-relative:page;mso-position-vertical-relative:page;z-index:-251656192;mso-width-relative:page;mso-height-relative:page;" filled="f" stroked="f" coordsize="21600,21600" o:gfxdata="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ANqcHZAAAADQEAAA8AAAAAAAAAAQAgAAAAIgAAAGRycy9kb3ducmV2LnhtbFBLAQIUABQAAAAI&#10;AIdO4kCW7bjnswEAAHQDAAAOAAAAAAAAAAEAIAAAACgBAABkcnMvZTJvRG9jLnhtbFBLBQYAAAAA&#10;BgAGAFkBAABNBQAAAAA=&#10;">
              <v:fill on="f" focussize="0,0"/>
              <v:stroke on="f"/>
              <v:imagedata o:title=""/>
              <o:lock v:ext="edit" aspectratio="f"/>
              <v:textbox inset="0mm,0mm,0mm,0mm">
                <w:txbxContent>
                  <w:p w14:paraId="0253B58E">
                    <w:pPr>
                      <w:spacing w:before="10"/>
                      <w:ind w:left="20"/>
                      <w:rPr>
                        <w:rFonts w:hint="default"/>
                        <w:sz w:val="20"/>
                        <w:lang w:val="en-US"/>
                      </w:rPr>
                    </w:pPr>
                    <w:r>
                      <w:rPr>
                        <w:spacing w:val="-2"/>
                        <w:sz w:val="20"/>
                        <w:lang w:val="en-US"/>
                      </w:rPr>
                      <w:t>CONFIDENTIAL</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5732145</wp:posOffset>
              </wp:positionH>
              <wp:positionV relativeFrom="page">
                <wp:posOffset>10083165</wp:posOffset>
              </wp:positionV>
              <wp:extent cx="1076960"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1076960" cy="165735"/>
                      </a:xfrm>
                      <a:prstGeom prst="rect">
                        <a:avLst/>
                      </a:prstGeom>
                    </wps:spPr>
                    <wps:txbx>
                      <w:txbxContent>
                        <w:p w14:paraId="2D06635C">
                          <w:pPr>
                            <w:spacing w:before="10"/>
                            <w:ind w:left="20"/>
                            <w:rPr>
                              <w:sz w:val="20"/>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5"/>
                              <w:sz w:val="20"/>
                            </w:rPr>
                            <w:t xml:space="preserve"> </w:t>
                          </w:r>
                          <w:r>
                            <w:rPr>
                              <w:rFonts w:hint="default"/>
                              <w:spacing w:val="-5"/>
                              <w:sz w:val="20"/>
                              <w:lang w:val="en-US"/>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101</w:t>
                          </w:r>
                          <w:r>
                            <w:rPr>
                              <w:spacing w:val="-5"/>
                              <w:sz w:val="20"/>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451.35pt;margin-top:793.95pt;height:13.05pt;width:84.8pt;mso-position-horizontal-relative:page;mso-position-vertical-relative:page;z-index:-251655168;mso-width-relative:page;mso-height-relative:page;" filled="f" stroked="f" coordsize="21600,21600" o:gfxdata="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7OEJNwAAAAOAQAADwAAAAAAAAABACAAAAAiAAAAZHJzL2Rvd25yZXYueG1sUEsBAhQAFAAA&#10;AAgAh07iQMIrY/yyAQAAdAMAAA4AAAAAAAAAAQAgAAAAKwEAAGRycy9lMm9Eb2MueG1sUEsFBgAA&#10;AAAGAAYAWQEAAE8FAAAAAA==&#10;">
              <v:fill on="f" focussize="0,0"/>
              <v:stroke on="f"/>
              <v:imagedata o:title=""/>
              <o:lock v:ext="edit" aspectratio="f"/>
              <v:textbox inset="0mm,0mm,0mm,0mm">
                <w:txbxContent>
                  <w:p w14:paraId="2D06635C">
                    <w:pPr>
                      <w:spacing w:before="10"/>
                      <w:ind w:left="20"/>
                      <w:rPr>
                        <w:sz w:val="20"/>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5"/>
                        <w:sz w:val="20"/>
                      </w:rPr>
                      <w:t xml:space="preserve"> </w:t>
                    </w:r>
                    <w:r>
                      <w:rPr>
                        <w:rFonts w:hint="default"/>
                        <w:spacing w:val="-5"/>
                        <w:sz w:val="20"/>
                        <w:lang w:val="en-US"/>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101</w:t>
                    </w:r>
                    <w:r>
                      <w:rPr>
                        <w:spacing w:val="-5"/>
                        <w:sz w:val="2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A1DC4">
    <w:pPr>
      <w:pStyle w:val="7"/>
      <w:spacing w:before="0" w:line="14" w:lineRule="auto"/>
      <w:ind w:left="0" w:firstLine="0"/>
      <w:jc w:val="left"/>
      <w:rPr>
        <w:sz w:val="20"/>
      </w:rPr>
    </w:pPr>
    <w:r>
      <w:rPr>
        <w:sz w:val="20"/>
      </w:rPr>
      <mc:AlternateContent>
        <mc:Choice Requires="wps">
          <w:drawing>
            <wp:anchor distT="0" distB="0" distL="0" distR="0" simplePos="0" relativeHeight="251662336" behindDoc="1" locked="0" layoutInCell="1" allowOverlap="1">
              <wp:simplePos x="0" y="0"/>
              <wp:positionH relativeFrom="page">
                <wp:posOffset>706120</wp:posOffset>
              </wp:positionH>
              <wp:positionV relativeFrom="page">
                <wp:posOffset>6951345</wp:posOffset>
              </wp:positionV>
              <wp:extent cx="1356995" cy="165735"/>
              <wp:effectExtent l="0" t="0" r="0" b="0"/>
              <wp:wrapNone/>
              <wp:docPr id="12" name="Textbox 12"/>
              <wp:cNvGraphicFramePr/>
              <a:graphic xmlns:a="http://schemas.openxmlformats.org/drawingml/2006/main">
                <a:graphicData uri="http://schemas.microsoft.com/office/word/2010/wordprocessingShape">
                  <wps:wsp>
                    <wps:cNvSpPr txBox="1"/>
                    <wps:spPr>
                      <a:xfrm>
                        <a:off x="0" y="0"/>
                        <a:ext cx="1356995" cy="165735"/>
                      </a:xfrm>
                      <a:prstGeom prst="rect">
                        <a:avLst/>
                      </a:prstGeom>
                    </wps:spPr>
                    <wps:txbx>
                      <w:txbxContent>
                        <w:p w14:paraId="7265DFB3">
                          <w:pPr>
                            <w:spacing w:before="10"/>
                            <w:ind w:left="20"/>
                            <w:rPr>
                              <w:rFonts w:hint="default"/>
                              <w:sz w:val="20"/>
                              <w:lang w:val="en-US"/>
                            </w:rPr>
                          </w:pPr>
                          <w:r>
                            <w:rPr>
                              <w:spacing w:val="-2"/>
                              <w:sz w:val="20"/>
                              <w:lang w:val="en-US"/>
                            </w:rPr>
                            <w:t>CONFIDENTIAL</w:t>
                          </w:r>
                        </w:p>
                      </w:txbxContent>
                    </wps:txbx>
                    <wps:bodyPr wrap="square" lIns="0" tIns="0" rIns="0" bIns="0" rtlCol="0">
                      <a:noAutofit/>
                    </wps:bodyPr>
                  </wps:wsp>
                </a:graphicData>
              </a:graphic>
            </wp:anchor>
          </w:drawing>
        </mc:Choice>
        <mc:Fallback>
          <w:pict>
            <v:shape id="Textbox 12" o:spid="_x0000_s1026" o:spt="202" type="#_x0000_t202" style="position:absolute;left:0pt;margin-left:55.6pt;margin-top:547.35pt;height:13.05pt;width:106.85pt;mso-position-horizontal-relative:page;mso-position-vertical-relative:page;z-index:-251654144;mso-width-relative:page;mso-height-relative:page;" filled="f" stroked="f" coordsize="21600,21600" o:gfxdata="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mFj6V2gAAAA0BAAAPAAAAAAAAAAEAIAAAACIAAABkcnMvZG93bnJldi54bWxQSwECFAAUAAAA&#10;CACHTuJAZz610bMBAAB2AwAADgAAAAAAAAABACAAAAApAQAAZHJzL2Uyb0RvYy54bWxQSwUGAAAA&#10;AAYABgBZAQAATgUAAAAA&#10;">
              <v:fill on="f" focussize="0,0"/>
              <v:stroke on="f"/>
              <v:imagedata o:title=""/>
              <o:lock v:ext="edit" aspectratio="f"/>
              <v:textbox inset="0mm,0mm,0mm,0mm">
                <w:txbxContent>
                  <w:p w14:paraId="7265DFB3">
                    <w:pPr>
                      <w:spacing w:before="10"/>
                      <w:ind w:left="20"/>
                      <w:rPr>
                        <w:rFonts w:hint="default"/>
                        <w:sz w:val="20"/>
                        <w:lang w:val="en-US"/>
                      </w:rPr>
                    </w:pPr>
                    <w:r>
                      <w:rPr>
                        <w:spacing w:val="-2"/>
                        <w:sz w:val="20"/>
                        <w:lang w:val="en-US"/>
                      </w:rPr>
                      <w:t>CONFIDENTIAL</w:t>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8641715</wp:posOffset>
              </wp:positionH>
              <wp:positionV relativeFrom="page">
                <wp:posOffset>6951345</wp:posOffset>
              </wp:positionV>
              <wp:extent cx="1076960" cy="165735"/>
              <wp:effectExtent l="0" t="0" r="0" b="0"/>
              <wp:wrapNone/>
              <wp:docPr id="13" name="Textbox 13"/>
              <wp:cNvGraphicFramePr/>
              <a:graphic xmlns:a="http://schemas.openxmlformats.org/drawingml/2006/main">
                <a:graphicData uri="http://schemas.microsoft.com/office/word/2010/wordprocessingShape">
                  <wps:wsp>
                    <wps:cNvSpPr txBox="1"/>
                    <wps:spPr>
                      <a:xfrm>
                        <a:off x="0" y="0"/>
                        <a:ext cx="1076960" cy="165735"/>
                      </a:xfrm>
                      <a:prstGeom prst="rect">
                        <a:avLst/>
                      </a:prstGeom>
                    </wps:spPr>
                    <wps:txbx>
                      <w:txbxContent>
                        <w:p w14:paraId="4A368A7D">
                          <w:pPr>
                            <w:spacing w:before="10"/>
                            <w:ind w:left="20"/>
                            <w:rPr>
                              <w:sz w:val="20"/>
                            </w:rPr>
                          </w:pPr>
                          <w:r>
                            <w:rPr>
                              <w:sz w:val="20"/>
                              <w:lang w:val="en-US"/>
                            </w:rPr>
                            <w:t>Page</w:t>
                          </w:r>
                          <w:r>
                            <w:rPr>
                              <w:spacing w:val="-5"/>
                              <w:sz w:val="20"/>
                            </w:rPr>
                            <w:t xml:space="preserve"> </w:t>
                          </w:r>
                          <w:r>
                            <w:rPr>
                              <w:sz w:val="20"/>
                            </w:rPr>
                            <w:t>43</w:t>
                          </w:r>
                          <w:r>
                            <w:rPr>
                              <w:spacing w:val="-5"/>
                              <w:sz w:val="20"/>
                            </w:rPr>
                            <w:t xml:space="preserve"> </w:t>
                          </w:r>
                          <w:r>
                            <w:rPr>
                              <w:sz w:val="20"/>
                              <w:lang w:val="en-US"/>
                            </w:rPr>
                            <w:t>of</w:t>
                          </w:r>
                          <w:r>
                            <w:rPr>
                              <w:spacing w:val="-6"/>
                              <w:sz w:val="20"/>
                            </w:rPr>
                            <w:t xml:space="preserve"> </w:t>
                          </w:r>
                          <w:r>
                            <w:rPr>
                              <w:spacing w:val="-5"/>
                              <w:sz w:val="20"/>
                            </w:rPr>
                            <w:t>101</w:t>
                          </w:r>
                        </w:p>
                      </w:txbxContent>
                    </wps:txbx>
                    <wps:bodyPr wrap="square" lIns="0" tIns="0" rIns="0" bIns="0" rtlCol="0">
                      <a:noAutofit/>
                    </wps:bodyPr>
                  </wps:wsp>
                </a:graphicData>
              </a:graphic>
            </wp:anchor>
          </w:drawing>
        </mc:Choice>
        <mc:Fallback>
          <w:pict>
            <v:shape id="Textbox 13" o:spid="_x0000_s1026" o:spt="202" type="#_x0000_t202" style="position:absolute;left:0pt;margin-left:680.45pt;margin-top:547.35pt;height:13.05pt;width:84.8pt;mso-position-horizontal-relative:page;mso-position-vertical-relative:page;z-index:-251653120;mso-width-relative:page;mso-height-relative:page;" filled="f" stroked="f" coordsize="21600,21600" o:gfxdata="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zIdY9wAAAAPAQAADwAAAAAAAAABACAAAAAiAAAAZHJzL2Rvd25yZXYueG1sUEsBAhQAFAAA&#10;AAgAh07iQDoi6ImyAQAAdgMAAA4AAAAAAAAAAQAgAAAAKwEAAGRycy9lMm9Eb2MueG1sUEsFBgAA&#10;AAAGAAYAWQEAAE8FAAAAAA==&#10;">
              <v:fill on="f" focussize="0,0"/>
              <v:stroke on="f"/>
              <v:imagedata o:title=""/>
              <o:lock v:ext="edit" aspectratio="f"/>
              <v:textbox inset="0mm,0mm,0mm,0mm">
                <w:txbxContent>
                  <w:p w14:paraId="4A368A7D">
                    <w:pPr>
                      <w:spacing w:before="10"/>
                      <w:ind w:left="20"/>
                      <w:rPr>
                        <w:sz w:val="20"/>
                      </w:rPr>
                    </w:pPr>
                    <w:r>
                      <w:rPr>
                        <w:sz w:val="20"/>
                        <w:lang w:val="en-US"/>
                      </w:rPr>
                      <w:t>Page</w:t>
                    </w:r>
                    <w:r>
                      <w:rPr>
                        <w:spacing w:val="-5"/>
                        <w:sz w:val="20"/>
                      </w:rPr>
                      <w:t xml:space="preserve"> </w:t>
                    </w:r>
                    <w:r>
                      <w:rPr>
                        <w:sz w:val="20"/>
                      </w:rPr>
                      <w:t>43</w:t>
                    </w:r>
                    <w:r>
                      <w:rPr>
                        <w:spacing w:val="-5"/>
                        <w:sz w:val="20"/>
                      </w:rPr>
                      <w:t xml:space="preserve"> </w:t>
                    </w:r>
                    <w:r>
                      <w:rPr>
                        <w:sz w:val="20"/>
                        <w:lang w:val="en-US"/>
                      </w:rPr>
                      <w:t>of</w:t>
                    </w:r>
                    <w:r>
                      <w:rPr>
                        <w:spacing w:val="-6"/>
                        <w:sz w:val="20"/>
                      </w:rPr>
                      <w:t xml:space="preserve"> </w:t>
                    </w:r>
                    <w:r>
                      <w:rPr>
                        <w:spacing w:val="-5"/>
                        <w:sz w:val="20"/>
                      </w:rPr>
                      <w:t>101</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E4F45">
    <w:pPr>
      <w:pStyle w:val="7"/>
      <w:spacing w:before="0" w:line="14" w:lineRule="auto"/>
      <w:ind w:left="0" w:firstLine="0"/>
      <w:jc w:val="left"/>
      <w:rPr>
        <w:sz w:val="20"/>
      </w:rPr>
    </w:pPr>
    <w:r>
      <w:rPr>
        <w:sz w:val="20"/>
      </w:rPr>
      <mc:AlternateContent>
        <mc:Choice Requires="wps">
          <w:drawing>
            <wp:anchor distT="0" distB="0" distL="0" distR="0" simplePos="0" relativeHeight="251664384" behindDoc="1" locked="0" layoutInCell="1" allowOverlap="1">
              <wp:simplePos x="0" y="0"/>
              <wp:positionH relativeFrom="page">
                <wp:posOffset>1067435</wp:posOffset>
              </wp:positionH>
              <wp:positionV relativeFrom="page">
                <wp:posOffset>6951345</wp:posOffset>
              </wp:positionV>
              <wp:extent cx="1356995" cy="165735"/>
              <wp:effectExtent l="0" t="0" r="0" b="0"/>
              <wp:wrapNone/>
              <wp:docPr id="16" name="Textbox 16"/>
              <wp:cNvGraphicFramePr/>
              <a:graphic xmlns:a="http://schemas.openxmlformats.org/drawingml/2006/main">
                <a:graphicData uri="http://schemas.microsoft.com/office/word/2010/wordprocessingShape">
                  <wps:wsp>
                    <wps:cNvSpPr txBox="1"/>
                    <wps:spPr>
                      <a:xfrm>
                        <a:off x="0" y="0"/>
                        <a:ext cx="1356995" cy="165735"/>
                      </a:xfrm>
                      <a:prstGeom prst="rect">
                        <a:avLst/>
                      </a:prstGeom>
                    </wps:spPr>
                    <wps:txbx>
                      <w:txbxContent>
                        <w:p w14:paraId="7DBE9279">
                          <w:pPr>
                            <w:spacing w:before="10"/>
                            <w:ind w:left="20"/>
                            <w:rPr>
                              <w:rFonts w:hint="default"/>
                              <w:sz w:val="20"/>
                              <w:lang w:val="en-US"/>
                            </w:rPr>
                          </w:pPr>
                          <w:r>
                            <w:rPr>
                              <w:spacing w:val="-2"/>
                              <w:sz w:val="20"/>
                              <w:lang w:val="en-US"/>
                            </w:rPr>
                            <w:t>CONFIDENTIAL</w:t>
                          </w:r>
                        </w:p>
                      </w:txbxContent>
                    </wps:txbx>
                    <wps:bodyPr wrap="square" lIns="0" tIns="0" rIns="0" bIns="0" rtlCol="0">
                      <a:noAutofit/>
                    </wps:bodyPr>
                  </wps:wsp>
                </a:graphicData>
              </a:graphic>
            </wp:anchor>
          </w:drawing>
        </mc:Choice>
        <mc:Fallback>
          <w:pict>
            <v:shape id="Textbox 16" o:spid="_x0000_s1026" o:spt="202" type="#_x0000_t202" style="position:absolute;left:0pt;margin-left:84.05pt;margin-top:547.35pt;height:13.05pt;width:106.85pt;mso-position-horizontal-relative:page;mso-position-vertical-relative:page;z-index:-251652096;mso-width-relative:page;mso-height-relative:page;" filled="f" stroked="f" coordsize="21600,21600" o:gfxdata="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8ATIT2gAAAA0BAAAPAAAAAAAAAAEAIAAAACIAAABkcnMvZG93bnJldi54bWxQSwECFAAUAAAA&#10;CACHTuJADbH+O7MBAAB2AwAADgAAAAAAAAABACAAAAApAQAAZHJzL2Uyb0RvYy54bWxQSwUGAAAA&#10;AAYABgBZAQAATgUAAAAA&#10;">
              <v:fill on="f" focussize="0,0"/>
              <v:stroke on="f"/>
              <v:imagedata o:title=""/>
              <o:lock v:ext="edit" aspectratio="f"/>
              <v:textbox inset="0mm,0mm,0mm,0mm">
                <w:txbxContent>
                  <w:p w14:paraId="7DBE9279">
                    <w:pPr>
                      <w:spacing w:before="10"/>
                      <w:ind w:left="20"/>
                      <w:rPr>
                        <w:rFonts w:hint="default"/>
                        <w:sz w:val="20"/>
                        <w:lang w:val="en-US"/>
                      </w:rPr>
                    </w:pPr>
                    <w:r>
                      <w:rPr>
                        <w:spacing w:val="-2"/>
                        <w:sz w:val="20"/>
                        <w:lang w:val="en-US"/>
                      </w:rPr>
                      <w:t>CONFIDENTIAL</w:t>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9003030</wp:posOffset>
              </wp:positionH>
              <wp:positionV relativeFrom="page">
                <wp:posOffset>6951345</wp:posOffset>
              </wp:positionV>
              <wp:extent cx="1076960" cy="165735"/>
              <wp:effectExtent l="0" t="0" r="0" b="0"/>
              <wp:wrapNone/>
              <wp:docPr id="17" name="Textbox 17"/>
              <wp:cNvGraphicFramePr/>
              <a:graphic xmlns:a="http://schemas.openxmlformats.org/drawingml/2006/main">
                <a:graphicData uri="http://schemas.microsoft.com/office/word/2010/wordprocessingShape">
                  <wps:wsp>
                    <wps:cNvSpPr txBox="1"/>
                    <wps:spPr>
                      <a:xfrm>
                        <a:off x="0" y="0"/>
                        <a:ext cx="1076960" cy="165735"/>
                      </a:xfrm>
                      <a:prstGeom prst="rect">
                        <a:avLst/>
                      </a:prstGeom>
                    </wps:spPr>
                    <wps:txbx>
                      <w:txbxContent>
                        <w:p w14:paraId="6F7CCB31">
                          <w:pPr>
                            <w:spacing w:before="10"/>
                            <w:ind w:left="20"/>
                            <w:rPr>
                              <w:sz w:val="20"/>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44</w:t>
                          </w:r>
                          <w:r>
                            <w:rPr>
                              <w:sz w:val="20"/>
                            </w:rPr>
                            <w:fldChar w:fldCharType="end"/>
                          </w:r>
                          <w:r>
                            <w:rPr>
                              <w:spacing w:val="-5"/>
                              <w:sz w:val="20"/>
                            </w:rPr>
                            <w:t xml:space="preserve"> </w:t>
                          </w:r>
                          <w:r>
                            <w:rPr>
                              <w:rFonts w:hint="default"/>
                              <w:spacing w:val="-5"/>
                              <w:sz w:val="20"/>
                              <w:lang w:val="en-US"/>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101</w:t>
                          </w:r>
                          <w:r>
                            <w:rPr>
                              <w:spacing w:val="-5"/>
                              <w:sz w:val="20"/>
                            </w:rPr>
                            <w:fldChar w:fldCharType="end"/>
                          </w:r>
                        </w:p>
                      </w:txbxContent>
                    </wps:txbx>
                    <wps:bodyPr wrap="square" lIns="0" tIns="0" rIns="0" bIns="0" rtlCol="0">
                      <a:noAutofit/>
                    </wps:bodyPr>
                  </wps:wsp>
                </a:graphicData>
              </a:graphic>
            </wp:anchor>
          </w:drawing>
        </mc:Choice>
        <mc:Fallback>
          <w:pict>
            <v:shape id="Textbox 17" o:spid="_x0000_s1026" o:spt="202" type="#_x0000_t202" style="position:absolute;left:0pt;margin-left:708.9pt;margin-top:547.35pt;height:13.05pt;width:84.8pt;mso-position-horizontal-relative:page;mso-position-vertical-relative:page;z-index:-251651072;mso-width-relative:page;mso-height-relative:page;" filled="f" stroked="f" coordsize="21600,21600" o:gfxdata="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OnE+qdwAAAAPAQAADwAAAAAAAAABACAAAAAiAAAAZHJzL2Rvd25yZXYueG1sUEsBAhQAFAAA&#10;AAgAh07iQFCto2OyAQAAdgMAAA4AAAAAAAAAAQAgAAAAKwEAAGRycy9lMm9Eb2MueG1sUEsFBgAA&#10;AAAGAAYAWQEAAE8FAAAAAA==&#10;">
              <v:fill on="f" focussize="0,0"/>
              <v:stroke on="f"/>
              <v:imagedata o:title=""/>
              <o:lock v:ext="edit" aspectratio="f"/>
              <v:textbox inset="0mm,0mm,0mm,0mm">
                <w:txbxContent>
                  <w:p w14:paraId="6F7CCB31">
                    <w:pPr>
                      <w:spacing w:before="10"/>
                      <w:ind w:left="20"/>
                      <w:rPr>
                        <w:sz w:val="20"/>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44</w:t>
                    </w:r>
                    <w:r>
                      <w:rPr>
                        <w:sz w:val="20"/>
                      </w:rPr>
                      <w:fldChar w:fldCharType="end"/>
                    </w:r>
                    <w:r>
                      <w:rPr>
                        <w:spacing w:val="-5"/>
                        <w:sz w:val="20"/>
                      </w:rPr>
                      <w:t xml:space="preserve"> </w:t>
                    </w:r>
                    <w:r>
                      <w:rPr>
                        <w:rFonts w:hint="default"/>
                        <w:spacing w:val="-5"/>
                        <w:sz w:val="20"/>
                        <w:lang w:val="en-US"/>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101</w:t>
                    </w:r>
                    <w:r>
                      <w:rPr>
                        <w:spacing w:val="-5"/>
                        <w:sz w:val="20"/>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2ABB7">
    <w:pPr>
      <w:pStyle w:val="7"/>
      <w:spacing w:before="0" w:line="14" w:lineRule="auto"/>
      <w:ind w:left="0" w:firstLine="0"/>
      <w:jc w:val="left"/>
      <w:rPr>
        <w:sz w:val="20"/>
      </w:rPr>
    </w:pPr>
    <w:r>
      <w:rPr>
        <w:sz w:val="20"/>
      </w:rPr>
      <mc:AlternateContent>
        <mc:Choice Requires="wps">
          <w:drawing>
            <wp:anchor distT="0" distB="0" distL="0" distR="0" simplePos="0" relativeHeight="251666432" behindDoc="1" locked="0" layoutInCell="1" allowOverlap="1">
              <wp:simplePos x="0" y="0"/>
              <wp:positionH relativeFrom="page">
                <wp:posOffset>1068070</wp:posOffset>
              </wp:positionH>
              <wp:positionV relativeFrom="page">
                <wp:posOffset>10083165</wp:posOffset>
              </wp:positionV>
              <wp:extent cx="1356995" cy="165735"/>
              <wp:effectExtent l="0" t="0" r="0" b="0"/>
              <wp:wrapNone/>
              <wp:docPr id="20" name="Textbox 20"/>
              <wp:cNvGraphicFramePr/>
              <a:graphic xmlns:a="http://schemas.openxmlformats.org/drawingml/2006/main">
                <a:graphicData uri="http://schemas.microsoft.com/office/word/2010/wordprocessingShape">
                  <wps:wsp>
                    <wps:cNvSpPr txBox="1"/>
                    <wps:spPr>
                      <a:xfrm>
                        <a:off x="0" y="0"/>
                        <a:ext cx="1356995" cy="165735"/>
                      </a:xfrm>
                      <a:prstGeom prst="rect">
                        <a:avLst/>
                      </a:prstGeom>
                    </wps:spPr>
                    <wps:txbx>
                      <w:txbxContent>
                        <w:p w14:paraId="3A51A320">
                          <w:pPr>
                            <w:spacing w:before="10"/>
                            <w:ind w:left="20"/>
                            <w:rPr>
                              <w:rFonts w:hint="default"/>
                              <w:sz w:val="20"/>
                              <w:lang w:val="en-US"/>
                            </w:rPr>
                          </w:pPr>
                          <w:r>
                            <w:rPr>
                              <w:spacing w:val="-2"/>
                              <w:sz w:val="20"/>
                              <w:lang w:val="en-US"/>
                            </w:rPr>
                            <w:t>CONFIDENTIAL</w:t>
                          </w:r>
                        </w:p>
                      </w:txbxContent>
                    </wps:txbx>
                    <wps:bodyPr wrap="square" lIns="0" tIns="0" rIns="0" bIns="0" rtlCol="0">
                      <a:noAutofit/>
                    </wps:bodyPr>
                  </wps:wsp>
                </a:graphicData>
              </a:graphic>
            </wp:anchor>
          </w:drawing>
        </mc:Choice>
        <mc:Fallback>
          <w:pict>
            <v:shape id="Textbox 20" o:spid="_x0000_s1026" o:spt="202" type="#_x0000_t202" style="position:absolute;left:0pt;margin-left:84.1pt;margin-top:793.95pt;height:13.05pt;width:106.85pt;mso-position-horizontal-relative:page;mso-position-vertical-relative:page;z-index:-251650048;mso-width-relative:page;mso-height-relative:page;" filled="f" stroked="f" coordsize="21600,21600" o:gfxdata="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ANqcHZAAAADQEAAA8AAAAAAAAAAQAgAAAAIgAAAGRycy9kb3ducmV2LnhtbFBLAQIUABQAAAAI&#10;AIdO4kB0qlFCswEAAHYDAAAOAAAAAAAAAAEAIAAAACgBAABkcnMvZTJvRG9jLnhtbFBLBQYAAAAA&#10;BgAGAFkBAABNBQAAAAA=&#10;">
              <v:fill on="f" focussize="0,0"/>
              <v:stroke on="f"/>
              <v:imagedata o:title=""/>
              <o:lock v:ext="edit" aspectratio="f"/>
              <v:textbox inset="0mm,0mm,0mm,0mm">
                <w:txbxContent>
                  <w:p w14:paraId="3A51A320">
                    <w:pPr>
                      <w:spacing w:before="10"/>
                      <w:ind w:left="20"/>
                      <w:rPr>
                        <w:rFonts w:hint="default"/>
                        <w:sz w:val="20"/>
                        <w:lang w:val="en-US"/>
                      </w:rPr>
                    </w:pPr>
                    <w:r>
                      <w:rPr>
                        <w:spacing w:val="-2"/>
                        <w:sz w:val="20"/>
                        <w:lang w:val="en-US"/>
                      </w:rPr>
                      <w:t>CONFIDENTIAL</w:t>
                    </w:r>
                  </w:p>
                </w:txbxContent>
              </v:textbox>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5668010</wp:posOffset>
              </wp:positionH>
              <wp:positionV relativeFrom="page">
                <wp:posOffset>10083165</wp:posOffset>
              </wp:positionV>
              <wp:extent cx="1141095" cy="165735"/>
              <wp:effectExtent l="0" t="0" r="0" b="0"/>
              <wp:wrapNone/>
              <wp:docPr id="21" name="Textbox 21"/>
              <wp:cNvGraphicFramePr/>
              <a:graphic xmlns:a="http://schemas.openxmlformats.org/drawingml/2006/main">
                <a:graphicData uri="http://schemas.microsoft.com/office/word/2010/wordprocessingShape">
                  <wps:wsp>
                    <wps:cNvSpPr txBox="1"/>
                    <wps:spPr>
                      <a:xfrm>
                        <a:off x="0" y="0"/>
                        <a:ext cx="1141095" cy="165735"/>
                      </a:xfrm>
                      <a:prstGeom prst="rect">
                        <a:avLst/>
                      </a:prstGeom>
                    </wps:spPr>
                    <wps:txbx>
                      <w:txbxContent>
                        <w:p w14:paraId="39F7441A">
                          <w:pPr>
                            <w:spacing w:before="10"/>
                            <w:ind w:left="20"/>
                            <w:rPr>
                              <w:rFonts w:hint="default"/>
                              <w:sz w:val="20"/>
                              <w:lang w:val="en-US"/>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100</w:t>
                          </w:r>
                          <w:r>
                            <w:rPr>
                              <w:sz w:val="20"/>
                            </w:rPr>
                            <w:fldChar w:fldCharType="end"/>
                          </w:r>
                          <w:r>
                            <w:rPr>
                              <w:spacing w:val="-5"/>
                              <w:sz w:val="20"/>
                            </w:rPr>
                            <w:t xml:space="preserve"> </w:t>
                          </w:r>
                          <w:r>
                            <w:rPr>
                              <w:rFonts w:hint="default"/>
                              <w:spacing w:val="-5"/>
                              <w:sz w:val="20"/>
                              <w:lang w:val="en-US"/>
                            </w:rPr>
                            <w:t>of</w:t>
                          </w:r>
                          <w:r>
                            <w:rPr>
                              <w:spacing w:val="-7"/>
                              <w:sz w:val="20"/>
                            </w:rPr>
                            <w:t xml:space="preserve"> </w:t>
                          </w:r>
                          <w:r>
                            <w:rPr>
                              <w:rFonts w:hint="default"/>
                              <w:spacing w:val="-7"/>
                              <w:sz w:val="20"/>
                              <w:lang w:val="en-US"/>
                            </w:rPr>
                            <w:t>100</w:t>
                          </w:r>
                        </w:p>
                      </w:txbxContent>
                    </wps:txbx>
                    <wps:bodyPr wrap="square" lIns="0" tIns="0" rIns="0" bIns="0" rtlCol="0">
                      <a:noAutofit/>
                    </wps:bodyPr>
                  </wps:wsp>
                </a:graphicData>
              </a:graphic>
            </wp:anchor>
          </w:drawing>
        </mc:Choice>
        <mc:Fallback>
          <w:pict>
            <v:shape id="Textbox 21" o:spid="_x0000_s1026" o:spt="202" type="#_x0000_t202" style="position:absolute;left:0pt;margin-left:446.3pt;margin-top:793.95pt;height:13.05pt;width:89.85pt;mso-position-horizontal-relative:page;mso-position-vertical-relative:page;z-index:-251649024;mso-width-relative:page;mso-height-relative:page;" filled="f" stroked="f" coordsize="21600,21600" o:gfxdata="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bEGzv3AAAAA4BAAAPAAAAAAAAAAEAIAAAACIAAABkcnMvZG93bnJldi54bWxQSwECFAAU&#10;AAAACACHTuJAWZoSK7QBAAB2AwAADgAAAAAAAAABACAAAAArAQAAZHJzL2Uyb0RvYy54bWxQSwUG&#10;AAAAAAYABgBZAQAAUQUAAAAA&#10;">
              <v:fill on="f" focussize="0,0"/>
              <v:stroke on="f"/>
              <v:imagedata o:title=""/>
              <o:lock v:ext="edit" aspectratio="f"/>
              <v:textbox inset="0mm,0mm,0mm,0mm">
                <w:txbxContent>
                  <w:p w14:paraId="39F7441A">
                    <w:pPr>
                      <w:spacing w:before="10"/>
                      <w:ind w:left="20"/>
                      <w:rPr>
                        <w:rFonts w:hint="default"/>
                        <w:sz w:val="20"/>
                        <w:lang w:val="en-US"/>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100</w:t>
                    </w:r>
                    <w:r>
                      <w:rPr>
                        <w:sz w:val="20"/>
                      </w:rPr>
                      <w:fldChar w:fldCharType="end"/>
                    </w:r>
                    <w:r>
                      <w:rPr>
                        <w:spacing w:val="-5"/>
                        <w:sz w:val="20"/>
                      </w:rPr>
                      <w:t xml:space="preserve"> </w:t>
                    </w:r>
                    <w:r>
                      <w:rPr>
                        <w:rFonts w:hint="default"/>
                        <w:spacing w:val="-5"/>
                        <w:sz w:val="20"/>
                        <w:lang w:val="en-US"/>
                      </w:rPr>
                      <w:t>of</w:t>
                    </w:r>
                    <w:r>
                      <w:rPr>
                        <w:spacing w:val="-7"/>
                        <w:sz w:val="20"/>
                      </w:rPr>
                      <w:t xml:space="preserve"> </w:t>
                    </w:r>
                    <w:r>
                      <w:rPr>
                        <w:rFonts w:hint="default"/>
                        <w:spacing w:val="-7"/>
                        <w:sz w:val="20"/>
                        <w:lang w:val="en-US"/>
                      </w:rPr>
                      <w:t>100</w:t>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9"/>
      </w:pPr>
      <w:r>
        <w:rPr>
          <w:rStyle w:val="8"/>
        </w:rPr>
        <w:footnoteRef/>
      </w:r>
      <w:r>
        <w:t xml:space="preserve"> </w:t>
      </w:r>
      <w:r>
        <w:t xml:space="preserve">Если время проведения процедур оценки жизненно важных показателей и проведения ЭКГ совпадает со сбором образцов крови для анализа фармакокинетики, эти процедуры следует проводить после сбора образцов крови. Интервал +15 минут после введения допустим.</w:t>
      </w:r>
    </w:p>
  </w:footnote>
  <w:footnote w:id="29">
    <w:p>
      <w:pPr>
        <w:pStyle w:val="9"/>
      </w:pPr>
      <w:r>
        <w:rPr>
          <w:rStyle w:val="8"/>
        </w:rPr>
        <w:footnoteRef/>
      </w:r>
      <w:r>
        <w:t xml:space="preserve"> </w:t>
      </w:r>
      <w:r>
        <w:t xml:space="preserve">Одна единица алкоголя эквивалентна 0,5 л пива, 200 мл вина или 50 мл спиртных напитков.</w:t>
      </w:r>
    </w:p>
  </w:footnote>
  <w:footnote w:id="30">
    <w:p>
      <w:pPr>
        <w:pStyle w:val="9"/>
      </w:pPr>
      <w:r>
        <w:rPr>
          <w:rStyle w:val="8"/>
        </w:rPr>
        <w:footnoteRef/>
      </w:r>
      <w:r>
        <w:t xml:space="preserve"> </w:t>
      </w:r>
      <w:r>
        <w:t xml:space="preserve">Анализ мочи на наличие наркотических веществ и мощных лекарств: морфин, амфетамин, метамфетамин, кокаин, марихуана, бензодиазепины, метадон, фенциклидин.</w:t>
      </w:r>
    </w:p>
  </w:footnote>
  <w:footnote w:id="31">
    <w:p>
      <w:pPr>
        <w:pStyle w:val="9"/>
      </w:pPr>
      <w:r>
        <w:rPr>
          <w:rStyle w:val="8"/>
        </w:rPr>
        <w:footnoteRef/>
      </w:r>
      <w:r>
        <w:t xml:space="preserve"> </w:t>
      </w:r>
      <w:r>
        <w:t xml:space="preserve">Если время проведения процедур оценки жизненно важных показателей и проведения ЭКГ совпадает со сбором образцов крови для анализа фармакокинетики, эти процедуры следует проводить после сбора образцов крови. Интервал +15 минут после введения допустим.</w:t>
      </w:r>
    </w:p>
  </w:footnote>
  <w:footnote w:id="32">
    <w:p>
      <w:pPr>
        <w:pStyle w:val="9"/>
      </w:pPr>
      <w:r>
        <w:rPr>
          <w:rStyle w:val="8"/>
        </w:rPr>
        <w:footnoteRef/>
      </w:r>
      <w:r>
        <w:t xml:space="preserve"> </w:t>
      </w:r>
      <w:r>
        <w:t xml:space="preserve">Анализ мочи на наличие наркотических веществ и сильнодействующих препаратов: морфин, амфетамин, метамфетамин, кокаин, марихуана, бензодиазепины, методон, фенокциклидин.</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3BEB7">
    <w:pPr>
      <w:pStyle w:val="7"/>
      <w:spacing w:before="0" w:line="14" w:lineRule="auto"/>
      <w:ind w:left="0" w:firstLine="0"/>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5204460</wp:posOffset>
              </wp:positionH>
              <wp:positionV relativeFrom="page">
                <wp:posOffset>450215</wp:posOffset>
              </wp:positionV>
              <wp:extent cx="1830070" cy="311785"/>
              <wp:effectExtent l="0" t="0" r="0" b="0"/>
              <wp:wrapNone/>
              <wp:docPr id="2" name="Textbox 2"/>
              <wp:cNvGraphicFramePr/>
              <a:graphic xmlns:a="http://schemas.openxmlformats.org/drawingml/2006/main">
                <a:graphicData uri="http://schemas.microsoft.com/office/word/2010/wordprocessingShape">
                  <wps:wsp>
                    <wps:cNvSpPr txBox="1"/>
                    <wps:spPr>
                      <a:xfrm>
                        <a:off x="0" y="0"/>
                        <a:ext cx="1830070" cy="311785"/>
                      </a:xfrm>
                      <a:prstGeom prst="rect">
                        <a:avLst/>
                      </a:prstGeom>
                    </wps:spPr>
                    <wps:txbx>
                      <w:txbxContent>
                        <w:p w14:paraId="3AD5E9D2">
                          <w:pPr>
                            <w:spacing w:before="10"/>
                            <w:ind w:left="20" w:right="13" w:firstLine="1486" w:firstLineChars="743"/>
                            <w:rPr>
                              <w:rFonts w:hint="default"/>
                              <w:sz w:val="20"/>
                              <w:lang w:val="en-US"/>
                            </w:rPr>
                          </w:pPr>
                          <w:r>
                            <w:rPr>
                              <w:sz w:val="20"/>
                              <w:lang w:val="en-US"/>
                            </w:rPr>
                            <w:t>BetaRex LLC</w:t>
                          </w:r>
                          <w:r>
                            <w:rPr>
                              <w:sz w:val="20"/>
                            </w:rPr>
                            <w:t xml:space="preserve"> </w:t>
                          </w:r>
                          <w:r>
                            <w:rPr>
                              <w:sz w:val="20"/>
                              <w:lang w:val="en-US"/>
                            </w:rPr>
                            <w:t>Version 1.0 dated June 10, 2024</w:t>
                          </w:r>
                        </w:p>
                      </w:txbxContent>
                    </wps:txbx>
                    <wps:bodyPr wrap="square" lIns="0" tIns="0" rIns="0" bIns="0" rtlCol="0">
                      <a:noAutofit/>
                    </wps:bodyPr>
                  </wps:wsp>
                </a:graphicData>
              </a:graphic>
            </wp:anchor>
          </w:drawing>
        </mc:Choice>
        <mc:Fallback>
          <w:pict>
            <v:shape id="Textbox 2" o:spid="_x0000_s1026" o:spt="202" type="#_x0000_t202" style="position:absolute;left:0pt;margin-left:409.8pt;margin-top:35.45pt;height:24.55pt;width:144.1pt;mso-position-horizontal-relative:page;mso-position-vertical-relative:page;z-index:-251656192;mso-width-relative:page;mso-height-relative:page;" filled="f" stroked="f" coordsize="21600,21600" o:gfxdata="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IcBy&#10;1dcAAAALAQAADwAAAAAAAAABACAAAAAiAAAAZHJzL2Rvd25yZXYueG1sUEsBAhQAFAAAAAgAh07i&#10;QKvMoUSxAQAAdAMAAA4AAAAAAAAAAQAgAAAAJgEAAGRycy9lMm9Eb2MueG1sUEsFBgAAAAAGAAYA&#10;WQEAAEkFAAAAAA==&#10;">
              <v:fill on="f" focussize="0,0"/>
              <v:stroke on="f"/>
              <v:imagedata o:title=""/>
              <o:lock v:ext="edit" aspectratio="f"/>
              <v:textbox inset="0mm,0mm,0mm,0mm">
                <w:txbxContent>
                  <w:p w14:paraId="3AD5E9D2">
                    <w:pPr>
                      <w:spacing w:before="10"/>
                      <w:ind w:left="20" w:right="13" w:firstLine="1486" w:firstLineChars="743"/>
                      <w:rPr>
                        <w:rFonts w:hint="default"/>
                        <w:sz w:val="20"/>
                        <w:lang w:val="en-US"/>
                      </w:rPr>
                    </w:pPr>
                    <w:r>
                      <w:rPr>
                        <w:sz w:val="20"/>
                        <w:lang w:val="en-US"/>
                      </w:rPr>
                      <w:t>BetaRex LLC</w:t>
                    </w:r>
                    <w:r>
                      <w:rPr>
                        <w:sz w:val="20"/>
                      </w:rPr>
                      <w:t xml:space="preserve"> </w:t>
                    </w:r>
                    <w:r>
                      <w:rPr>
                        <w:sz w:val="20"/>
                        <w:lang w:val="en-US"/>
                      </w:rPr>
                      <w:t>Version 1.0 dated June 10, 2024</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1068070</wp:posOffset>
              </wp:positionH>
              <wp:positionV relativeFrom="page">
                <wp:posOffset>450215</wp:posOffset>
              </wp:positionV>
              <wp:extent cx="1855470" cy="311785"/>
              <wp:effectExtent l="0" t="0" r="0" b="0"/>
              <wp:wrapNone/>
              <wp:docPr id="1" name="Textbox 1"/>
              <wp:cNvGraphicFramePr/>
              <a:graphic xmlns:a="http://schemas.openxmlformats.org/drawingml/2006/main">
                <a:graphicData uri="http://schemas.microsoft.com/office/word/2010/wordprocessingShape">
                  <wps:wsp>
                    <wps:cNvSpPr txBox="1"/>
                    <wps:spPr>
                      <a:xfrm>
                        <a:off x="0" y="0"/>
                        <a:ext cx="1855470" cy="311785"/>
                      </a:xfrm>
                      <a:prstGeom prst="rect">
                        <a:avLst/>
                      </a:prstGeom>
                    </wps:spPr>
                    <wps:txbx>
                      <w:txbxContent>
                        <w:p w14:paraId="7559DE38">
                          <w:pPr>
                            <w:spacing w:before="10"/>
                            <w:ind w:left="20"/>
                            <w:rPr>
                              <w:sz w:val="20"/>
                            </w:rPr>
                          </w:pPr>
                          <w:r>
                            <w:rPr>
                              <w:sz w:val="20"/>
                              <w:lang w:val="en-US"/>
                            </w:rPr>
                            <w:t>Study Drug:</w:t>
                          </w:r>
                          <w:r>
                            <w:rPr>
                              <w:spacing w:val="-12"/>
                              <w:sz w:val="20"/>
                            </w:rPr>
                            <w:t xml:space="preserve"> </w:t>
                          </w:r>
                          <w:r>
                            <w:rPr>
                              <w:sz w:val="20"/>
                            </w:rPr>
                            <w:t xml:space="preserve">L08-0623 </w:t>
                          </w:r>
                          <w:r>
                            <w:rPr>
                              <w:sz w:val="20"/>
                            </w:rPr>
                            <w:br w:type="textWrapping"/>
                          </w:r>
                          <w:r>
                            <w:rPr>
                              <w:sz w:val="20"/>
                              <w:lang w:val="en-US"/>
                            </w:rPr>
                            <w:t>Protocol No.</w:t>
                          </w:r>
                          <w:r>
                            <w:rPr>
                              <w:sz w:val="20"/>
                            </w:rPr>
                            <w:t xml:space="preserve"> PSR-L08-0623</w:t>
                          </w:r>
                        </w:p>
                      </w:txbxContent>
                    </wps:txbx>
                    <wps:bodyPr wrap="square" lIns="0" tIns="0" rIns="0" bIns="0" rtlCol="0">
                      <a:noAutofit/>
                    </wps:bodyPr>
                  </wps:wsp>
                </a:graphicData>
              </a:graphic>
            </wp:anchor>
          </w:drawing>
        </mc:Choice>
        <mc:Fallback>
          <w:pict>
            <v:shape id="Textbox 1" o:spid="_x0000_s1026" o:spt="202" type="#_x0000_t202" style="position:absolute;left:0pt;margin-left:84.1pt;margin-top:35.45pt;height:24.55pt;width:146.1pt;mso-position-horizontal-relative:page;mso-position-vertical-relative:page;z-index:-251657216;mso-width-relative:page;mso-height-relative:page;" filled="f" stroked="f" coordsize="21600,21600" o:gfxdata="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SKD&#10;udcAAAAKAQAADwAAAAAAAAABACAAAAAiAAAAZHJzL2Rvd25yZXYueG1sUEsBAhQAFAAAAAgAh07i&#10;QJpumB+xAQAAdAMAAA4AAAAAAAAAAQAgAAAAJgEAAGRycy9lMm9Eb2MueG1sUEsFBgAAAAAGAAYA&#10;WQEAAEkFAAAAAA==&#10;">
              <v:fill on="f" focussize="0,0"/>
              <v:stroke on="f"/>
              <v:imagedata o:title=""/>
              <o:lock v:ext="edit" aspectratio="f"/>
              <v:textbox inset="0mm,0mm,0mm,0mm">
                <w:txbxContent>
                  <w:p w14:paraId="7559DE38">
                    <w:pPr>
                      <w:spacing w:before="10"/>
                      <w:ind w:left="20"/>
                      <w:rPr>
                        <w:sz w:val="20"/>
                      </w:rPr>
                    </w:pPr>
                    <w:r>
                      <w:rPr>
                        <w:sz w:val="20"/>
                        <w:lang w:val="en-US"/>
                      </w:rPr>
                      <w:t>Study Drug:</w:t>
                    </w:r>
                    <w:r>
                      <w:rPr>
                        <w:spacing w:val="-12"/>
                        <w:sz w:val="20"/>
                      </w:rPr>
                      <w:t xml:space="preserve"> </w:t>
                    </w:r>
                    <w:r>
                      <w:rPr>
                        <w:sz w:val="20"/>
                      </w:rPr>
                      <w:t xml:space="preserve">L08-0623 </w:t>
                    </w:r>
                    <w:r>
                      <w:rPr>
                        <w:sz w:val="20"/>
                      </w:rPr>
                      <w:br w:type="textWrapping"/>
                    </w:r>
                    <w:r>
                      <w:rPr>
                        <w:sz w:val="20"/>
                        <w:lang w:val="en-US"/>
                      </w:rPr>
                      <w:t>Protocol No.</w:t>
                    </w:r>
                    <w:r>
                      <w:rPr>
                        <w:sz w:val="20"/>
                      </w:rPr>
                      <w:t xml:space="preserve"> PSR-L08-0623</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C7F90">
    <w:pPr>
      <w:pStyle w:val="7"/>
      <w:spacing w:before="0" w:line="14" w:lineRule="auto"/>
      <w:ind w:left="0" w:firstLine="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994410</wp:posOffset>
              </wp:positionH>
              <wp:positionV relativeFrom="page">
                <wp:posOffset>450215</wp:posOffset>
              </wp:positionV>
              <wp:extent cx="1948180" cy="311785"/>
              <wp:effectExtent l="0" t="0" r="0" b="0"/>
              <wp:wrapNone/>
              <wp:docPr id="10" name="Textbox 10"/>
              <wp:cNvGraphicFramePr/>
              <a:graphic xmlns:a="http://schemas.openxmlformats.org/drawingml/2006/main">
                <a:graphicData uri="http://schemas.microsoft.com/office/word/2010/wordprocessingShape">
                  <wps:wsp>
                    <wps:cNvSpPr txBox="1"/>
                    <wps:spPr>
                      <a:xfrm>
                        <a:off x="0" y="0"/>
                        <a:ext cx="1948180" cy="311785"/>
                      </a:xfrm>
                      <a:prstGeom prst="rect">
                        <a:avLst/>
                      </a:prstGeom>
                    </wps:spPr>
                    <wps:txbx>
                      <w:txbxContent>
                        <w:p w14:paraId="53143069">
                          <w:pPr>
                            <w:spacing w:before="10"/>
                            <w:ind w:left="716" w:right="18" w:hanging="697"/>
                            <w:rPr>
                              <w:sz w:val="20"/>
                            </w:rPr>
                          </w:pPr>
                          <w:r>
                            <w:rPr>
                              <w:sz w:val="20"/>
                              <w:lang w:val="en-US"/>
                            </w:rPr>
                            <w:t>Study Drug:</w:t>
                          </w:r>
                          <w:r>
                            <w:rPr>
                              <w:sz w:val="20"/>
                            </w:rPr>
                            <w:t xml:space="preserve"> L08-0623 </w:t>
                          </w:r>
                          <w:r>
                            <w:rPr>
                              <w:sz w:val="20"/>
                              <w:lang w:val="en-US"/>
                            </w:rPr>
                            <w:t>Protocol No.</w:t>
                          </w:r>
                          <w:r>
                            <w:rPr>
                              <w:spacing w:val="-12"/>
                              <w:sz w:val="20"/>
                            </w:rPr>
                            <w:t xml:space="preserve"> </w:t>
                          </w:r>
                          <w:r>
                            <w:rPr>
                              <w:sz w:val="20"/>
                            </w:rPr>
                            <w:t>PSR-L08-0623</w:t>
                          </w:r>
                        </w:p>
                      </w:txbxContent>
                    </wps:txbx>
                    <wps:bodyPr wrap="square" lIns="0" tIns="0" rIns="0" bIns="0" rtlCol="0">
                      <a:noAutofit/>
                    </wps:bodyPr>
                  </wps:wsp>
                </a:graphicData>
              </a:graphic>
            </wp:anchor>
          </w:drawing>
        </mc:Choice>
        <mc:Fallback>
          <w:pict>
            <v:shape id="Textbox 10" o:spid="_x0000_s1026" o:spt="202" type="#_x0000_t202" style="position:absolute;left:0pt;margin-left:78.3pt;margin-top:35.45pt;height:24.55pt;width:153.4pt;mso-position-horizontal-relative:page;mso-position-vertical-relative:page;z-index:-251655168;mso-width-relative:page;mso-height-relative:page;" filled="f" stroked="f" coordsize="21600,21600" o:gfxdata="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HCh&#10;19cAAAAKAQAADwAAAAAAAAABACAAAAAiAAAAZHJzL2Rvd25yZXYueG1sUEsBAhQAFAAAAAgAh07i&#10;QG62aqWxAQAAdgMAAA4AAAAAAAAAAQAgAAAAJgEAAGRycy9lMm9Eb2MueG1sUEsFBgAAAAAGAAYA&#10;WQEAAEkFAAAAAA==&#10;">
              <v:fill on="f" focussize="0,0"/>
              <v:stroke on="f"/>
              <v:imagedata o:title=""/>
              <o:lock v:ext="edit" aspectratio="f"/>
              <v:textbox inset="0mm,0mm,0mm,0mm">
                <w:txbxContent>
                  <w:p w14:paraId="53143069">
                    <w:pPr>
                      <w:spacing w:before="10"/>
                      <w:ind w:left="716" w:right="18" w:hanging="697"/>
                      <w:rPr>
                        <w:sz w:val="20"/>
                      </w:rPr>
                    </w:pPr>
                    <w:r>
                      <w:rPr>
                        <w:sz w:val="20"/>
                        <w:lang w:val="en-US"/>
                      </w:rPr>
                      <w:t>Study Drug:</w:t>
                    </w:r>
                    <w:r>
                      <w:rPr>
                        <w:sz w:val="20"/>
                      </w:rPr>
                      <w:t xml:space="preserve"> L08-0623 </w:t>
                    </w:r>
                    <w:r>
                      <w:rPr>
                        <w:sz w:val="20"/>
                        <w:lang w:val="en-US"/>
                      </w:rPr>
                      <w:t>Protocol No.</w:t>
                    </w:r>
                    <w:r>
                      <w:rPr>
                        <w:spacing w:val="-12"/>
                        <w:sz w:val="20"/>
                      </w:rPr>
                      <w:t xml:space="preserve"> </w:t>
                    </w:r>
                    <w:r>
                      <w:rPr>
                        <w:sz w:val="20"/>
                      </w:rPr>
                      <w:t>PSR-L08-0623</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8681085</wp:posOffset>
              </wp:positionH>
              <wp:positionV relativeFrom="page">
                <wp:posOffset>450215</wp:posOffset>
              </wp:positionV>
              <wp:extent cx="1553845" cy="311785"/>
              <wp:effectExtent l="0" t="0" r="0" b="0"/>
              <wp:wrapNone/>
              <wp:docPr id="11" name="Textbox 11"/>
              <wp:cNvGraphicFramePr/>
              <a:graphic xmlns:a="http://schemas.openxmlformats.org/drawingml/2006/main">
                <a:graphicData uri="http://schemas.microsoft.com/office/word/2010/wordprocessingShape">
                  <wps:wsp>
                    <wps:cNvSpPr txBox="1"/>
                    <wps:spPr>
                      <a:xfrm>
                        <a:off x="0" y="0"/>
                        <a:ext cx="1553845" cy="311785"/>
                      </a:xfrm>
                      <a:prstGeom prst="rect">
                        <a:avLst/>
                      </a:prstGeom>
                    </wps:spPr>
                    <wps:txbx>
                      <w:txbxContent>
                        <w:p w14:paraId="283840FA">
                          <w:pPr>
                            <w:spacing w:before="10"/>
                            <w:ind w:left="20"/>
                            <w:rPr>
                              <w:rFonts w:hint="default"/>
                              <w:sz w:val="20"/>
                              <w:lang w:val="en-US"/>
                            </w:rPr>
                          </w:pPr>
                          <w:r>
                            <w:rPr>
                              <w:sz w:val="20"/>
                              <w:lang w:val="en-US"/>
                            </w:rPr>
                            <w:t>BetaRex LLC</w:t>
                          </w:r>
                        </w:p>
                        <w:p w14:paraId="11216C3F">
                          <w:pPr>
                            <w:spacing w:before="1"/>
                            <w:ind w:left="36"/>
                            <w:rPr>
                              <w:sz w:val="20"/>
                            </w:rPr>
                          </w:pPr>
                          <w:r>
                            <w:rPr>
                              <w:sz w:val="20"/>
                            </w:rPr>
                            <w:t>Версия</w:t>
                          </w:r>
                          <w:r>
                            <w:rPr>
                              <w:spacing w:val="-4"/>
                              <w:sz w:val="20"/>
                            </w:rPr>
                            <w:t xml:space="preserve"> </w:t>
                          </w:r>
                          <w:r>
                            <w:rPr>
                              <w:sz w:val="20"/>
                            </w:rPr>
                            <w:t>1.0</w:t>
                          </w:r>
                          <w:r>
                            <w:rPr>
                              <w:spacing w:val="-2"/>
                              <w:sz w:val="20"/>
                            </w:rPr>
                            <w:t xml:space="preserve"> </w:t>
                          </w:r>
                          <w:r>
                            <w:rPr>
                              <w:sz w:val="20"/>
                            </w:rPr>
                            <w:t>от</w:t>
                          </w:r>
                          <w:r>
                            <w:rPr>
                              <w:spacing w:val="-4"/>
                              <w:sz w:val="20"/>
                            </w:rPr>
                            <w:t xml:space="preserve"> </w:t>
                          </w:r>
                          <w:r>
                            <w:rPr>
                              <w:sz w:val="20"/>
                            </w:rPr>
                            <w:t>06</w:t>
                          </w:r>
                          <w:r>
                            <w:rPr>
                              <w:spacing w:val="-2"/>
                              <w:sz w:val="20"/>
                            </w:rPr>
                            <w:t xml:space="preserve"> </w:t>
                          </w:r>
                          <w:r>
                            <w:rPr>
                              <w:sz w:val="20"/>
                            </w:rPr>
                            <w:t>мая</w:t>
                          </w:r>
                          <w:r>
                            <w:rPr>
                              <w:spacing w:val="-1"/>
                              <w:sz w:val="20"/>
                            </w:rPr>
                            <w:t xml:space="preserve"> </w:t>
                          </w:r>
                          <w:r>
                            <w:rPr>
                              <w:sz w:val="20"/>
                            </w:rPr>
                            <w:t>2024</w:t>
                          </w:r>
                          <w:r>
                            <w:rPr>
                              <w:spacing w:val="-2"/>
                              <w:sz w:val="20"/>
                            </w:rPr>
                            <w:t xml:space="preserve"> </w:t>
                          </w:r>
                          <w:r>
                            <w:rPr>
                              <w:spacing w:val="-5"/>
                              <w:sz w:val="20"/>
                            </w:rPr>
                            <w:t>г.</w:t>
                          </w:r>
                        </w:p>
                      </w:txbxContent>
                    </wps:txbx>
                    <wps:bodyPr wrap="square" lIns="0" tIns="0" rIns="0" bIns="0" rtlCol="0">
                      <a:noAutofit/>
                    </wps:bodyPr>
                  </wps:wsp>
                </a:graphicData>
              </a:graphic>
            </wp:anchor>
          </w:drawing>
        </mc:Choice>
        <mc:Fallback>
          <w:pict>
            <v:shape id="Textbox 11" o:spid="_x0000_s1026" o:spt="202" type="#_x0000_t202" style="position:absolute;left:0pt;margin-left:683.55pt;margin-top:35.45pt;height:24.55pt;width:122.35pt;mso-position-horizontal-relative:page;mso-position-vertical-relative:page;z-index:-251654144;mso-width-relative:page;mso-height-relative:page;" filled="f" stroked="f" coordsize="21600,21600" o:gfxdata="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n&#10;qToF1wAAAAwBAAAPAAAAAAAAAAEAIAAAACIAAABkcnMvZG93bnJldi54bWxQSwECFAAUAAAACACH&#10;TuJAlhvgFLMBAAB2AwAADgAAAAAAAAABACAAAAAmAQAAZHJzL2Uyb0RvYy54bWxQSwUGAAAAAAYA&#10;BgBZAQAASwUAAAAA&#10;">
              <v:fill on="f" focussize="0,0"/>
              <v:stroke on="f"/>
              <v:imagedata o:title=""/>
              <o:lock v:ext="edit" aspectratio="f"/>
              <v:textbox inset="0mm,0mm,0mm,0mm">
                <w:txbxContent>
                  <w:p w14:paraId="283840FA">
                    <w:pPr>
                      <w:spacing w:before="10"/>
                      <w:ind w:left="20"/>
                      <w:rPr>
                        <w:rFonts w:hint="default"/>
                        <w:sz w:val="20"/>
                        <w:lang w:val="en-US"/>
                      </w:rPr>
                    </w:pPr>
                    <w:r>
                      <w:rPr>
                        <w:sz w:val="20"/>
                        <w:lang w:val="en-US"/>
                      </w:rPr>
                      <w:t>BetaRex LLC</w:t>
                    </w:r>
                  </w:p>
                  <w:p w14:paraId="11216C3F">
                    <w:pPr>
                      <w:spacing w:before="1"/>
                      <w:ind w:left="36"/>
                      <w:rPr>
                        <w:sz w:val="20"/>
                      </w:rPr>
                    </w:pPr>
                    <w:r>
                      <w:rPr>
                        <w:sz w:val="20"/>
                      </w:rPr>
                      <w:t>Версия</w:t>
                    </w:r>
                    <w:r>
                      <w:rPr>
                        <w:spacing w:val="-4"/>
                        <w:sz w:val="20"/>
                      </w:rPr>
                      <w:t xml:space="preserve"> </w:t>
                    </w:r>
                    <w:r>
                      <w:rPr>
                        <w:sz w:val="20"/>
                      </w:rPr>
                      <w:t>1.0</w:t>
                    </w:r>
                    <w:r>
                      <w:rPr>
                        <w:spacing w:val="-2"/>
                        <w:sz w:val="20"/>
                      </w:rPr>
                      <w:t xml:space="preserve"> </w:t>
                    </w:r>
                    <w:r>
                      <w:rPr>
                        <w:sz w:val="20"/>
                      </w:rPr>
                      <w:t>от</w:t>
                    </w:r>
                    <w:r>
                      <w:rPr>
                        <w:spacing w:val="-4"/>
                        <w:sz w:val="20"/>
                      </w:rPr>
                      <w:t xml:space="preserve"> </w:t>
                    </w:r>
                    <w:r>
                      <w:rPr>
                        <w:sz w:val="20"/>
                      </w:rPr>
                      <w:t>06</w:t>
                    </w:r>
                    <w:r>
                      <w:rPr>
                        <w:spacing w:val="-2"/>
                        <w:sz w:val="20"/>
                      </w:rPr>
                      <w:t xml:space="preserve"> </w:t>
                    </w:r>
                    <w:r>
                      <w:rPr>
                        <w:sz w:val="20"/>
                      </w:rPr>
                      <w:t>мая</w:t>
                    </w:r>
                    <w:r>
                      <w:rPr>
                        <w:spacing w:val="-1"/>
                        <w:sz w:val="20"/>
                      </w:rPr>
                      <w:t xml:space="preserve"> </w:t>
                    </w:r>
                    <w:r>
                      <w:rPr>
                        <w:sz w:val="20"/>
                      </w:rPr>
                      <w:t>2024</w:t>
                    </w:r>
                    <w:r>
                      <w:rPr>
                        <w:spacing w:val="-2"/>
                        <w:sz w:val="20"/>
                      </w:rPr>
                      <w:t xml:space="preserve"> </w:t>
                    </w:r>
                    <w:r>
                      <w:rPr>
                        <w:spacing w:val="-5"/>
                        <w:sz w:val="20"/>
                      </w:rPr>
                      <w:t>г.</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F3C55">
    <w:pPr>
      <w:pStyle w:val="7"/>
      <w:spacing w:before="0" w:line="14" w:lineRule="auto"/>
      <w:ind w:left="0" w:firstLine="0"/>
      <w:jc w:val="left"/>
      <w:rPr>
        <w:sz w:val="20"/>
      </w:rPr>
    </w:pPr>
    <w:r>
      <w:rPr>
        <w:sz w:val="20"/>
      </w:rPr>
      <mc:AlternateContent>
        <mc:Choice Requires="wps">
          <w:drawing>
            <wp:anchor distT="0" distB="0" distL="0" distR="0" simplePos="0" relativeHeight="251663360" behindDoc="1" locked="0" layoutInCell="1" allowOverlap="1">
              <wp:simplePos x="0" y="0"/>
              <wp:positionH relativeFrom="page">
                <wp:posOffset>1355725</wp:posOffset>
              </wp:positionH>
              <wp:positionV relativeFrom="page">
                <wp:posOffset>450215</wp:posOffset>
              </wp:positionV>
              <wp:extent cx="1853565" cy="311785"/>
              <wp:effectExtent l="0" t="0" r="0" b="0"/>
              <wp:wrapNone/>
              <wp:docPr id="14" name="Textbox 14"/>
              <wp:cNvGraphicFramePr/>
              <a:graphic xmlns:a="http://schemas.openxmlformats.org/drawingml/2006/main">
                <a:graphicData uri="http://schemas.microsoft.com/office/word/2010/wordprocessingShape">
                  <wps:wsp>
                    <wps:cNvSpPr txBox="1"/>
                    <wps:spPr>
                      <a:xfrm>
                        <a:off x="0" y="0"/>
                        <a:ext cx="1853564" cy="311785"/>
                      </a:xfrm>
                      <a:prstGeom prst="rect">
                        <a:avLst/>
                      </a:prstGeom>
                    </wps:spPr>
                    <wps:txbx>
                      <w:txbxContent>
                        <w:p w14:paraId="24988177">
                          <w:pPr>
                            <w:spacing w:before="10"/>
                            <w:ind w:left="41" w:right="18" w:hanging="22"/>
                            <w:rPr>
                              <w:sz w:val="20"/>
                            </w:rPr>
                          </w:pPr>
                          <w:r>
                            <w:rPr>
                              <w:sz w:val="20"/>
                              <w:lang w:val="en-US"/>
                            </w:rPr>
                            <w:t>Study Drug:</w:t>
                          </w:r>
                          <w:r>
                            <w:rPr>
                              <w:spacing w:val="-12"/>
                              <w:sz w:val="20"/>
                            </w:rPr>
                            <w:t xml:space="preserve"> </w:t>
                          </w:r>
                          <w:r>
                            <w:rPr>
                              <w:sz w:val="20"/>
                            </w:rPr>
                            <w:t xml:space="preserve">L08-0623 </w:t>
                          </w:r>
                          <w:r>
                            <w:rPr>
                              <w:sz w:val="20"/>
                              <w:lang w:val="en-US"/>
                            </w:rPr>
                            <w:t>Protocol No.</w:t>
                          </w:r>
                          <w:r>
                            <w:rPr>
                              <w:sz w:val="20"/>
                            </w:rPr>
                            <w:t xml:space="preserve"> PSR-L08-0623</w:t>
                          </w:r>
                        </w:p>
                      </w:txbxContent>
                    </wps:txbx>
                    <wps:bodyPr wrap="square" lIns="0" tIns="0" rIns="0" bIns="0" rtlCol="0">
                      <a:noAutofit/>
                    </wps:bodyPr>
                  </wps:wsp>
                </a:graphicData>
              </a:graphic>
            </wp:anchor>
          </w:drawing>
        </mc:Choice>
        <mc:Fallback>
          <w:pict>
            <v:shape id="Textbox 14" o:spid="_x0000_s1026" o:spt="202" type="#_x0000_t202" style="position:absolute;left:0pt;margin-left:106.75pt;margin-top:35.45pt;height:24.55pt;width:145.95pt;mso-position-horizontal-relative:page;mso-position-vertical-relative:page;z-index:-251653120;mso-width-relative:page;mso-height-relative:page;" filled="f" stroked="f" coordsize="21600,21600" o:gfxdata="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pF3ndgAAAAKAQAADwAAAAAAAAABACAAAAAiAAAAZHJzL2Rvd25yZXYueG1sUEsBAhQAFAAAAAgA&#10;h07iQI3IQFCzAQAAdgMAAA4AAAAAAAAAAQAgAAAAJwEAAGRycy9lMm9Eb2MueG1sUEsFBgAAAAAG&#10;AAYAWQEAAEwFAAAAAA==&#10;">
              <v:fill on="f" focussize="0,0"/>
              <v:stroke on="f"/>
              <v:imagedata o:title=""/>
              <o:lock v:ext="edit" aspectratio="f"/>
              <v:textbox inset="0mm,0mm,0mm,0mm">
                <w:txbxContent>
                  <w:p w14:paraId="24988177">
                    <w:pPr>
                      <w:spacing w:before="10"/>
                      <w:ind w:left="41" w:right="18" w:hanging="22"/>
                      <w:rPr>
                        <w:sz w:val="20"/>
                      </w:rPr>
                    </w:pPr>
                    <w:r>
                      <w:rPr>
                        <w:sz w:val="20"/>
                        <w:lang w:val="en-US"/>
                      </w:rPr>
                      <w:t>Study Drug:</w:t>
                    </w:r>
                    <w:r>
                      <w:rPr>
                        <w:spacing w:val="-12"/>
                        <w:sz w:val="20"/>
                      </w:rPr>
                      <w:t xml:space="preserve"> </w:t>
                    </w:r>
                    <w:r>
                      <w:rPr>
                        <w:sz w:val="20"/>
                      </w:rPr>
                      <w:t xml:space="preserve">L08-0623 </w:t>
                    </w:r>
                    <w:r>
                      <w:rPr>
                        <w:sz w:val="20"/>
                        <w:lang w:val="en-US"/>
                      </w:rPr>
                      <w:t>Protocol No.</w:t>
                    </w:r>
                    <w:r>
                      <w:rPr>
                        <w:sz w:val="20"/>
                      </w:rPr>
                      <w:t xml:space="preserve"> PSR-L08-0623</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8624570</wp:posOffset>
              </wp:positionH>
              <wp:positionV relativeFrom="page">
                <wp:posOffset>450215</wp:posOffset>
              </wp:positionV>
              <wp:extent cx="1543050" cy="311785"/>
              <wp:effectExtent l="0" t="0" r="0" b="0"/>
              <wp:wrapNone/>
              <wp:docPr id="15" name="Textbox 15"/>
              <wp:cNvGraphicFramePr/>
              <a:graphic xmlns:a="http://schemas.openxmlformats.org/drawingml/2006/main">
                <a:graphicData uri="http://schemas.microsoft.com/office/word/2010/wordprocessingShape">
                  <wps:wsp>
                    <wps:cNvSpPr txBox="1"/>
                    <wps:spPr>
                      <a:xfrm>
                        <a:off x="0" y="0"/>
                        <a:ext cx="1543050" cy="311785"/>
                      </a:xfrm>
                      <a:prstGeom prst="rect">
                        <a:avLst/>
                      </a:prstGeom>
                    </wps:spPr>
                    <wps:txbx>
                      <w:txbxContent>
                        <w:p w14:paraId="14DBC3B5">
                          <w:pPr>
                            <w:spacing w:before="10"/>
                            <w:ind w:left="20" w:right="18" w:firstLine="657"/>
                            <w:rPr>
                              <w:sz w:val="20"/>
                            </w:rPr>
                          </w:pPr>
                          <w:r>
                            <w:rPr>
                              <w:sz w:val="20"/>
                              <w:lang w:val="en-US"/>
                            </w:rPr>
                            <w:t>BetaRex LLC</w:t>
                          </w:r>
                          <w:r>
                            <w:rPr>
                              <w:sz w:val="20"/>
                            </w:rPr>
                            <w:t xml:space="preserve"> Версия</w:t>
                          </w:r>
                          <w:r>
                            <w:rPr>
                              <w:spacing w:val="-8"/>
                              <w:sz w:val="20"/>
                            </w:rPr>
                            <w:t xml:space="preserve"> </w:t>
                          </w:r>
                          <w:r>
                            <w:rPr>
                              <w:sz w:val="20"/>
                            </w:rPr>
                            <w:t>1.0</w:t>
                          </w:r>
                          <w:r>
                            <w:rPr>
                              <w:spacing w:val="-6"/>
                              <w:sz w:val="20"/>
                            </w:rPr>
                            <w:t xml:space="preserve"> </w:t>
                          </w:r>
                          <w:r>
                            <w:rPr>
                              <w:sz w:val="20"/>
                            </w:rPr>
                            <w:t>от</w:t>
                          </w:r>
                          <w:r>
                            <w:rPr>
                              <w:spacing w:val="-8"/>
                              <w:sz w:val="20"/>
                            </w:rPr>
                            <w:t xml:space="preserve"> </w:t>
                          </w:r>
                          <w:r>
                            <w:rPr>
                              <w:sz w:val="20"/>
                            </w:rPr>
                            <w:t>06</w:t>
                          </w:r>
                          <w:r>
                            <w:rPr>
                              <w:spacing w:val="-6"/>
                              <w:sz w:val="20"/>
                            </w:rPr>
                            <w:t xml:space="preserve"> </w:t>
                          </w:r>
                          <w:r>
                            <w:rPr>
                              <w:sz w:val="20"/>
                            </w:rPr>
                            <w:t>мая</w:t>
                          </w:r>
                          <w:r>
                            <w:rPr>
                              <w:spacing w:val="-5"/>
                              <w:sz w:val="20"/>
                            </w:rPr>
                            <w:t xml:space="preserve"> </w:t>
                          </w:r>
                          <w:r>
                            <w:rPr>
                              <w:sz w:val="20"/>
                            </w:rPr>
                            <w:t>2024</w:t>
                          </w:r>
                          <w:r>
                            <w:rPr>
                              <w:spacing w:val="-6"/>
                              <w:sz w:val="20"/>
                            </w:rPr>
                            <w:t xml:space="preserve"> </w:t>
                          </w:r>
                          <w:r>
                            <w:rPr>
                              <w:sz w:val="20"/>
                            </w:rPr>
                            <w:t>г.</w:t>
                          </w:r>
                        </w:p>
                      </w:txbxContent>
                    </wps:txbx>
                    <wps:bodyPr wrap="square" lIns="0" tIns="0" rIns="0" bIns="0" rtlCol="0">
                      <a:noAutofit/>
                    </wps:bodyPr>
                  </wps:wsp>
                </a:graphicData>
              </a:graphic>
            </wp:anchor>
          </w:drawing>
        </mc:Choice>
        <mc:Fallback>
          <w:pict>
            <v:shape id="Textbox 15" o:spid="_x0000_s1026" o:spt="202" type="#_x0000_t202" style="position:absolute;left:0pt;margin-left:679.1pt;margin-top:35.45pt;height:24.55pt;width:121.5pt;mso-position-horizontal-relative:page;mso-position-vertical-relative:page;z-index:-251652096;mso-width-relative:page;mso-height-relative:page;" filled="f" stroked="f" coordsize="21600,21600" o:gfxdata="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ygIsnZAAAADAEAAA8AAAAAAAAAAQAgAAAAIgAAAGRycy9kb3ducmV2LnhtbFBLAQIUABQAAAAI&#10;AIdO4kCQVq59swEAAHYDAAAOAAAAAAAAAAEAIAAAACgBAABkcnMvZTJvRG9jLnhtbFBLBQYAAAAA&#10;BgAGAFkBAABNBQAAAAA=&#10;">
              <v:fill on="f" focussize="0,0"/>
              <v:stroke on="f"/>
              <v:imagedata o:title=""/>
              <o:lock v:ext="edit" aspectratio="f"/>
              <v:textbox inset="0mm,0mm,0mm,0mm">
                <w:txbxContent>
                  <w:p w14:paraId="14DBC3B5">
                    <w:pPr>
                      <w:spacing w:before="10"/>
                      <w:ind w:left="20" w:right="18" w:firstLine="657"/>
                      <w:rPr>
                        <w:sz w:val="20"/>
                      </w:rPr>
                    </w:pPr>
                    <w:r>
                      <w:rPr>
                        <w:sz w:val="20"/>
                        <w:lang w:val="en-US"/>
                      </w:rPr>
                      <w:t>BetaRex LLC</w:t>
                    </w:r>
                    <w:r>
                      <w:rPr>
                        <w:sz w:val="20"/>
                      </w:rPr>
                      <w:t xml:space="preserve"> Версия</w:t>
                    </w:r>
                    <w:r>
                      <w:rPr>
                        <w:spacing w:val="-8"/>
                        <w:sz w:val="20"/>
                      </w:rPr>
                      <w:t xml:space="preserve"> </w:t>
                    </w:r>
                    <w:r>
                      <w:rPr>
                        <w:sz w:val="20"/>
                      </w:rPr>
                      <w:t>1.0</w:t>
                    </w:r>
                    <w:r>
                      <w:rPr>
                        <w:spacing w:val="-6"/>
                        <w:sz w:val="20"/>
                      </w:rPr>
                      <w:t xml:space="preserve"> </w:t>
                    </w:r>
                    <w:r>
                      <w:rPr>
                        <w:sz w:val="20"/>
                      </w:rPr>
                      <w:t>от</w:t>
                    </w:r>
                    <w:r>
                      <w:rPr>
                        <w:spacing w:val="-8"/>
                        <w:sz w:val="20"/>
                      </w:rPr>
                      <w:t xml:space="preserve"> </w:t>
                    </w:r>
                    <w:r>
                      <w:rPr>
                        <w:sz w:val="20"/>
                      </w:rPr>
                      <w:t>06</w:t>
                    </w:r>
                    <w:r>
                      <w:rPr>
                        <w:spacing w:val="-6"/>
                        <w:sz w:val="20"/>
                      </w:rPr>
                      <w:t xml:space="preserve"> </w:t>
                    </w:r>
                    <w:r>
                      <w:rPr>
                        <w:sz w:val="20"/>
                      </w:rPr>
                      <w:t>мая</w:t>
                    </w:r>
                    <w:r>
                      <w:rPr>
                        <w:spacing w:val="-5"/>
                        <w:sz w:val="20"/>
                      </w:rPr>
                      <w:t xml:space="preserve"> </w:t>
                    </w:r>
                    <w:r>
                      <w:rPr>
                        <w:sz w:val="20"/>
                      </w:rPr>
                      <w:t>2024</w:t>
                    </w:r>
                    <w:r>
                      <w:rPr>
                        <w:spacing w:val="-6"/>
                        <w:sz w:val="20"/>
                      </w:rPr>
                      <w:t xml:space="preserve"> </w:t>
                    </w:r>
                    <w:r>
                      <w:rPr>
                        <w:sz w:val="20"/>
                      </w:rPr>
                      <w:t>г.</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9ACB3">
    <w:pPr>
      <w:pStyle w:val="7"/>
      <w:spacing w:before="0" w:line="14" w:lineRule="auto"/>
      <w:ind w:left="0" w:firstLine="0"/>
      <w:jc w:val="left"/>
      <w:rPr>
        <w:sz w:val="20"/>
      </w:rPr>
    </w:pPr>
    <w:r>
      <w:rPr>
        <w:sz w:val="20"/>
      </w:rPr>
      <mc:AlternateContent>
        <mc:Choice Requires="wps">
          <w:drawing>
            <wp:anchor distT="0" distB="0" distL="0" distR="0" simplePos="0" relativeHeight="251665408" behindDoc="1" locked="0" layoutInCell="1" allowOverlap="1">
              <wp:simplePos x="0" y="0"/>
              <wp:positionH relativeFrom="page">
                <wp:posOffset>1068070</wp:posOffset>
              </wp:positionH>
              <wp:positionV relativeFrom="page">
                <wp:posOffset>450215</wp:posOffset>
              </wp:positionV>
              <wp:extent cx="1855470" cy="311785"/>
              <wp:effectExtent l="0" t="0" r="0" b="0"/>
              <wp:wrapNone/>
              <wp:docPr id="18" name="Textbox 18"/>
              <wp:cNvGraphicFramePr/>
              <a:graphic xmlns:a="http://schemas.openxmlformats.org/drawingml/2006/main">
                <a:graphicData uri="http://schemas.microsoft.com/office/word/2010/wordprocessingShape">
                  <wps:wsp>
                    <wps:cNvSpPr txBox="1"/>
                    <wps:spPr>
                      <a:xfrm>
                        <a:off x="0" y="0"/>
                        <a:ext cx="1855470" cy="311785"/>
                      </a:xfrm>
                      <a:prstGeom prst="rect">
                        <a:avLst/>
                      </a:prstGeom>
                    </wps:spPr>
                    <wps:txbx>
                      <w:txbxContent>
                        <w:p w14:paraId="1594FC1D">
                          <w:pPr>
                            <w:spacing w:before="10"/>
                            <w:ind w:left="20"/>
                            <w:rPr>
                              <w:sz w:val="20"/>
                            </w:rPr>
                          </w:pPr>
                          <w:r>
                            <w:rPr>
                              <w:sz w:val="20"/>
                              <w:lang w:val="en-US"/>
                            </w:rPr>
                            <w:t>Study Drug:</w:t>
                          </w:r>
                          <w:r>
                            <w:rPr>
                              <w:spacing w:val="-12"/>
                              <w:sz w:val="20"/>
                            </w:rPr>
                            <w:t xml:space="preserve"> </w:t>
                          </w:r>
                          <w:r>
                            <w:rPr>
                              <w:sz w:val="20"/>
                            </w:rPr>
                            <w:t xml:space="preserve">L08-0623 </w:t>
                          </w:r>
                          <w:r>
                            <w:rPr>
                              <w:sz w:val="20"/>
                              <w:lang w:val="en-US"/>
                            </w:rPr>
                            <w:t>Protocol No.</w:t>
                          </w:r>
                          <w:r>
                            <w:rPr>
                              <w:sz w:val="20"/>
                            </w:rPr>
                            <w:t xml:space="preserve"> PSR-L08-0623</w:t>
                          </w:r>
                        </w:p>
                      </w:txbxContent>
                    </wps:txbx>
                    <wps:bodyPr wrap="square" lIns="0" tIns="0" rIns="0" bIns="0" rtlCol="0">
                      <a:noAutofit/>
                    </wps:bodyPr>
                  </wps:wsp>
                </a:graphicData>
              </a:graphic>
            </wp:anchor>
          </w:drawing>
        </mc:Choice>
        <mc:Fallback>
          <w:pict>
            <v:shape id="Textbox 18" o:spid="_x0000_s1026" o:spt="202" type="#_x0000_t202" style="position:absolute;left:0pt;margin-left:84.1pt;margin-top:35.45pt;height:24.55pt;width:146.1pt;mso-position-horizontal-relative:page;mso-position-vertical-relative:page;z-index:-251651072;mso-width-relative:page;mso-height-relative:page;" filled="f" stroked="f" coordsize="21600,21600" o:gfxdata="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Ui&#10;g7nXAAAACgEAAA8AAAAAAAAAAQAgAAAAIgAAAGRycy9kb3ducmV2LnhtbFBLAQIUABQAAAAIAIdO&#10;4kCqqVh1sgEAAHYDAAAOAAAAAAAAAAEAIAAAACYBAABkcnMvZTJvRG9jLnhtbFBLBQYAAAAABgAG&#10;AFkBAABKBQAAAAA=&#10;">
              <v:fill on="f" focussize="0,0"/>
              <v:stroke on="f"/>
              <v:imagedata o:title=""/>
              <o:lock v:ext="edit" aspectratio="f"/>
              <v:textbox inset="0mm,0mm,0mm,0mm">
                <w:txbxContent>
                  <w:p w14:paraId="1594FC1D">
                    <w:pPr>
                      <w:spacing w:before="10"/>
                      <w:ind w:left="20"/>
                      <w:rPr>
                        <w:sz w:val="20"/>
                      </w:rPr>
                    </w:pPr>
                    <w:r>
                      <w:rPr>
                        <w:sz w:val="20"/>
                        <w:lang w:val="en-US"/>
                      </w:rPr>
                      <w:t>Study Drug:</w:t>
                    </w:r>
                    <w:r>
                      <w:rPr>
                        <w:spacing w:val="-12"/>
                        <w:sz w:val="20"/>
                      </w:rPr>
                      <w:t xml:space="preserve"> </w:t>
                    </w:r>
                    <w:r>
                      <w:rPr>
                        <w:sz w:val="20"/>
                      </w:rPr>
                      <w:t xml:space="preserve">L08-0623 </w:t>
                    </w:r>
                    <w:r>
                      <w:rPr>
                        <w:sz w:val="20"/>
                        <w:lang w:val="en-US"/>
                      </w:rPr>
                      <w:t>Protocol No.</w:t>
                    </w:r>
                    <w:r>
                      <w:rPr>
                        <w:sz w:val="20"/>
                      </w:rPr>
                      <w:t xml:space="preserve"> PSR-L08-0623</w:t>
                    </w: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5399405</wp:posOffset>
              </wp:positionH>
              <wp:positionV relativeFrom="page">
                <wp:posOffset>450215</wp:posOffset>
              </wp:positionV>
              <wp:extent cx="1635125" cy="311785"/>
              <wp:effectExtent l="0" t="0" r="0" b="0"/>
              <wp:wrapNone/>
              <wp:docPr id="19" name="Textbox 19"/>
              <wp:cNvGraphicFramePr/>
              <a:graphic xmlns:a="http://schemas.openxmlformats.org/drawingml/2006/main">
                <a:graphicData uri="http://schemas.microsoft.com/office/word/2010/wordprocessingShape">
                  <wps:wsp>
                    <wps:cNvSpPr txBox="1"/>
                    <wps:spPr>
                      <a:xfrm>
                        <a:off x="0" y="0"/>
                        <a:ext cx="1635125" cy="311785"/>
                      </a:xfrm>
                      <a:prstGeom prst="rect">
                        <a:avLst/>
                      </a:prstGeom>
                    </wps:spPr>
                    <wps:txbx>
                      <w:txbxContent>
                        <w:p w14:paraId="6AB0AC68">
                          <w:pPr>
                            <w:spacing w:before="10"/>
                            <w:ind w:left="20" w:right="13" w:firstLine="1085"/>
                            <w:rPr>
                              <w:rFonts w:hint="default"/>
                              <w:sz w:val="20"/>
                              <w:lang w:val="en-US"/>
                            </w:rPr>
                          </w:pPr>
                          <w:r>
                            <w:rPr>
                              <w:sz w:val="20"/>
                              <w:lang w:val="en-US"/>
                            </w:rPr>
                            <w:t>BetaRex LLC</w:t>
                          </w:r>
                          <w:r>
                            <w:rPr>
                              <w:sz w:val="20"/>
                            </w:rPr>
                            <w:t xml:space="preserve"> </w:t>
                          </w:r>
                          <w:r>
                            <w:rPr>
                              <w:sz w:val="20"/>
                              <w:lang w:val="en-US"/>
                            </w:rPr>
                            <w:t>Version 1.0 dated June 10, 2024</w:t>
                          </w:r>
                        </w:p>
                      </w:txbxContent>
                    </wps:txbx>
                    <wps:bodyPr wrap="square" lIns="0" tIns="0" rIns="0" bIns="0" rtlCol="0">
                      <a:noAutofit/>
                    </wps:bodyPr>
                  </wps:wsp>
                </a:graphicData>
              </a:graphic>
            </wp:anchor>
          </w:drawing>
        </mc:Choice>
        <mc:Fallback>
          <w:pict>
            <v:shape id="Textbox 19" o:spid="_x0000_s1026" o:spt="202" type="#_x0000_t202" style="position:absolute;left:0pt;margin-left:425.15pt;margin-top:35.45pt;height:24.55pt;width:128.75pt;mso-position-horizontal-relative:page;mso-position-vertical-relative:page;z-index:-251650048;mso-width-relative:page;mso-height-relative:page;" filled="f" stroked="f" coordsize="21600,21600" o:gfxdata="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A&#10;3Hjs1wAAAAsBAAAPAAAAAAAAAAEAIAAAACIAAABkcnMvZG93bnJldi54bWxQSwECFAAUAAAACACH&#10;TuJAPhRmT7MBAAB2AwAADgAAAAAAAAABACAAAAAmAQAAZHJzL2Uyb0RvYy54bWxQSwUGAAAAAAYA&#10;BgBZAQAASwUAAAAA&#10;">
              <v:fill on="f" focussize="0,0"/>
              <v:stroke on="f"/>
              <v:imagedata o:title=""/>
              <o:lock v:ext="edit" aspectratio="f"/>
              <v:textbox inset="0mm,0mm,0mm,0mm">
                <w:txbxContent>
                  <w:p w14:paraId="6AB0AC68">
                    <w:pPr>
                      <w:spacing w:before="10"/>
                      <w:ind w:left="20" w:right="13" w:firstLine="1085"/>
                      <w:rPr>
                        <w:rFonts w:hint="default"/>
                        <w:sz w:val="20"/>
                        <w:lang w:val="en-US"/>
                      </w:rPr>
                    </w:pPr>
                    <w:r>
                      <w:rPr>
                        <w:sz w:val="20"/>
                        <w:lang w:val="en-US"/>
                      </w:rPr>
                      <w:t>BetaRex LLC</w:t>
                    </w:r>
                    <w:r>
                      <w:rPr>
                        <w:sz w:val="20"/>
                      </w:rPr>
                      <w:t xml:space="preserve"> </w:t>
                    </w:r>
                    <w:r>
                      <w:rPr>
                        <w:sz w:val="20"/>
                        <w:lang w:val="en-US"/>
                      </w:rPr>
                      <w:t>Version 1.0 dated June 10, 2024</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97AF8"/>
    <w:multiLevelType w:val="multilevel"/>
    <w:tmpl w:val="00697AF8"/>
    <w:lvl w:ilvl="0" w:tentative="0">
      <w:start w:val="0"/>
      <w:numFmt w:val="bullet"/>
      <w:lvlText w:val="-"/>
      <w:lvlJc w:val="left"/>
      <w:pPr>
        <w:ind w:left="285"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1258" w:hanging="140"/>
      </w:pPr>
      <w:rPr>
        <w:rFonts w:hint="default"/>
        <w:lang w:val="ru-RU" w:eastAsia="en-US" w:bidi="ar-SA"/>
      </w:rPr>
    </w:lvl>
    <w:lvl w:ilvl="2" w:tentative="0">
      <w:start w:val="0"/>
      <w:numFmt w:val="bullet"/>
      <w:lvlText w:val="•"/>
      <w:lvlJc w:val="left"/>
      <w:pPr>
        <w:ind w:left="2236" w:hanging="140"/>
      </w:pPr>
      <w:rPr>
        <w:rFonts w:hint="default"/>
        <w:lang w:val="ru-RU" w:eastAsia="en-US" w:bidi="ar-SA"/>
      </w:rPr>
    </w:lvl>
    <w:lvl w:ilvl="3" w:tentative="0">
      <w:start w:val="0"/>
      <w:numFmt w:val="bullet"/>
      <w:lvlText w:val="•"/>
      <w:lvlJc w:val="left"/>
      <w:pPr>
        <w:ind w:left="3215" w:hanging="140"/>
      </w:pPr>
      <w:rPr>
        <w:rFonts w:hint="default"/>
        <w:lang w:val="ru-RU" w:eastAsia="en-US" w:bidi="ar-SA"/>
      </w:rPr>
    </w:lvl>
    <w:lvl w:ilvl="4" w:tentative="0">
      <w:start w:val="0"/>
      <w:numFmt w:val="bullet"/>
      <w:lvlText w:val="•"/>
      <w:lvlJc w:val="left"/>
      <w:pPr>
        <w:ind w:left="4193" w:hanging="140"/>
      </w:pPr>
      <w:rPr>
        <w:rFonts w:hint="default"/>
        <w:lang w:val="ru-RU" w:eastAsia="en-US" w:bidi="ar-SA"/>
      </w:rPr>
    </w:lvl>
    <w:lvl w:ilvl="5" w:tentative="0">
      <w:start w:val="0"/>
      <w:numFmt w:val="bullet"/>
      <w:lvlText w:val="•"/>
      <w:lvlJc w:val="left"/>
      <w:pPr>
        <w:ind w:left="5172" w:hanging="140"/>
      </w:pPr>
      <w:rPr>
        <w:rFonts w:hint="default"/>
        <w:lang w:val="ru-RU" w:eastAsia="en-US" w:bidi="ar-SA"/>
      </w:rPr>
    </w:lvl>
    <w:lvl w:ilvl="6" w:tentative="0">
      <w:start w:val="0"/>
      <w:numFmt w:val="bullet"/>
      <w:lvlText w:val="•"/>
      <w:lvlJc w:val="left"/>
      <w:pPr>
        <w:ind w:left="6150" w:hanging="140"/>
      </w:pPr>
      <w:rPr>
        <w:rFonts w:hint="default"/>
        <w:lang w:val="ru-RU" w:eastAsia="en-US" w:bidi="ar-SA"/>
      </w:rPr>
    </w:lvl>
    <w:lvl w:ilvl="7" w:tentative="0">
      <w:start w:val="0"/>
      <w:numFmt w:val="bullet"/>
      <w:lvlText w:val="•"/>
      <w:lvlJc w:val="left"/>
      <w:pPr>
        <w:ind w:left="7129" w:hanging="140"/>
      </w:pPr>
      <w:rPr>
        <w:rFonts w:hint="default"/>
        <w:lang w:val="ru-RU" w:eastAsia="en-US" w:bidi="ar-SA"/>
      </w:rPr>
    </w:lvl>
    <w:lvl w:ilvl="8" w:tentative="0">
      <w:start w:val="0"/>
      <w:numFmt w:val="bullet"/>
      <w:lvlText w:val="•"/>
      <w:lvlJc w:val="left"/>
      <w:pPr>
        <w:ind w:left="8107" w:hanging="140"/>
      </w:pPr>
      <w:rPr>
        <w:rFonts w:hint="default"/>
        <w:lang w:val="ru-RU" w:eastAsia="en-US" w:bidi="ar-SA"/>
      </w:rPr>
    </w:lvl>
  </w:abstractNum>
  <w:abstractNum w:abstractNumId="1">
    <w:nsid w:val="10D203D5"/>
    <w:multiLevelType w:val="multilevel"/>
    <w:tmpl w:val="10D203D5"/>
    <w:lvl w:ilvl="0" w:tentative="0">
      <w:start w:val="0"/>
      <w:numFmt w:val="bullet"/>
      <w:lvlText w:val=""/>
      <w:lvlJc w:val="left"/>
      <w:pPr>
        <w:ind w:left="107" w:hanging="361"/>
      </w:pPr>
      <w:rPr>
        <w:rFonts w:hint="default" w:ascii="Symbol" w:hAnsi="Symbol" w:eastAsia="Symbol" w:cs="Symbol"/>
        <w:b w:val="0"/>
        <w:bCs w:val="0"/>
        <w:i w:val="0"/>
        <w:iCs w:val="0"/>
        <w:spacing w:val="0"/>
        <w:w w:val="99"/>
        <w:sz w:val="20"/>
        <w:szCs w:val="20"/>
        <w:lang w:val="ru-RU" w:eastAsia="en-US" w:bidi="ar-SA"/>
      </w:rPr>
    </w:lvl>
    <w:lvl w:ilvl="1" w:tentative="0">
      <w:start w:val="0"/>
      <w:numFmt w:val="bullet"/>
      <w:lvlText w:val="•"/>
      <w:lvlJc w:val="left"/>
      <w:pPr>
        <w:ind w:left="882" w:hanging="361"/>
      </w:pPr>
      <w:rPr>
        <w:rFonts w:hint="default"/>
        <w:lang w:val="ru-RU" w:eastAsia="en-US" w:bidi="ar-SA"/>
      </w:rPr>
    </w:lvl>
    <w:lvl w:ilvl="2" w:tentative="0">
      <w:start w:val="0"/>
      <w:numFmt w:val="bullet"/>
      <w:lvlText w:val="•"/>
      <w:lvlJc w:val="left"/>
      <w:pPr>
        <w:ind w:left="1665" w:hanging="361"/>
      </w:pPr>
      <w:rPr>
        <w:rFonts w:hint="default"/>
        <w:lang w:val="ru-RU" w:eastAsia="en-US" w:bidi="ar-SA"/>
      </w:rPr>
    </w:lvl>
    <w:lvl w:ilvl="3" w:tentative="0">
      <w:start w:val="0"/>
      <w:numFmt w:val="bullet"/>
      <w:lvlText w:val="•"/>
      <w:lvlJc w:val="left"/>
      <w:pPr>
        <w:ind w:left="2448" w:hanging="361"/>
      </w:pPr>
      <w:rPr>
        <w:rFonts w:hint="default"/>
        <w:lang w:val="ru-RU" w:eastAsia="en-US" w:bidi="ar-SA"/>
      </w:rPr>
    </w:lvl>
    <w:lvl w:ilvl="4" w:tentative="0">
      <w:start w:val="0"/>
      <w:numFmt w:val="bullet"/>
      <w:lvlText w:val="•"/>
      <w:lvlJc w:val="left"/>
      <w:pPr>
        <w:ind w:left="3231" w:hanging="361"/>
      </w:pPr>
      <w:rPr>
        <w:rFonts w:hint="default"/>
        <w:lang w:val="ru-RU" w:eastAsia="en-US" w:bidi="ar-SA"/>
      </w:rPr>
    </w:lvl>
    <w:lvl w:ilvl="5" w:tentative="0">
      <w:start w:val="0"/>
      <w:numFmt w:val="bullet"/>
      <w:lvlText w:val="•"/>
      <w:lvlJc w:val="left"/>
      <w:pPr>
        <w:ind w:left="4014" w:hanging="361"/>
      </w:pPr>
      <w:rPr>
        <w:rFonts w:hint="default"/>
        <w:lang w:val="ru-RU" w:eastAsia="en-US" w:bidi="ar-SA"/>
      </w:rPr>
    </w:lvl>
    <w:lvl w:ilvl="6" w:tentative="0">
      <w:start w:val="0"/>
      <w:numFmt w:val="bullet"/>
      <w:lvlText w:val="•"/>
      <w:lvlJc w:val="left"/>
      <w:pPr>
        <w:ind w:left="4797" w:hanging="361"/>
      </w:pPr>
      <w:rPr>
        <w:rFonts w:hint="default"/>
        <w:lang w:val="ru-RU" w:eastAsia="en-US" w:bidi="ar-SA"/>
      </w:rPr>
    </w:lvl>
    <w:lvl w:ilvl="7" w:tentative="0">
      <w:start w:val="0"/>
      <w:numFmt w:val="bullet"/>
      <w:lvlText w:val="•"/>
      <w:lvlJc w:val="left"/>
      <w:pPr>
        <w:ind w:left="5580" w:hanging="361"/>
      </w:pPr>
      <w:rPr>
        <w:rFonts w:hint="default"/>
        <w:lang w:val="ru-RU" w:eastAsia="en-US" w:bidi="ar-SA"/>
      </w:rPr>
    </w:lvl>
    <w:lvl w:ilvl="8" w:tentative="0">
      <w:start w:val="0"/>
      <w:numFmt w:val="bullet"/>
      <w:lvlText w:val="•"/>
      <w:lvlJc w:val="left"/>
      <w:pPr>
        <w:ind w:left="6363" w:hanging="361"/>
      </w:pPr>
      <w:rPr>
        <w:rFonts w:hint="default"/>
        <w:lang w:val="ru-RU" w:eastAsia="en-US" w:bidi="ar-SA"/>
      </w:rPr>
    </w:lvl>
  </w:abstractNum>
  <w:abstractNum w:abstractNumId="2">
    <w:nsid w:val="1E5F4B27"/>
    <w:multiLevelType w:val="multilevel"/>
    <w:tmpl w:val="1E5F4B27"/>
    <w:lvl w:ilvl="0" w:tentative="0">
      <w:start w:val="0"/>
      <w:numFmt w:val="bullet"/>
      <w:lvlText w:val=""/>
      <w:lvlJc w:val="left"/>
      <w:pPr>
        <w:ind w:left="107" w:hanging="361"/>
      </w:pPr>
      <w:rPr>
        <w:rFonts w:hint="default" w:ascii="Symbol" w:hAnsi="Symbol" w:eastAsia="Symbol" w:cs="Symbol"/>
        <w:b w:val="0"/>
        <w:bCs w:val="0"/>
        <w:i w:val="0"/>
        <w:iCs w:val="0"/>
        <w:spacing w:val="0"/>
        <w:w w:val="99"/>
        <w:sz w:val="20"/>
        <w:szCs w:val="20"/>
        <w:lang w:val="ru-RU" w:eastAsia="en-US" w:bidi="ar-SA"/>
      </w:rPr>
    </w:lvl>
    <w:lvl w:ilvl="1" w:tentative="0">
      <w:start w:val="0"/>
      <w:numFmt w:val="bullet"/>
      <w:lvlText w:val="•"/>
      <w:lvlJc w:val="left"/>
      <w:pPr>
        <w:ind w:left="882" w:hanging="361"/>
      </w:pPr>
      <w:rPr>
        <w:rFonts w:hint="default"/>
        <w:lang w:val="ru-RU" w:eastAsia="en-US" w:bidi="ar-SA"/>
      </w:rPr>
    </w:lvl>
    <w:lvl w:ilvl="2" w:tentative="0">
      <w:start w:val="0"/>
      <w:numFmt w:val="bullet"/>
      <w:lvlText w:val="•"/>
      <w:lvlJc w:val="left"/>
      <w:pPr>
        <w:ind w:left="1665" w:hanging="361"/>
      </w:pPr>
      <w:rPr>
        <w:rFonts w:hint="default"/>
        <w:lang w:val="ru-RU" w:eastAsia="en-US" w:bidi="ar-SA"/>
      </w:rPr>
    </w:lvl>
    <w:lvl w:ilvl="3" w:tentative="0">
      <w:start w:val="0"/>
      <w:numFmt w:val="bullet"/>
      <w:lvlText w:val="•"/>
      <w:lvlJc w:val="left"/>
      <w:pPr>
        <w:ind w:left="2448" w:hanging="361"/>
      </w:pPr>
      <w:rPr>
        <w:rFonts w:hint="default"/>
        <w:lang w:val="ru-RU" w:eastAsia="en-US" w:bidi="ar-SA"/>
      </w:rPr>
    </w:lvl>
    <w:lvl w:ilvl="4" w:tentative="0">
      <w:start w:val="0"/>
      <w:numFmt w:val="bullet"/>
      <w:lvlText w:val="•"/>
      <w:lvlJc w:val="left"/>
      <w:pPr>
        <w:ind w:left="3231" w:hanging="361"/>
      </w:pPr>
      <w:rPr>
        <w:rFonts w:hint="default"/>
        <w:lang w:val="ru-RU" w:eastAsia="en-US" w:bidi="ar-SA"/>
      </w:rPr>
    </w:lvl>
    <w:lvl w:ilvl="5" w:tentative="0">
      <w:start w:val="0"/>
      <w:numFmt w:val="bullet"/>
      <w:lvlText w:val="•"/>
      <w:lvlJc w:val="left"/>
      <w:pPr>
        <w:ind w:left="4014" w:hanging="361"/>
      </w:pPr>
      <w:rPr>
        <w:rFonts w:hint="default"/>
        <w:lang w:val="ru-RU" w:eastAsia="en-US" w:bidi="ar-SA"/>
      </w:rPr>
    </w:lvl>
    <w:lvl w:ilvl="6" w:tentative="0">
      <w:start w:val="0"/>
      <w:numFmt w:val="bullet"/>
      <w:lvlText w:val="•"/>
      <w:lvlJc w:val="left"/>
      <w:pPr>
        <w:ind w:left="4797" w:hanging="361"/>
      </w:pPr>
      <w:rPr>
        <w:rFonts w:hint="default"/>
        <w:lang w:val="ru-RU" w:eastAsia="en-US" w:bidi="ar-SA"/>
      </w:rPr>
    </w:lvl>
    <w:lvl w:ilvl="7" w:tentative="0">
      <w:start w:val="0"/>
      <w:numFmt w:val="bullet"/>
      <w:lvlText w:val="•"/>
      <w:lvlJc w:val="left"/>
      <w:pPr>
        <w:ind w:left="5580" w:hanging="361"/>
      </w:pPr>
      <w:rPr>
        <w:rFonts w:hint="default"/>
        <w:lang w:val="ru-RU" w:eastAsia="en-US" w:bidi="ar-SA"/>
      </w:rPr>
    </w:lvl>
    <w:lvl w:ilvl="8" w:tentative="0">
      <w:start w:val="0"/>
      <w:numFmt w:val="bullet"/>
      <w:lvlText w:val="•"/>
      <w:lvlJc w:val="left"/>
      <w:pPr>
        <w:ind w:left="6363" w:hanging="361"/>
      </w:pPr>
      <w:rPr>
        <w:rFonts w:hint="default"/>
        <w:lang w:val="ru-RU" w:eastAsia="en-US" w:bidi="ar-SA"/>
      </w:rPr>
    </w:lvl>
  </w:abstractNum>
  <w:abstractNum w:abstractNumId="3">
    <w:nsid w:val="1EA12C66"/>
    <w:multiLevelType w:val="multilevel"/>
    <w:tmpl w:val="1EA12C66"/>
    <w:lvl w:ilvl="0" w:tentative="0">
      <w:start w:val="0"/>
      <w:numFmt w:val="bullet"/>
      <w:lvlText w:val=""/>
      <w:lvlJc w:val="left"/>
      <w:pPr>
        <w:ind w:left="503" w:hanging="360"/>
      </w:pPr>
      <w:rPr>
        <w:rFonts w:hint="default" w:ascii="Wingdings" w:hAnsi="Wingdings" w:eastAsia="Wingdings" w:cs="Wingdings"/>
        <w:b w:val="0"/>
        <w:bCs w:val="0"/>
        <w:i w:val="0"/>
        <w:iCs w:val="0"/>
        <w:spacing w:val="0"/>
        <w:w w:val="100"/>
        <w:sz w:val="24"/>
        <w:szCs w:val="24"/>
        <w:lang w:val="ru-RU" w:eastAsia="en-US" w:bidi="ar-SA"/>
      </w:rPr>
    </w:lvl>
    <w:lvl w:ilvl="1" w:tentative="0">
      <w:start w:val="0"/>
      <w:numFmt w:val="bullet"/>
      <w:lvlText w:val="•"/>
      <w:lvlJc w:val="left"/>
      <w:pPr>
        <w:ind w:left="1428" w:hanging="360"/>
      </w:pPr>
      <w:rPr>
        <w:rFonts w:hint="default"/>
        <w:lang w:val="ru-RU" w:eastAsia="en-US" w:bidi="ar-SA"/>
      </w:rPr>
    </w:lvl>
    <w:lvl w:ilvl="2" w:tentative="0">
      <w:start w:val="0"/>
      <w:numFmt w:val="bullet"/>
      <w:lvlText w:val="•"/>
      <w:lvlJc w:val="left"/>
      <w:pPr>
        <w:ind w:left="2356" w:hanging="360"/>
      </w:pPr>
      <w:rPr>
        <w:rFonts w:hint="default"/>
        <w:lang w:val="ru-RU" w:eastAsia="en-US" w:bidi="ar-SA"/>
      </w:rPr>
    </w:lvl>
    <w:lvl w:ilvl="3" w:tentative="0">
      <w:start w:val="0"/>
      <w:numFmt w:val="bullet"/>
      <w:lvlText w:val="•"/>
      <w:lvlJc w:val="left"/>
      <w:pPr>
        <w:ind w:left="3284" w:hanging="360"/>
      </w:pPr>
      <w:rPr>
        <w:rFonts w:hint="default"/>
        <w:lang w:val="ru-RU" w:eastAsia="en-US" w:bidi="ar-SA"/>
      </w:rPr>
    </w:lvl>
    <w:lvl w:ilvl="4" w:tentative="0">
      <w:start w:val="0"/>
      <w:numFmt w:val="bullet"/>
      <w:lvlText w:val="•"/>
      <w:lvlJc w:val="left"/>
      <w:pPr>
        <w:ind w:left="4212" w:hanging="360"/>
      </w:pPr>
      <w:rPr>
        <w:rFonts w:hint="default"/>
        <w:lang w:val="ru-RU" w:eastAsia="en-US" w:bidi="ar-SA"/>
      </w:rPr>
    </w:lvl>
    <w:lvl w:ilvl="5" w:tentative="0">
      <w:start w:val="0"/>
      <w:numFmt w:val="bullet"/>
      <w:lvlText w:val="•"/>
      <w:lvlJc w:val="left"/>
      <w:pPr>
        <w:ind w:left="5140" w:hanging="360"/>
      </w:pPr>
      <w:rPr>
        <w:rFonts w:hint="default"/>
        <w:lang w:val="ru-RU" w:eastAsia="en-US" w:bidi="ar-SA"/>
      </w:rPr>
    </w:lvl>
    <w:lvl w:ilvl="6" w:tentative="0">
      <w:start w:val="0"/>
      <w:numFmt w:val="bullet"/>
      <w:lvlText w:val="•"/>
      <w:lvlJc w:val="left"/>
      <w:pPr>
        <w:ind w:left="6068" w:hanging="360"/>
      </w:pPr>
      <w:rPr>
        <w:rFonts w:hint="default"/>
        <w:lang w:val="ru-RU" w:eastAsia="en-US" w:bidi="ar-SA"/>
      </w:rPr>
    </w:lvl>
    <w:lvl w:ilvl="7" w:tentative="0">
      <w:start w:val="0"/>
      <w:numFmt w:val="bullet"/>
      <w:lvlText w:val="•"/>
      <w:lvlJc w:val="left"/>
      <w:pPr>
        <w:ind w:left="6996" w:hanging="360"/>
      </w:pPr>
      <w:rPr>
        <w:rFonts w:hint="default"/>
        <w:lang w:val="ru-RU" w:eastAsia="en-US" w:bidi="ar-SA"/>
      </w:rPr>
    </w:lvl>
    <w:lvl w:ilvl="8" w:tentative="0">
      <w:start w:val="0"/>
      <w:numFmt w:val="bullet"/>
      <w:lvlText w:val="•"/>
      <w:lvlJc w:val="left"/>
      <w:pPr>
        <w:ind w:left="7925" w:hanging="360"/>
      </w:pPr>
      <w:rPr>
        <w:rFonts w:hint="default"/>
        <w:lang w:val="ru-RU" w:eastAsia="en-US" w:bidi="ar-SA"/>
      </w:rPr>
    </w:lvl>
  </w:abstractNum>
  <w:abstractNum w:abstractNumId="4">
    <w:nsid w:val="21876C76"/>
    <w:multiLevelType w:val="multilevel"/>
    <w:tmpl w:val="21876C76"/>
    <w:lvl w:ilvl="0" w:tentative="0">
      <w:start w:val="0"/>
      <w:numFmt w:val="bullet"/>
      <w:lvlText w:val=""/>
      <w:lvlJc w:val="left"/>
      <w:pPr>
        <w:ind w:left="1139" w:hanging="360"/>
      </w:pPr>
      <w:rPr>
        <w:rFonts w:hint="default" w:ascii="Wingdings" w:hAnsi="Wingdings" w:eastAsia="Wingdings" w:cs="Wingdings"/>
        <w:b w:val="0"/>
        <w:bCs w:val="0"/>
        <w:i w:val="0"/>
        <w:iCs w:val="0"/>
        <w:spacing w:val="0"/>
        <w:w w:val="100"/>
        <w:sz w:val="24"/>
        <w:szCs w:val="24"/>
        <w:lang w:val="ru-RU" w:eastAsia="en-US" w:bidi="ar-SA"/>
      </w:rPr>
    </w:lvl>
    <w:lvl w:ilvl="1" w:tentative="0">
      <w:start w:val="0"/>
      <w:numFmt w:val="bullet"/>
      <w:lvlText w:val="•"/>
      <w:lvlJc w:val="left"/>
      <w:pPr>
        <w:ind w:left="1947" w:hanging="360"/>
      </w:pPr>
      <w:rPr>
        <w:rFonts w:hint="default"/>
        <w:lang w:val="ru-RU" w:eastAsia="en-US" w:bidi="ar-SA"/>
      </w:rPr>
    </w:lvl>
    <w:lvl w:ilvl="2" w:tentative="0">
      <w:start w:val="0"/>
      <w:numFmt w:val="bullet"/>
      <w:lvlText w:val="•"/>
      <w:lvlJc w:val="left"/>
      <w:pPr>
        <w:ind w:left="2754" w:hanging="360"/>
      </w:pPr>
      <w:rPr>
        <w:rFonts w:hint="default"/>
        <w:lang w:val="ru-RU" w:eastAsia="en-US" w:bidi="ar-SA"/>
      </w:rPr>
    </w:lvl>
    <w:lvl w:ilvl="3" w:tentative="0">
      <w:start w:val="0"/>
      <w:numFmt w:val="bullet"/>
      <w:lvlText w:val="•"/>
      <w:lvlJc w:val="left"/>
      <w:pPr>
        <w:ind w:left="3561" w:hanging="360"/>
      </w:pPr>
      <w:rPr>
        <w:rFonts w:hint="default"/>
        <w:lang w:val="ru-RU" w:eastAsia="en-US" w:bidi="ar-SA"/>
      </w:rPr>
    </w:lvl>
    <w:lvl w:ilvl="4" w:tentative="0">
      <w:start w:val="0"/>
      <w:numFmt w:val="bullet"/>
      <w:lvlText w:val="•"/>
      <w:lvlJc w:val="left"/>
      <w:pPr>
        <w:ind w:left="4368" w:hanging="360"/>
      </w:pPr>
      <w:rPr>
        <w:rFonts w:hint="default"/>
        <w:lang w:val="ru-RU" w:eastAsia="en-US" w:bidi="ar-SA"/>
      </w:rPr>
    </w:lvl>
    <w:lvl w:ilvl="5" w:tentative="0">
      <w:start w:val="0"/>
      <w:numFmt w:val="bullet"/>
      <w:lvlText w:val="•"/>
      <w:lvlJc w:val="left"/>
      <w:pPr>
        <w:ind w:left="5175" w:hanging="360"/>
      </w:pPr>
      <w:rPr>
        <w:rFonts w:hint="default"/>
        <w:lang w:val="ru-RU" w:eastAsia="en-US" w:bidi="ar-SA"/>
      </w:rPr>
    </w:lvl>
    <w:lvl w:ilvl="6" w:tentative="0">
      <w:start w:val="0"/>
      <w:numFmt w:val="bullet"/>
      <w:lvlText w:val="•"/>
      <w:lvlJc w:val="left"/>
      <w:pPr>
        <w:ind w:left="5982" w:hanging="360"/>
      </w:pPr>
      <w:rPr>
        <w:rFonts w:hint="default"/>
        <w:lang w:val="ru-RU" w:eastAsia="en-US" w:bidi="ar-SA"/>
      </w:rPr>
    </w:lvl>
    <w:lvl w:ilvl="7" w:tentative="0">
      <w:start w:val="0"/>
      <w:numFmt w:val="bullet"/>
      <w:lvlText w:val="•"/>
      <w:lvlJc w:val="left"/>
      <w:pPr>
        <w:ind w:left="6789" w:hanging="360"/>
      </w:pPr>
      <w:rPr>
        <w:rFonts w:hint="default"/>
        <w:lang w:val="ru-RU" w:eastAsia="en-US" w:bidi="ar-SA"/>
      </w:rPr>
    </w:lvl>
    <w:lvl w:ilvl="8" w:tentative="0">
      <w:start w:val="0"/>
      <w:numFmt w:val="bullet"/>
      <w:lvlText w:val="•"/>
      <w:lvlJc w:val="left"/>
      <w:pPr>
        <w:ind w:left="7596" w:hanging="360"/>
      </w:pPr>
      <w:rPr>
        <w:rFonts w:hint="default"/>
        <w:lang w:val="ru-RU" w:eastAsia="en-US" w:bidi="ar-SA"/>
      </w:rPr>
    </w:lvl>
  </w:abstractNum>
  <w:abstractNum w:abstractNumId="5">
    <w:nsid w:val="21F61448"/>
    <w:multiLevelType w:val="multilevel"/>
    <w:tmpl w:val="21F61448"/>
    <w:lvl w:ilvl="0" w:tentative="0">
      <w:start w:val="0"/>
      <w:numFmt w:val="bullet"/>
      <w:lvlText w:val=""/>
      <w:lvlJc w:val="left"/>
      <w:pPr>
        <w:ind w:left="928" w:hanging="360"/>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1041" w:hanging="360"/>
      </w:pPr>
      <w:rPr>
        <w:rFonts w:hint="default" w:ascii="Symbol" w:hAnsi="Symbol" w:eastAsia="Symbol" w:cs="Symbol"/>
        <w:spacing w:val="0"/>
        <w:w w:val="100"/>
        <w:lang w:val="ru-RU" w:eastAsia="en-US" w:bidi="ar-SA"/>
      </w:rPr>
    </w:lvl>
    <w:lvl w:ilvl="2" w:tentative="0">
      <w:start w:val="0"/>
      <w:numFmt w:val="bullet"/>
      <w:lvlText w:val="•"/>
      <w:lvlJc w:val="left"/>
      <w:pPr>
        <w:ind w:left="2042" w:hanging="360"/>
      </w:pPr>
      <w:rPr>
        <w:rFonts w:hint="default"/>
        <w:lang w:val="ru-RU" w:eastAsia="en-US" w:bidi="ar-SA"/>
      </w:rPr>
    </w:lvl>
    <w:lvl w:ilvl="3" w:tentative="0">
      <w:start w:val="0"/>
      <w:numFmt w:val="bullet"/>
      <w:lvlText w:val="•"/>
      <w:lvlJc w:val="left"/>
      <w:pPr>
        <w:ind w:left="3045" w:hanging="360"/>
      </w:pPr>
      <w:rPr>
        <w:rFonts w:hint="default"/>
        <w:lang w:val="ru-RU" w:eastAsia="en-US" w:bidi="ar-SA"/>
      </w:rPr>
    </w:lvl>
    <w:lvl w:ilvl="4" w:tentative="0">
      <w:start w:val="0"/>
      <w:numFmt w:val="bullet"/>
      <w:lvlText w:val="•"/>
      <w:lvlJc w:val="left"/>
      <w:pPr>
        <w:ind w:left="4048" w:hanging="360"/>
      </w:pPr>
      <w:rPr>
        <w:rFonts w:hint="default"/>
        <w:lang w:val="ru-RU" w:eastAsia="en-US" w:bidi="ar-SA"/>
      </w:rPr>
    </w:lvl>
    <w:lvl w:ilvl="5" w:tentative="0">
      <w:start w:val="0"/>
      <w:numFmt w:val="bullet"/>
      <w:lvlText w:val="•"/>
      <w:lvlJc w:val="left"/>
      <w:pPr>
        <w:ind w:left="5050" w:hanging="360"/>
      </w:pPr>
      <w:rPr>
        <w:rFonts w:hint="default"/>
        <w:lang w:val="ru-RU" w:eastAsia="en-US" w:bidi="ar-SA"/>
      </w:rPr>
    </w:lvl>
    <w:lvl w:ilvl="6" w:tentative="0">
      <w:start w:val="0"/>
      <w:numFmt w:val="bullet"/>
      <w:lvlText w:val="•"/>
      <w:lvlJc w:val="left"/>
      <w:pPr>
        <w:ind w:left="6053" w:hanging="360"/>
      </w:pPr>
      <w:rPr>
        <w:rFonts w:hint="default"/>
        <w:lang w:val="ru-RU" w:eastAsia="en-US" w:bidi="ar-SA"/>
      </w:rPr>
    </w:lvl>
    <w:lvl w:ilvl="7" w:tentative="0">
      <w:start w:val="0"/>
      <w:numFmt w:val="bullet"/>
      <w:lvlText w:val="•"/>
      <w:lvlJc w:val="left"/>
      <w:pPr>
        <w:ind w:left="7056" w:hanging="360"/>
      </w:pPr>
      <w:rPr>
        <w:rFonts w:hint="default"/>
        <w:lang w:val="ru-RU" w:eastAsia="en-US" w:bidi="ar-SA"/>
      </w:rPr>
    </w:lvl>
    <w:lvl w:ilvl="8" w:tentative="0">
      <w:start w:val="0"/>
      <w:numFmt w:val="bullet"/>
      <w:lvlText w:val="•"/>
      <w:lvlJc w:val="left"/>
      <w:pPr>
        <w:ind w:left="8058" w:hanging="360"/>
      </w:pPr>
      <w:rPr>
        <w:rFonts w:hint="default"/>
        <w:lang w:val="ru-RU" w:eastAsia="en-US" w:bidi="ar-SA"/>
      </w:rPr>
    </w:lvl>
  </w:abstractNum>
  <w:abstractNum w:abstractNumId="6">
    <w:nsid w:val="244222FF"/>
    <w:multiLevelType w:val="multilevel"/>
    <w:tmpl w:val="244222FF"/>
    <w:lvl w:ilvl="0" w:tentative="0">
      <w:start w:val="1"/>
      <w:numFmt w:val="decimal"/>
      <w:lvlText w:val="%1"/>
      <w:lvlJc w:val="left"/>
      <w:pPr>
        <w:ind w:left="1021" w:hanging="483"/>
        <w:jc w:val="right"/>
      </w:pPr>
      <w:rPr>
        <w:rFonts w:hint="default" w:ascii="Times New Roman" w:hAnsi="Times New Roman" w:eastAsia="Times New Roman" w:cs="Times New Roman"/>
        <w:b/>
        <w:bCs/>
        <w:i w:val="0"/>
        <w:iCs w:val="0"/>
        <w:spacing w:val="0"/>
        <w:w w:val="100"/>
        <w:sz w:val="24"/>
        <w:szCs w:val="24"/>
        <w:lang w:val="ru-RU" w:eastAsia="en-US" w:bidi="ar-SA"/>
      </w:rPr>
    </w:lvl>
    <w:lvl w:ilvl="1" w:tentative="0">
      <w:start w:val="1"/>
      <w:numFmt w:val="decimal"/>
      <w:lvlText w:val="%1.%2"/>
      <w:lvlJc w:val="left"/>
      <w:pPr>
        <w:ind w:left="1371" w:hanging="660"/>
        <w:jc w:val="right"/>
      </w:pPr>
      <w:rPr>
        <w:rFonts w:hint="default" w:ascii="Times New Roman" w:hAnsi="Times New Roman" w:eastAsia="Times New Roman" w:cs="Times New Roman"/>
        <w:b/>
        <w:bCs/>
        <w:i w:val="0"/>
        <w:iCs w:val="0"/>
        <w:spacing w:val="0"/>
        <w:w w:val="100"/>
        <w:sz w:val="24"/>
        <w:szCs w:val="24"/>
        <w:lang w:val="ru-RU" w:eastAsia="en-US" w:bidi="ar-SA"/>
      </w:rPr>
    </w:lvl>
    <w:lvl w:ilvl="2" w:tentative="0">
      <w:start w:val="1"/>
      <w:numFmt w:val="decimal"/>
      <w:lvlText w:val="%1.%2.%3"/>
      <w:lvlJc w:val="left"/>
      <w:pPr>
        <w:ind w:left="1844" w:hanging="569"/>
        <w:jc w:val="left"/>
      </w:pPr>
      <w:rPr>
        <w:rFonts w:hint="default" w:ascii="Times New Roman" w:hAnsi="Times New Roman" w:eastAsia="Times New Roman" w:cs="Times New Roman"/>
        <w:b/>
        <w:bCs/>
        <w:i w:val="0"/>
        <w:iCs w:val="0"/>
        <w:spacing w:val="0"/>
        <w:w w:val="100"/>
        <w:sz w:val="24"/>
        <w:szCs w:val="24"/>
        <w:lang w:val="ru-RU" w:eastAsia="en-US" w:bidi="ar-SA"/>
      </w:rPr>
    </w:lvl>
    <w:lvl w:ilvl="3" w:tentative="0">
      <w:start w:val="1"/>
      <w:numFmt w:val="decimal"/>
      <w:lvlText w:val="%1.%2.%3.%4"/>
      <w:lvlJc w:val="left"/>
      <w:pPr>
        <w:ind w:left="1986" w:hanging="720"/>
        <w:jc w:val="right"/>
      </w:pPr>
      <w:rPr>
        <w:rFonts w:hint="default" w:ascii="Times New Roman" w:hAnsi="Times New Roman" w:eastAsia="Times New Roman" w:cs="Times New Roman"/>
        <w:b/>
        <w:bCs/>
        <w:i w:val="0"/>
        <w:iCs w:val="0"/>
        <w:spacing w:val="0"/>
        <w:w w:val="100"/>
        <w:sz w:val="24"/>
        <w:szCs w:val="24"/>
        <w:lang w:val="ru-RU" w:eastAsia="en-US" w:bidi="ar-SA"/>
      </w:rPr>
    </w:lvl>
    <w:lvl w:ilvl="4" w:tentative="0">
      <w:start w:val="0"/>
      <w:numFmt w:val="bullet"/>
      <w:lvlText w:val="•"/>
      <w:lvlJc w:val="left"/>
      <w:pPr>
        <w:ind w:left="1840" w:hanging="720"/>
      </w:pPr>
      <w:rPr>
        <w:rFonts w:hint="default"/>
        <w:lang w:val="ru-RU" w:eastAsia="en-US" w:bidi="ar-SA"/>
      </w:rPr>
    </w:lvl>
    <w:lvl w:ilvl="5" w:tentative="0">
      <w:start w:val="0"/>
      <w:numFmt w:val="bullet"/>
      <w:lvlText w:val="•"/>
      <w:lvlJc w:val="left"/>
      <w:pPr>
        <w:ind w:left="1980" w:hanging="720"/>
      </w:pPr>
      <w:rPr>
        <w:rFonts w:hint="default"/>
        <w:lang w:val="ru-RU" w:eastAsia="en-US" w:bidi="ar-SA"/>
      </w:rPr>
    </w:lvl>
    <w:lvl w:ilvl="6" w:tentative="0">
      <w:start w:val="0"/>
      <w:numFmt w:val="bullet"/>
      <w:lvlText w:val="•"/>
      <w:lvlJc w:val="left"/>
      <w:pPr>
        <w:ind w:left="2080" w:hanging="720"/>
      </w:pPr>
      <w:rPr>
        <w:rFonts w:hint="default"/>
        <w:lang w:val="ru-RU" w:eastAsia="en-US" w:bidi="ar-SA"/>
      </w:rPr>
    </w:lvl>
    <w:lvl w:ilvl="7" w:tentative="0">
      <w:start w:val="0"/>
      <w:numFmt w:val="bullet"/>
      <w:lvlText w:val="•"/>
      <w:lvlJc w:val="left"/>
      <w:pPr>
        <w:ind w:left="2640" w:hanging="720"/>
      </w:pPr>
      <w:rPr>
        <w:rFonts w:hint="default"/>
        <w:lang w:val="ru-RU" w:eastAsia="en-US" w:bidi="ar-SA"/>
      </w:rPr>
    </w:lvl>
    <w:lvl w:ilvl="8" w:tentative="0">
      <w:start w:val="0"/>
      <w:numFmt w:val="bullet"/>
      <w:lvlText w:val="•"/>
      <w:lvlJc w:val="left"/>
      <w:pPr>
        <w:ind w:left="2780" w:hanging="720"/>
      </w:pPr>
      <w:rPr>
        <w:rFonts w:hint="default"/>
        <w:lang w:val="ru-RU" w:eastAsia="en-US" w:bidi="ar-SA"/>
      </w:rPr>
    </w:lvl>
  </w:abstractNum>
  <w:abstractNum w:abstractNumId="7">
    <w:nsid w:val="29404837"/>
    <w:multiLevelType w:val="multilevel"/>
    <w:tmpl w:val="29404837"/>
    <w:lvl w:ilvl="0" w:tentative="0">
      <w:start w:val="0"/>
      <w:numFmt w:val="bullet"/>
      <w:lvlText w:val="-"/>
      <w:lvlJc w:val="left"/>
      <w:pPr>
        <w:ind w:left="424"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285" w:hanging="363"/>
      </w:pPr>
      <w:rPr>
        <w:rFonts w:hint="default" w:ascii="Symbol" w:hAnsi="Symbol" w:eastAsia="Symbol" w:cs="Symbol"/>
        <w:b w:val="0"/>
        <w:bCs w:val="0"/>
        <w:i w:val="0"/>
        <w:iCs w:val="0"/>
        <w:spacing w:val="0"/>
        <w:w w:val="100"/>
        <w:sz w:val="24"/>
        <w:szCs w:val="24"/>
        <w:lang w:val="ru-RU" w:eastAsia="en-US" w:bidi="ar-SA"/>
      </w:rPr>
    </w:lvl>
    <w:lvl w:ilvl="2" w:tentative="0">
      <w:start w:val="0"/>
      <w:numFmt w:val="bullet"/>
      <w:lvlText w:val="•"/>
      <w:lvlJc w:val="left"/>
      <w:pPr>
        <w:ind w:left="1491" w:hanging="363"/>
      </w:pPr>
      <w:rPr>
        <w:rFonts w:hint="default"/>
        <w:lang w:val="ru-RU" w:eastAsia="en-US" w:bidi="ar-SA"/>
      </w:rPr>
    </w:lvl>
    <w:lvl w:ilvl="3" w:tentative="0">
      <w:start w:val="0"/>
      <w:numFmt w:val="bullet"/>
      <w:lvlText w:val="•"/>
      <w:lvlJc w:val="left"/>
      <w:pPr>
        <w:ind w:left="2563" w:hanging="363"/>
      </w:pPr>
      <w:rPr>
        <w:rFonts w:hint="default"/>
        <w:lang w:val="ru-RU" w:eastAsia="en-US" w:bidi="ar-SA"/>
      </w:rPr>
    </w:lvl>
    <w:lvl w:ilvl="4" w:tentative="0">
      <w:start w:val="0"/>
      <w:numFmt w:val="bullet"/>
      <w:lvlText w:val="•"/>
      <w:lvlJc w:val="left"/>
      <w:pPr>
        <w:ind w:left="3634" w:hanging="363"/>
      </w:pPr>
      <w:rPr>
        <w:rFonts w:hint="default"/>
        <w:lang w:val="ru-RU" w:eastAsia="en-US" w:bidi="ar-SA"/>
      </w:rPr>
    </w:lvl>
    <w:lvl w:ilvl="5" w:tentative="0">
      <w:start w:val="0"/>
      <w:numFmt w:val="bullet"/>
      <w:lvlText w:val="•"/>
      <w:lvlJc w:val="left"/>
      <w:pPr>
        <w:ind w:left="4706" w:hanging="363"/>
      </w:pPr>
      <w:rPr>
        <w:rFonts w:hint="default"/>
        <w:lang w:val="ru-RU" w:eastAsia="en-US" w:bidi="ar-SA"/>
      </w:rPr>
    </w:lvl>
    <w:lvl w:ilvl="6" w:tentative="0">
      <w:start w:val="0"/>
      <w:numFmt w:val="bullet"/>
      <w:lvlText w:val="•"/>
      <w:lvlJc w:val="left"/>
      <w:pPr>
        <w:ind w:left="5778" w:hanging="363"/>
      </w:pPr>
      <w:rPr>
        <w:rFonts w:hint="default"/>
        <w:lang w:val="ru-RU" w:eastAsia="en-US" w:bidi="ar-SA"/>
      </w:rPr>
    </w:lvl>
    <w:lvl w:ilvl="7" w:tentative="0">
      <w:start w:val="0"/>
      <w:numFmt w:val="bullet"/>
      <w:lvlText w:val="•"/>
      <w:lvlJc w:val="left"/>
      <w:pPr>
        <w:ind w:left="6849" w:hanging="363"/>
      </w:pPr>
      <w:rPr>
        <w:rFonts w:hint="default"/>
        <w:lang w:val="ru-RU" w:eastAsia="en-US" w:bidi="ar-SA"/>
      </w:rPr>
    </w:lvl>
    <w:lvl w:ilvl="8" w:tentative="0">
      <w:start w:val="0"/>
      <w:numFmt w:val="bullet"/>
      <w:lvlText w:val="•"/>
      <w:lvlJc w:val="left"/>
      <w:pPr>
        <w:ind w:left="7921" w:hanging="363"/>
      </w:pPr>
      <w:rPr>
        <w:rFonts w:hint="default"/>
        <w:lang w:val="ru-RU" w:eastAsia="en-US" w:bidi="ar-SA"/>
      </w:rPr>
    </w:lvl>
  </w:abstractNum>
  <w:abstractNum w:abstractNumId="8">
    <w:nsid w:val="2D221AB3"/>
    <w:multiLevelType w:val="multilevel"/>
    <w:tmpl w:val="2D221AB3"/>
    <w:lvl w:ilvl="0" w:tentative="0">
      <w:start w:val="0"/>
      <w:numFmt w:val="bullet"/>
      <w:lvlText w:val=""/>
      <w:lvlJc w:val="left"/>
      <w:pPr>
        <w:ind w:left="445" w:hanging="360"/>
      </w:pPr>
      <w:rPr>
        <w:rFonts w:hint="default" w:ascii="Symbol" w:hAnsi="Symbol" w:eastAsia="Symbol" w:cs="Symbol"/>
        <w:spacing w:val="0"/>
        <w:w w:val="100"/>
        <w:lang w:val="ru-RU" w:eastAsia="en-US" w:bidi="ar-SA"/>
      </w:rPr>
    </w:lvl>
    <w:lvl w:ilvl="1" w:tentative="0">
      <w:start w:val="0"/>
      <w:numFmt w:val="bullet"/>
      <w:lvlText w:val="•"/>
      <w:lvlJc w:val="left"/>
      <w:pPr>
        <w:ind w:left="1316" w:hanging="360"/>
      </w:pPr>
      <w:rPr>
        <w:rFonts w:hint="default"/>
        <w:lang w:val="ru-RU" w:eastAsia="en-US" w:bidi="ar-SA"/>
      </w:rPr>
    </w:lvl>
    <w:lvl w:ilvl="2" w:tentative="0">
      <w:start w:val="0"/>
      <w:numFmt w:val="bullet"/>
      <w:lvlText w:val="•"/>
      <w:lvlJc w:val="left"/>
      <w:pPr>
        <w:ind w:left="2193" w:hanging="360"/>
      </w:pPr>
      <w:rPr>
        <w:rFonts w:hint="default"/>
        <w:lang w:val="ru-RU" w:eastAsia="en-US" w:bidi="ar-SA"/>
      </w:rPr>
    </w:lvl>
    <w:lvl w:ilvl="3" w:tentative="0">
      <w:start w:val="0"/>
      <w:numFmt w:val="bullet"/>
      <w:lvlText w:val="•"/>
      <w:lvlJc w:val="left"/>
      <w:pPr>
        <w:ind w:left="3070" w:hanging="360"/>
      </w:pPr>
      <w:rPr>
        <w:rFonts w:hint="default"/>
        <w:lang w:val="ru-RU" w:eastAsia="en-US" w:bidi="ar-SA"/>
      </w:rPr>
    </w:lvl>
    <w:lvl w:ilvl="4" w:tentative="0">
      <w:start w:val="0"/>
      <w:numFmt w:val="bullet"/>
      <w:lvlText w:val="•"/>
      <w:lvlJc w:val="left"/>
      <w:pPr>
        <w:ind w:left="3947" w:hanging="360"/>
      </w:pPr>
      <w:rPr>
        <w:rFonts w:hint="default"/>
        <w:lang w:val="ru-RU" w:eastAsia="en-US" w:bidi="ar-SA"/>
      </w:rPr>
    </w:lvl>
    <w:lvl w:ilvl="5" w:tentative="0">
      <w:start w:val="0"/>
      <w:numFmt w:val="bullet"/>
      <w:lvlText w:val="•"/>
      <w:lvlJc w:val="left"/>
      <w:pPr>
        <w:ind w:left="4824" w:hanging="360"/>
      </w:pPr>
      <w:rPr>
        <w:rFonts w:hint="default"/>
        <w:lang w:val="ru-RU" w:eastAsia="en-US" w:bidi="ar-SA"/>
      </w:rPr>
    </w:lvl>
    <w:lvl w:ilvl="6" w:tentative="0">
      <w:start w:val="0"/>
      <w:numFmt w:val="bullet"/>
      <w:lvlText w:val="•"/>
      <w:lvlJc w:val="left"/>
      <w:pPr>
        <w:ind w:left="5701" w:hanging="360"/>
      </w:pPr>
      <w:rPr>
        <w:rFonts w:hint="default"/>
        <w:lang w:val="ru-RU" w:eastAsia="en-US" w:bidi="ar-SA"/>
      </w:rPr>
    </w:lvl>
    <w:lvl w:ilvl="7" w:tentative="0">
      <w:start w:val="0"/>
      <w:numFmt w:val="bullet"/>
      <w:lvlText w:val="•"/>
      <w:lvlJc w:val="left"/>
      <w:pPr>
        <w:ind w:left="6578" w:hanging="360"/>
      </w:pPr>
      <w:rPr>
        <w:rFonts w:hint="default"/>
        <w:lang w:val="ru-RU" w:eastAsia="en-US" w:bidi="ar-SA"/>
      </w:rPr>
    </w:lvl>
    <w:lvl w:ilvl="8" w:tentative="0">
      <w:start w:val="0"/>
      <w:numFmt w:val="bullet"/>
      <w:lvlText w:val="•"/>
      <w:lvlJc w:val="left"/>
      <w:pPr>
        <w:ind w:left="7455" w:hanging="360"/>
      </w:pPr>
      <w:rPr>
        <w:rFonts w:hint="default"/>
        <w:lang w:val="ru-RU" w:eastAsia="en-US" w:bidi="ar-SA"/>
      </w:rPr>
    </w:lvl>
  </w:abstractNum>
  <w:abstractNum w:abstractNumId="9">
    <w:nsid w:val="32133C26"/>
    <w:multiLevelType w:val="multilevel"/>
    <w:tmpl w:val="32133C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2981C85"/>
    <w:multiLevelType w:val="multilevel"/>
    <w:tmpl w:val="32981C85"/>
    <w:lvl w:ilvl="0" w:tentative="0">
      <w:start w:val="1"/>
      <w:numFmt w:val="decimal"/>
      <w:lvlText w:val="%1."/>
      <w:lvlJc w:val="left"/>
      <w:pPr>
        <w:ind w:left="993"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1906" w:hanging="360"/>
      </w:pPr>
      <w:rPr>
        <w:rFonts w:hint="default"/>
        <w:lang w:val="ru-RU" w:eastAsia="en-US" w:bidi="ar-SA"/>
      </w:rPr>
    </w:lvl>
    <w:lvl w:ilvl="2" w:tentative="0">
      <w:start w:val="0"/>
      <w:numFmt w:val="bullet"/>
      <w:lvlText w:val="•"/>
      <w:lvlJc w:val="left"/>
      <w:pPr>
        <w:ind w:left="2812" w:hanging="360"/>
      </w:pPr>
      <w:rPr>
        <w:rFonts w:hint="default"/>
        <w:lang w:val="ru-RU" w:eastAsia="en-US" w:bidi="ar-SA"/>
      </w:rPr>
    </w:lvl>
    <w:lvl w:ilvl="3" w:tentative="0">
      <w:start w:val="0"/>
      <w:numFmt w:val="bullet"/>
      <w:lvlText w:val="•"/>
      <w:lvlJc w:val="left"/>
      <w:pPr>
        <w:ind w:left="3719" w:hanging="360"/>
      </w:pPr>
      <w:rPr>
        <w:rFonts w:hint="default"/>
        <w:lang w:val="ru-RU" w:eastAsia="en-US" w:bidi="ar-SA"/>
      </w:rPr>
    </w:lvl>
    <w:lvl w:ilvl="4" w:tentative="0">
      <w:start w:val="0"/>
      <w:numFmt w:val="bullet"/>
      <w:lvlText w:val="•"/>
      <w:lvlJc w:val="left"/>
      <w:pPr>
        <w:ind w:left="4625" w:hanging="360"/>
      </w:pPr>
      <w:rPr>
        <w:rFonts w:hint="default"/>
        <w:lang w:val="ru-RU" w:eastAsia="en-US" w:bidi="ar-SA"/>
      </w:rPr>
    </w:lvl>
    <w:lvl w:ilvl="5" w:tentative="0">
      <w:start w:val="0"/>
      <w:numFmt w:val="bullet"/>
      <w:lvlText w:val="•"/>
      <w:lvlJc w:val="left"/>
      <w:pPr>
        <w:ind w:left="5532" w:hanging="360"/>
      </w:pPr>
      <w:rPr>
        <w:rFonts w:hint="default"/>
        <w:lang w:val="ru-RU" w:eastAsia="en-US" w:bidi="ar-SA"/>
      </w:rPr>
    </w:lvl>
    <w:lvl w:ilvl="6" w:tentative="0">
      <w:start w:val="0"/>
      <w:numFmt w:val="bullet"/>
      <w:lvlText w:val="•"/>
      <w:lvlJc w:val="left"/>
      <w:pPr>
        <w:ind w:left="6438" w:hanging="360"/>
      </w:pPr>
      <w:rPr>
        <w:rFonts w:hint="default"/>
        <w:lang w:val="ru-RU" w:eastAsia="en-US" w:bidi="ar-SA"/>
      </w:rPr>
    </w:lvl>
    <w:lvl w:ilvl="7" w:tentative="0">
      <w:start w:val="0"/>
      <w:numFmt w:val="bullet"/>
      <w:lvlText w:val="•"/>
      <w:lvlJc w:val="left"/>
      <w:pPr>
        <w:ind w:left="7345" w:hanging="360"/>
      </w:pPr>
      <w:rPr>
        <w:rFonts w:hint="default"/>
        <w:lang w:val="ru-RU" w:eastAsia="en-US" w:bidi="ar-SA"/>
      </w:rPr>
    </w:lvl>
    <w:lvl w:ilvl="8" w:tentative="0">
      <w:start w:val="0"/>
      <w:numFmt w:val="bullet"/>
      <w:lvlText w:val="•"/>
      <w:lvlJc w:val="left"/>
      <w:pPr>
        <w:ind w:left="8251" w:hanging="360"/>
      </w:pPr>
      <w:rPr>
        <w:rFonts w:hint="default"/>
        <w:lang w:val="ru-RU" w:eastAsia="en-US" w:bidi="ar-SA"/>
      </w:rPr>
    </w:lvl>
  </w:abstractNum>
  <w:abstractNum w:abstractNumId="11">
    <w:nsid w:val="330C0497"/>
    <w:multiLevelType w:val="multilevel"/>
    <w:tmpl w:val="330C0497"/>
    <w:lvl w:ilvl="0" w:tentative="0">
      <w:start w:val="0"/>
      <w:numFmt w:val="bullet"/>
      <w:lvlText w:val=""/>
      <w:lvlJc w:val="left"/>
      <w:pPr>
        <w:ind w:left="1432" w:hanging="360"/>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2302" w:hanging="360"/>
      </w:pPr>
      <w:rPr>
        <w:rFonts w:hint="default"/>
        <w:lang w:val="ru-RU" w:eastAsia="en-US" w:bidi="ar-SA"/>
      </w:rPr>
    </w:lvl>
    <w:lvl w:ilvl="2" w:tentative="0">
      <w:start w:val="0"/>
      <w:numFmt w:val="bullet"/>
      <w:lvlText w:val="•"/>
      <w:lvlJc w:val="left"/>
      <w:pPr>
        <w:ind w:left="3164" w:hanging="360"/>
      </w:pPr>
      <w:rPr>
        <w:rFonts w:hint="default"/>
        <w:lang w:val="ru-RU" w:eastAsia="en-US" w:bidi="ar-SA"/>
      </w:rPr>
    </w:lvl>
    <w:lvl w:ilvl="3" w:tentative="0">
      <w:start w:val="0"/>
      <w:numFmt w:val="bullet"/>
      <w:lvlText w:val="•"/>
      <w:lvlJc w:val="left"/>
      <w:pPr>
        <w:ind w:left="4027" w:hanging="360"/>
      </w:pPr>
      <w:rPr>
        <w:rFonts w:hint="default"/>
        <w:lang w:val="ru-RU" w:eastAsia="en-US" w:bidi="ar-SA"/>
      </w:rPr>
    </w:lvl>
    <w:lvl w:ilvl="4" w:tentative="0">
      <w:start w:val="0"/>
      <w:numFmt w:val="bullet"/>
      <w:lvlText w:val="•"/>
      <w:lvlJc w:val="left"/>
      <w:pPr>
        <w:ind w:left="4889" w:hanging="360"/>
      </w:pPr>
      <w:rPr>
        <w:rFonts w:hint="default"/>
        <w:lang w:val="ru-RU" w:eastAsia="en-US" w:bidi="ar-SA"/>
      </w:rPr>
    </w:lvl>
    <w:lvl w:ilvl="5" w:tentative="0">
      <w:start w:val="0"/>
      <w:numFmt w:val="bullet"/>
      <w:lvlText w:val="•"/>
      <w:lvlJc w:val="left"/>
      <w:pPr>
        <w:ind w:left="5752" w:hanging="360"/>
      </w:pPr>
      <w:rPr>
        <w:rFonts w:hint="default"/>
        <w:lang w:val="ru-RU" w:eastAsia="en-US" w:bidi="ar-SA"/>
      </w:rPr>
    </w:lvl>
    <w:lvl w:ilvl="6" w:tentative="0">
      <w:start w:val="0"/>
      <w:numFmt w:val="bullet"/>
      <w:lvlText w:val="•"/>
      <w:lvlJc w:val="left"/>
      <w:pPr>
        <w:ind w:left="6614" w:hanging="360"/>
      </w:pPr>
      <w:rPr>
        <w:rFonts w:hint="default"/>
        <w:lang w:val="ru-RU" w:eastAsia="en-US" w:bidi="ar-SA"/>
      </w:rPr>
    </w:lvl>
    <w:lvl w:ilvl="7" w:tentative="0">
      <w:start w:val="0"/>
      <w:numFmt w:val="bullet"/>
      <w:lvlText w:val="•"/>
      <w:lvlJc w:val="left"/>
      <w:pPr>
        <w:ind w:left="7477" w:hanging="360"/>
      </w:pPr>
      <w:rPr>
        <w:rFonts w:hint="default"/>
        <w:lang w:val="ru-RU" w:eastAsia="en-US" w:bidi="ar-SA"/>
      </w:rPr>
    </w:lvl>
    <w:lvl w:ilvl="8" w:tentative="0">
      <w:start w:val="0"/>
      <w:numFmt w:val="bullet"/>
      <w:lvlText w:val="•"/>
      <w:lvlJc w:val="left"/>
      <w:pPr>
        <w:ind w:left="8339" w:hanging="360"/>
      </w:pPr>
      <w:rPr>
        <w:rFonts w:hint="default"/>
        <w:lang w:val="ru-RU" w:eastAsia="en-US" w:bidi="ar-SA"/>
      </w:rPr>
    </w:lvl>
  </w:abstractNum>
  <w:abstractNum w:abstractNumId="12">
    <w:nsid w:val="390E7DFE"/>
    <w:multiLevelType w:val="multilevel"/>
    <w:tmpl w:val="390E7DFE"/>
    <w:lvl w:ilvl="0" w:tentative="0">
      <w:start w:val="1"/>
      <w:numFmt w:val="bullet"/>
      <w:lvlText w:val=""/>
      <w:lvlJc w:val="left"/>
      <w:pPr>
        <w:tabs>
          <w:tab w:val="left" w:pos="0"/>
        </w:tabs>
        <w:ind w:left="1440" w:hanging="360"/>
      </w:pPr>
      <w:rPr>
        <w:rFonts w:hint="default" w:ascii="Wingdings" w:hAnsi="Wingdings" w:cs="Wingdings"/>
      </w:rPr>
    </w:lvl>
    <w:lvl w:ilvl="1" w:tentative="0">
      <w:start w:val="1"/>
      <w:numFmt w:val="bullet"/>
      <w:lvlText w:val="o"/>
      <w:lvlJc w:val="left"/>
      <w:pPr>
        <w:tabs>
          <w:tab w:val="left" w:pos="0"/>
        </w:tabs>
        <w:ind w:left="2160" w:hanging="360"/>
      </w:pPr>
      <w:rPr>
        <w:rFonts w:hint="default" w:ascii="Courier New" w:hAnsi="Courier New" w:cs="Courier New"/>
      </w:rPr>
    </w:lvl>
    <w:lvl w:ilvl="2" w:tentative="0">
      <w:start w:val="1"/>
      <w:numFmt w:val="bullet"/>
      <w:lvlText w:val=""/>
      <w:lvlJc w:val="left"/>
      <w:pPr>
        <w:tabs>
          <w:tab w:val="left" w:pos="0"/>
        </w:tabs>
        <w:ind w:left="2880" w:hanging="360"/>
      </w:pPr>
      <w:rPr>
        <w:rFonts w:hint="default" w:ascii="Wingdings" w:hAnsi="Wingdings" w:cs="Wingdings"/>
      </w:rPr>
    </w:lvl>
    <w:lvl w:ilvl="3" w:tentative="0">
      <w:start w:val="1"/>
      <w:numFmt w:val="bullet"/>
      <w:lvlText w:val=""/>
      <w:lvlJc w:val="left"/>
      <w:pPr>
        <w:tabs>
          <w:tab w:val="left" w:pos="0"/>
        </w:tabs>
        <w:ind w:left="3600" w:hanging="360"/>
      </w:pPr>
      <w:rPr>
        <w:rFonts w:hint="default" w:ascii="Symbol" w:hAnsi="Symbol" w:cs="Symbol"/>
      </w:rPr>
    </w:lvl>
    <w:lvl w:ilvl="4" w:tentative="0">
      <w:start w:val="1"/>
      <w:numFmt w:val="bullet"/>
      <w:lvlText w:val="o"/>
      <w:lvlJc w:val="left"/>
      <w:pPr>
        <w:tabs>
          <w:tab w:val="left" w:pos="0"/>
        </w:tabs>
        <w:ind w:left="4320" w:hanging="360"/>
      </w:pPr>
      <w:rPr>
        <w:rFonts w:hint="default" w:ascii="Courier New" w:hAnsi="Courier New" w:cs="Courier New"/>
      </w:rPr>
    </w:lvl>
    <w:lvl w:ilvl="5" w:tentative="0">
      <w:start w:val="1"/>
      <w:numFmt w:val="bullet"/>
      <w:lvlText w:val=""/>
      <w:lvlJc w:val="left"/>
      <w:pPr>
        <w:tabs>
          <w:tab w:val="left" w:pos="0"/>
        </w:tabs>
        <w:ind w:left="5040" w:hanging="360"/>
      </w:pPr>
      <w:rPr>
        <w:rFonts w:hint="default" w:ascii="Wingdings" w:hAnsi="Wingdings" w:cs="Wingdings"/>
      </w:rPr>
    </w:lvl>
    <w:lvl w:ilvl="6" w:tentative="0">
      <w:start w:val="1"/>
      <w:numFmt w:val="bullet"/>
      <w:lvlText w:val=""/>
      <w:lvlJc w:val="left"/>
      <w:pPr>
        <w:tabs>
          <w:tab w:val="left" w:pos="0"/>
        </w:tabs>
        <w:ind w:left="5760" w:hanging="360"/>
      </w:pPr>
      <w:rPr>
        <w:rFonts w:hint="default" w:ascii="Symbol" w:hAnsi="Symbol" w:cs="Symbol"/>
      </w:rPr>
    </w:lvl>
    <w:lvl w:ilvl="7" w:tentative="0">
      <w:start w:val="1"/>
      <w:numFmt w:val="bullet"/>
      <w:lvlText w:val="o"/>
      <w:lvlJc w:val="left"/>
      <w:pPr>
        <w:tabs>
          <w:tab w:val="left" w:pos="0"/>
        </w:tabs>
        <w:ind w:left="6480" w:hanging="360"/>
      </w:pPr>
      <w:rPr>
        <w:rFonts w:hint="default" w:ascii="Courier New" w:hAnsi="Courier New" w:cs="Courier New"/>
      </w:rPr>
    </w:lvl>
    <w:lvl w:ilvl="8" w:tentative="0">
      <w:start w:val="1"/>
      <w:numFmt w:val="bullet"/>
      <w:lvlText w:val=""/>
      <w:lvlJc w:val="left"/>
      <w:pPr>
        <w:tabs>
          <w:tab w:val="left" w:pos="0"/>
        </w:tabs>
        <w:ind w:left="7200" w:hanging="360"/>
      </w:pPr>
      <w:rPr>
        <w:rFonts w:hint="default" w:ascii="Wingdings" w:hAnsi="Wingdings" w:cs="Wingdings"/>
      </w:rPr>
    </w:lvl>
  </w:abstractNum>
  <w:abstractNum w:abstractNumId="13">
    <w:nsid w:val="3DE673F5"/>
    <w:multiLevelType w:val="multilevel"/>
    <w:tmpl w:val="3DE673F5"/>
    <w:lvl w:ilvl="0" w:tentative="0">
      <w:start w:val="1"/>
      <w:numFmt w:val="decimal"/>
      <w:lvlText w:val="%1."/>
      <w:lvlJc w:val="left"/>
      <w:pPr>
        <w:ind w:left="1417" w:hanging="425"/>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2284" w:hanging="425"/>
      </w:pPr>
      <w:rPr>
        <w:rFonts w:hint="default"/>
        <w:lang w:val="ru-RU" w:eastAsia="en-US" w:bidi="ar-SA"/>
      </w:rPr>
    </w:lvl>
    <w:lvl w:ilvl="2" w:tentative="0">
      <w:start w:val="0"/>
      <w:numFmt w:val="bullet"/>
      <w:lvlText w:val="•"/>
      <w:lvlJc w:val="left"/>
      <w:pPr>
        <w:ind w:left="3148" w:hanging="425"/>
      </w:pPr>
      <w:rPr>
        <w:rFonts w:hint="default"/>
        <w:lang w:val="ru-RU" w:eastAsia="en-US" w:bidi="ar-SA"/>
      </w:rPr>
    </w:lvl>
    <w:lvl w:ilvl="3" w:tentative="0">
      <w:start w:val="0"/>
      <w:numFmt w:val="bullet"/>
      <w:lvlText w:val="•"/>
      <w:lvlJc w:val="left"/>
      <w:pPr>
        <w:ind w:left="4013" w:hanging="425"/>
      </w:pPr>
      <w:rPr>
        <w:rFonts w:hint="default"/>
        <w:lang w:val="ru-RU" w:eastAsia="en-US" w:bidi="ar-SA"/>
      </w:rPr>
    </w:lvl>
    <w:lvl w:ilvl="4" w:tentative="0">
      <w:start w:val="0"/>
      <w:numFmt w:val="bullet"/>
      <w:lvlText w:val="•"/>
      <w:lvlJc w:val="left"/>
      <w:pPr>
        <w:ind w:left="4877" w:hanging="425"/>
      </w:pPr>
      <w:rPr>
        <w:rFonts w:hint="default"/>
        <w:lang w:val="ru-RU" w:eastAsia="en-US" w:bidi="ar-SA"/>
      </w:rPr>
    </w:lvl>
    <w:lvl w:ilvl="5" w:tentative="0">
      <w:start w:val="0"/>
      <w:numFmt w:val="bullet"/>
      <w:lvlText w:val="•"/>
      <w:lvlJc w:val="left"/>
      <w:pPr>
        <w:ind w:left="5742" w:hanging="425"/>
      </w:pPr>
      <w:rPr>
        <w:rFonts w:hint="default"/>
        <w:lang w:val="ru-RU" w:eastAsia="en-US" w:bidi="ar-SA"/>
      </w:rPr>
    </w:lvl>
    <w:lvl w:ilvl="6" w:tentative="0">
      <w:start w:val="0"/>
      <w:numFmt w:val="bullet"/>
      <w:lvlText w:val="•"/>
      <w:lvlJc w:val="left"/>
      <w:pPr>
        <w:ind w:left="6606" w:hanging="425"/>
      </w:pPr>
      <w:rPr>
        <w:rFonts w:hint="default"/>
        <w:lang w:val="ru-RU" w:eastAsia="en-US" w:bidi="ar-SA"/>
      </w:rPr>
    </w:lvl>
    <w:lvl w:ilvl="7" w:tentative="0">
      <w:start w:val="0"/>
      <w:numFmt w:val="bullet"/>
      <w:lvlText w:val="•"/>
      <w:lvlJc w:val="left"/>
      <w:pPr>
        <w:ind w:left="7471" w:hanging="425"/>
      </w:pPr>
      <w:rPr>
        <w:rFonts w:hint="default"/>
        <w:lang w:val="ru-RU" w:eastAsia="en-US" w:bidi="ar-SA"/>
      </w:rPr>
    </w:lvl>
    <w:lvl w:ilvl="8" w:tentative="0">
      <w:start w:val="0"/>
      <w:numFmt w:val="bullet"/>
      <w:lvlText w:val="•"/>
      <w:lvlJc w:val="left"/>
      <w:pPr>
        <w:ind w:left="8335" w:hanging="425"/>
      </w:pPr>
      <w:rPr>
        <w:rFonts w:hint="default"/>
        <w:lang w:val="ru-RU" w:eastAsia="en-US" w:bidi="ar-SA"/>
      </w:rPr>
    </w:lvl>
  </w:abstractNum>
  <w:abstractNum w:abstractNumId="14">
    <w:nsid w:val="42810DFF"/>
    <w:multiLevelType w:val="multilevel"/>
    <w:tmpl w:val="42810DFF"/>
    <w:lvl w:ilvl="0" w:tentative="0">
      <w:start w:val="0"/>
      <w:numFmt w:val="bullet"/>
      <w:lvlText w:val=""/>
      <w:lvlJc w:val="left"/>
      <w:pPr>
        <w:ind w:left="1276" w:hanging="437"/>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2158" w:hanging="437"/>
      </w:pPr>
      <w:rPr>
        <w:rFonts w:hint="default"/>
        <w:lang w:val="ru-RU" w:eastAsia="en-US" w:bidi="ar-SA"/>
      </w:rPr>
    </w:lvl>
    <w:lvl w:ilvl="2" w:tentative="0">
      <w:start w:val="0"/>
      <w:numFmt w:val="bullet"/>
      <w:lvlText w:val="•"/>
      <w:lvlJc w:val="left"/>
      <w:pPr>
        <w:ind w:left="3036" w:hanging="437"/>
      </w:pPr>
      <w:rPr>
        <w:rFonts w:hint="default"/>
        <w:lang w:val="ru-RU" w:eastAsia="en-US" w:bidi="ar-SA"/>
      </w:rPr>
    </w:lvl>
    <w:lvl w:ilvl="3" w:tentative="0">
      <w:start w:val="0"/>
      <w:numFmt w:val="bullet"/>
      <w:lvlText w:val="•"/>
      <w:lvlJc w:val="left"/>
      <w:pPr>
        <w:ind w:left="3915" w:hanging="437"/>
      </w:pPr>
      <w:rPr>
        <w:rFonts w:hint="default"/>
        <w:lang w:val="ru-RU" w:eastAsia="en-US" w:bidi="ar-SA"/>
      </w:rPr>
    </w:lvl>
    <w:lvl w:ilvl="4" w:tentative="0">
      <w:start w:val="0"/>
      <w:numFmt w:val="bullet"/>
      <w:lvlText w:val="•"/>
      <w:lvlJc w:val="left"/>
      <w:pPr>
        <w:ind w:left="4793" w:hanging="437"/>
      </w:pPr>
      <w:rPr>
        <w:rFonts w:hint="default"/>
        <w:lang w:val="ru-RU" w:eastAsia="en-US" w:bidi="ar-SA"/>
      </w:rPr>
    </w:lvl>
    <w:lvl w:ilvl="5" w:tentative="0">
      <w:start w:val="0"/>
      <w:numFmt w:val="bullet"/>
      <w:lvlText w:val="•"/>
      <w:lvlJc w:val="left"/>
      <w:pPr>
        <w:ind w:left="5672" w:hanging="437"/>
      </w:pPr>
      <w:rPr>
        <w:rFonts w:hint="default"/>
        <w:lang w:val="ru-RU" w:eastAsia="en-US" w:bidi="ar-SA"/>
      </w:rPr>
    </w:lvl>
    <w:lvl w:ilvl="6" w:tentative="0">
      <w:start w:val="0"/>
      <w:numFmt w:val="bullet"/>
      <w:lvlText w:val="•"/>
      <w:lvlJc w:val="left"/>
      <w:pPr>
        <w:ind w:left="6550" w:hanging="437"/>
      </w:pPr>
      <w:rPr>
        <w:rFonts w:hint="default"/>
        <w:lang w:val="ru-RU" w:eastAsia="en-US" w:bidi="ar-SA"/>
      </w:rPr>
    </w:lvl>
    <w:lvl w:ilvl="7" w:tentative="0">
      <w:start w:val="0"/>
      <w:numFmt w:val="bullet"/>
      <w:lvlText w:val="•"/>
      <w:lvlJc w:val="left"/>
      <w:pPr>
        <w:ind w:left="7429" w:hanging="437"/>
      </w:pPr>
      <w:rPr>
        <w:rFonts w:hint="default"/>
        <w:lang w:val="ru-RU" w:eastAsia="en-US" w:bidi="ar-SA"/>
      </w:rPr>
    </w:lvl>
    <w:lvl w:ilvl="8" w:tentative="0">
      <w:start w:val="0"/>
      <w:numFmt w:val="bullet"/>
      <w:lvlText w:val="•"/>
      <w:lvlJc w:val="left"/>
      <w:pPr>
        <w:ind w:left="8307" w:hanging="437"/>
      </w:pPr>
      <w:rPr>
        <w:rFonts w:hint="default"/>
        <w:lang w:val="ru-RU" w:eastAsia="en-US" w:bidi="ar-SA"/>
      </w:rPr>
    </w:lvl>
  </w:abstractNum>
  <w:abstractNum w:abstractNumId="15">
    <w:nsid w:val="45C31D61"/>
    <w:multiLevelType w:val="multilevel"/>
    <w:tmpl w:val="45C31D61"/>
    <w:lvl w:ilvl="0" w:tentative="0">
      <w:start w:val="1"/>
      <w:numFmt w:val="decimal"/>
      <w:lvlText w:val="%1."/>
      <w:lvlJc w:val="left"/>
      <w:pPr>
        <w:ind w:left="851"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1725" w:hanging="360"/>
      </w:pPr>
      <w:rPr>
        <w:rFonts w:hint="default" w:ascii="Symbol" w:hAnsi="Symbol" w:eastAsia="Symbol" w:cs="Symbol"/>
        <w:b w:val="0"/>
        <w:bCs w:val="0"/>
        <w:i w:val="0"/>
        <w:iCs w:val="0"/>
        <w:spacing w:val="0"/>
        <w:w w:val="100"/>
        <w:sz w:val="24"/>
        <w:szCs w:val="24"/>
        <w:lang w:val="ru-RU" w:eastAsia="en-US" w:bidi="ar-SA"/>
      </w:rPr>
    </w:lvl>
    <w:lvl w:ilvl="2" w:tentative="0">
      <w:start w:val="0"/>
      <w:numFmt w:val="bullet"/>
      <w:lvlText w:val="•"/>
      <w:lvlJc w:val="left"/>
      <w:pPr>
        <w:ind w:left="2647" w:hanging="360"/>
      </w:pPr>
      <w:rPr>
        <w:rFonts w:hint="default"/>
        <w:lang w:val="ru-RU" w:eastAsia="en-US" w:bidi="ar-SA"/>
      </w:rPr>
    </w:lvl>
    <w:lvl w:ilvl="3" w:tentative="0">
      <w:start w:val="0"/>
      <w:numFmt w:val="bullet"/>
      <w:lvlText w:val="•"/>
      <w:lvlJc w:val="left"/>
      <w:pPr>
        <w:ind w:left="3574" w:hanging="360"/>
      </w:pPr>
      <w:rPr>
        <w:rFonts w:hint="default"/>
        <w:lang w:val="ru-RU" w:eastAsia="en-US" w:bidi="ar-SA"/>
      </w:rPr>
    </w:lvl>
    <w:lvl w:ilvl="4" w:tentative="0">
      <w:start w:val="0"/>
      <w:numFmt w:val="bullet"/>
      <w:lvlText w:val="•"/>
      <w:lvlJc w:val="left"/>
      <w:pPr>
        <w:ind w:left="4501" w:hanging="360"/>
      </w:pPr>
      <w:rPr>
        <w:rFonts w:hint="default"/>
        <w:lang w:val="ru-RU" w:eastAsia="en-US" w:bidi="ar-SA"/>
      </w:rPr>
    </w:lvl>
    <w:lvl w:ilvl="5" w:tentative="0">
      <w:start w:val="0"/>
      <w:numFmt w:val="bullet"/>
      <w:lvlText w:val="•"/>
      <w:lvlJc w:val="left"/>
      <w:pPr>
        <w:ind w:left="5428" w:hanging="360"/>
      </w:pPr>
      <w:rPr>
        <w:rFonts w:hint="default"/>
        <w:lang w:val="ru-RU" w:eastAsia="en-US" w:bidi="ar-SA"/>
      </w:rPr>
    </w:lvl>
    <w:lvl w:ilvl="6" w:tentative="0">
      <w:start w:val="0"/>
      <w:numFmt w:val="bullet"/>
      <w:lvlText w:val="•"/>
      <w:lvlJc w:val="left"/>
      <w:pPr>
        <w:ind w:left="6355" w:hanging="360"/>
      </w:pPr>
      <w:rPr>
        <w:rFonts w:hint="default"/>
        <w:lang w:val="ru-RU" w:eastAsia="en-US" w:bidi="ar-SA"/>
      </w:rPr>
    </w:lvl>
    <w:lvl w:ilvl="7" w:tentative="0">
      <w:start w:val="0"/>
      <w:numFmt w:val="bullet"/>
      <w:lvlText w:val="•"/>
      <w:lvlJc w:val="left"/>
      <w:pPr>
        <w:ind w:left="7282" w:hanging="360"/>
      </w:pPr>
      <w:rPr>
        <w:rFonts w:hint="default"/>
        <w:lang w:val="ru-RU" w:eastAsia="en-US" w:bidi="ar-SA"/>
      </w:rPr>
    </w:lvl>
    <w:lvl w:ilvl="8" w:tentative="0">
      <w:start w:val="0"/>
      <w:numFmt w:val="bullet"/>
      <w:lvlText w:val="•"/>
      <w:lvlJc w:val="left"/>
      <w:pPr>
        <w:ind w:left="8210" w:hanging="360"/>
      </w:pPr>
      <w:rPr>
        <w:rFonts w:hint="default"/>
        <w:lang w:val="ru-RU" w:eastAsia="en-US" w:bidi="ar-SA"/>
      </w:rPr>
    </w:lvl>
  </w:abstractNum>
  <w:abstractNum w:abstractNumId="16">
    <w:nsid w:val="4C2A1D5A"/>
    <w:multiLevelType w:val="multilevel"/>
    <w:tmpl w:val="4C2A1D5A"/>
    <w:lvl w:ilvl="0" w:tentative="0">
      <w:start w:val="0"/>
      <w:numFmt w:val="bullet"/>
      <w:lvlText w:val=""/>
      <w:lvlJc w:val="left"/>
      <w:pPr>
        <w:ind w:left="971" w:hanging="360"/>
      </w:pPr>
      <w:rPr>
        <w:rFonts w:hint="default" w:ascii="Wingdings" w:hAnsi="Wingdings" w:eastAsia="Wingdings" w:cs="Wingdings"/>
        <w:b w:val="0"/>
        <w:bCs w:val="0"/>
        <w:i w:val="0"/>
        <w:iCs w:val="0"/>
        <w:spacing w:val="0"/>
        <w:w w:val="100"/>
        <w:sz w:val="24"/>
        <w:szCs w:val="24"/>
        <w:lang w:val="ru-RU" w:eastAsia="en-US" w:bidi="ar-SA"/>
      </w:rPr>
    </w:lvl>
    <w:lvl w:ilvl="1" w:tentative="0">
      <w:start w:val="0"/>
      <w:numFmt w:val="bullet"/>
      <w:lvlText w:val="•"/>
      <w:lvlJc w:val="left"/>
      <w:pPr>
        <w:ind w:left="1860" w:hanging="360"/>
      </w:pPr>
      <w:rPr>
        <w:rFonts w:hint="default"/>
        <w:lang w:val="ru-RU" w:eastAsia="en-US" w:bidi="ar-SA"/>
      </w:rPr>
    </w:lvl>
    <w:lvl w:ilvl="2" w:tentative="0">
      <w:start w:val="0"/>
      <w:numFmt w:val="bullet"/>
      <w:lvlText w:val="•"/>
      <w:lvlJc w:val="left"/>
      <w:pPr>
        <w:ind w:left="2740" w:hanging="360"/>
      </w:pPr>
      <w:rPr>
        <w:rFonts w:hint="default"/>
        <w:lang w:val="ru-RU" w:eastAsia="en-US" w:bidi="ar-SA"/>
      </w:rPr>
    </w:lvl>
    <w:lvl w:ilvl="3" w:tentative="0">
      <w:start w:val="0"/>
      <w:numFmt w:val="bullet"/>
      <w:lvlText w:val="•"/>
      <w:lvlJc w:val="left"/>
      <w:pPr>
        <w:ind w:left="3620" w:hanging="360"/>
      </w:pPr>
      <w:rPr>
        <w:rFonts w:hint="default"/>
        <w:lang w:val="ru-RU" w:eastAsia="en-US" w:bidi="ar-SA"/>
      </w:rPr>
    </w:lvl>
    <w:lvl w:ilvl="4" w:tentative="0">
      <w:start w:val="0"/>
      <w:numFmt w:val="bullet"/>
      <w:lvlText w:val="•"/>
      <w:lvlJc w:val="left"/>
      <w:pPr>
        <w:ind w:left="4500" w:hanging="360"/>
      </w:pPr>
      <w:rPr>
        <w:rFonts w:hint="default"/>
        <w:lang w:val="ru-RU" w:eastAsia="en-US" w:bidi="ar-SA"/>
      </w:rPr>
    </w:lvl>
    <w:lvl w:ilvl="5" w:tentative="0">
      <w:start w:val="0"/>
      <w:numFmt w:val="bullet"/>
      <w:lvlText w:val="•"/>
      <w:lvlJc w:val="left"/>
      <w:pPr>
        <w:ind w:left="5380" w:hanging="360"/>
      </w:pPr>
      <w:rPr>
        <w:rFonts w:hint="default"/>
        <w:lang w:val="ru-RU" w:eastAsia="en-US" w:bidi="ar-SA"/>
      </w:rPr>
    </w:lvl>
    <w:lvl w:ilvl="6" w:tentative="0">
      <w:start w:val="0"/>
      <w:numFmt w:val="bullet"/>
      <w:lvlText w:val="•"/>
      <w:lvlJc w:val="left"/>
      <w:pPr>
        <w:ind w:left="6260" w:hanging="360"/>
      </w:pPr>
      <w:rPr>
        <w:rFonts w:hint="default"/>
        <w:lang w:val="ru-RU" w:eastAsia="en-US" w:bidi="ar-SA"/>
      </w:rPr>
    </w:lvl>
    <w:lvl w:ilvl="7" w:tentative="0">
      <w:start w:val="0"/>
      <w:numFmt w:val="bullet"/>
      <w:lvlText w:val="•"/>
      <w:lvlJc w:val="left"/>
      <w:pPr>
        <w:ind w:left="7140" w:hanging="360"/>
      </w:pPr>
      <w:rPr>
        <w:rFonts w:hint="default"/>
        <w:lang w:val="ru-RU" w:eastAsia="en-US" w:bidi="ar-SA"/>
      </w:rPr>
    </w:lvl>
    <w:lvl w:ilvl="8" w:tentative="0">
      <w:start w:val="0"/>
      <w:numFmt w:val="bullet"/>
      <w:lvlText w:val="•"/>
      <w:lvlJc w:val="left"/>
      <w:pPr>
        <w:ind w:left="8021" w:hanging="360"/>
      </w:pPr>
      <w:rPr>
        <w:rFonts w:hint="default"/>
        <w:lang w:val="ru-RU" w:eastAsia="en-US" w:bidi="ar-SA"/>
      </w:rPr>
    </w:lvl>
  </w:abstractNum>
  <w:abstractNum w:abstractNumId="17">
    <w:nsid w:val="4C620363"/>
    <w:multiLevelType w:val="multilevel"/>
    <w:tmpl w:val="4C620363"/>
    <w:lvl w:ilvl="0" w:tentative="0">
      <w:start w:val="0"/>
      <w:numFmt w:val="bullet"/>
      <w:lvlText w:val=""/>
      <w:lvlJc w:val="left"/>
      <w:pPr>
        <w:ind w:left="1276" w:hanging="437"/>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2158" w:hanging="437"/>
      </w:pPr>
      <w:rPr>
        <w:rFonts w:hint="default"/>
        <w:lang w:val="ru-RU" w:eastAsia="en-US" w:bidi="ar-SA"/>
      </w:rPr>
    </w:lvl>
    <w:lvl w:ilvl="2" w:tentative="0">
      <w:start w:val="0"/>
      <w:numFmt w:val="bullet"/>
      <w:lvlText w:val="•"/>
      <w:lvlJc w:val="left"/>
      <w:pPr>
        <w:ind w:left="3036" w:hanging="437"/>
      </w:pPr>
      <w:rPr>
        <w:rFonts w:hint="default"/>
        <w:lang w:val="ru-RU" w:eastAsia="en-US" w:bidi="ar-SA"/>
      </w:rPr>
    </w:lvl>
    <w:lvl w:ilvl="3" w:tentative="0">
      <w:start w:val="0"/>
      <w:numFmt w:val="bullet"/>
      <w:lvlText w:val="•"/>
      <w:lvlJc w:val="left"/>
      <w:pPr>
        <w:ind w:left="3915" w:hanging="437"/>
      </w:pPr>
      <w:rPr>
        <w:rFonts w:hint="default"/>
        <w:lang w:val="ru-RU" w:eastAsia="en-US" w:bidi="ar-SA"/>
      </w:rPr>
    </w:lvl>
    <w:lvl w:ilvl="4" w:tentative="0">
      <w:start w:val="0"/>
      <w:numFmt w:val="bullet"/>
      <w:lvlText w:val="•"/>
      <w:lvlJc w:val="left"/>
      <w:pPr>
        <w:ind w:left="4793" w:hanging="437"/>
      </w:pPr>
      <w:rPr>
        <w:rFonts w:hint="default"/>
        <w:lang w:val="ru-RU" w:eastAsia="en-US" w:bidi="ar-SA"/>
      </w:rPr>
    </w:lvl>
    <w:lvl w:ilvl="5" w:tentative="0">
      <w:start w:val="0"/>
      <w:numFmt w:val="bullet"/>
      <w:lvlText w:val="•"/>
      <w:lvlJc w:val="left"/>
      <w:pPr>
        <w:ind w:left="5672" w:hanging="437"/>
      </w:pPr>
      <w:rPr>
        <w:rFonts w:hint="default"/>
        <w:lang w:val="ru-RU" w:eastAsia="en-US" w:bidi="ar-SA"/>
      </w:rPr>
    </w:lvl>
    <w:lvl w:ilvl="6" w:tentative="0">
      <w:start w:val="0"/>
      <w:numFmt w:val="bullet"/>
      <w:lvlText w:val="•"/>
      <w:lvlJc w:val="left"/>
      <w:pPr>
        <w:ind w:left="6550" w:hanging="437"/>
      </w:pPr>
      <w:rPr>
        <w:rFonts w:hint="default"/>
        <w:lang w:val="ru-RU" w:eastAsia="en-US" w:bidi="ar-SA"/>
      </w:rPr>
    </w:lvl>
    <w:lvl w:ilvl="7" w:tentative="0">
      <w:start w:val="0"/>
      <w:numFmt w:val="bullet"/>
      <w:lvlText w:val="•"/>
      <w:lvlJc w:val="left"/>
      <w:pPr>
        <w:ind w:left="7429" w:hanging="437"/>
      </w:pPr>
      <w:rPr>
        <w:rFonts w:hint="default"/>
        <w:lang w:val="ru-RU" w:eastAsia="en-US" w:bidi="ar-SA"/>
      </w:rPr>
    </w:lvl>
    <w:lvl w:ilvl="8" w:tentative="0">
      <w:start w:val="0"/>
      <w:numFmt w:val="bullet"/>
      <w:lvlText w:val="•"/>
      <w:lvlJc w:val="left"/>
      <w:pPr>
        <w:ind w:left="8307" w:hanging="437"/>
      </w:pPr>
      <w:rPr>
        <w:rFonts w:hint="default"/>
        <w:lang w:val="ru-RU" w:eastAsia="en-US" w:bidi="ar-SA"/>
      </w:rPr>
    </w:lvl>
  </w:abstractNum>
  <w:abstractNum w:abstractNumId="18">
    <w:nsid w:val="547D759A"/>
    <w:multiLevelType w:val="multilevel"/>
    <w:tmpl w:val="547D759A"/>
    <w:lvl w:ilvl="0" w:tentative="0">
      <w:start w:val="0"/>
      <w:numFmt w:val="bullet"/>
      <w:lvlText w:val=""/>
      <w:lvlJc w:val="left"/>
      <w:pPr>
        <w:ind w:left="1005" w:hanging="360"/>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1906" w:hanging="360"/>
      </w:pPr>
      <w:rPr>
        <w:rFonts w:hint="default"/>
        <w:lang w:val="ru-RU" w:eastAsia="en-US" w:bidi="ar-SA"/>
      </w:rPr>
    </w:lvl>
    <w:lvl w:ilvl="2" w:tentative="0">
      <w:start w:val="0"/>
      <w:numFmt w:val="bullet"/>
      <w:lvlText w:val="•"/>
      <w:lvlJc w:val="left"/>
      <w:pPr>
        <w:ind w:left="2812" w:hanging="360"/>
      </w:pPr>
      <w:rPr>
        <w:rFonts w:hint="default"/>
        <w:lang w:val="ru-RU" w:eastAsia="en-US" w:bidi="ar-SA"/>
      </w:rPr>
    </w:lvl>
    <w:lvl w:ilvl="3" w:tentative="0">
      <w:start w:val="0"/>
      <w:numFmt w:val="bullet"/>
      <w:lvlText w:val="•"/>
      <w:lvlJc w:val="left"/>
      <w:pPr>
        <w:ind w:left="3719" w:hanging="360"/>
      </w:pPr>
      <w:rPr>
        <w:rFonts w:hint="default"/>
        <w:lang w:val="ru-RU" w:eastAsia="en-US" w:bidi="ar-SA"/>
      </w:rPr>
    </w:lvl>
    <w:lvl w:ilvl="4" w:tentative="0">
      <w:start w:val="0"/>
      <w:numFmt w:val="bullet"/>
      <w:lvlText w:val="•"/>
      <w:lvlJc w:val="left"/>
      <w:pPr>
        <w:ind w:left="4625" w:hanging="360"/>
      </w:pPr>
      <w:rPr>
        <w:rFonts w:hint="default"/>
        <w:lang w:val="ru-RU" w:eastAsia="en-US" w:bidi="ar-SA"/>
      </w:rPr>
    </w:lvl>
    <w:lvl w:ilvl="5" w:tentative="0">
      <w:start w:val="0"/>
      <w:numFmt w:val="bullet"/>
      <w:lvlText w:val="•"/>
      <w:lvlJc w:val="left"/>
      <w:pPr>
        <w:ind w:left="5532" w:hanging="360"/>
      </w:pPr>
      <w:rPr>
        <w:rFonts w:hint="default"/>
        <w:lang w:val="ru-RU" w:eastAsia="en-US" w:bidi="ar-SA"/>
      </w:rPr>
    </w:lvl>
    <w:lvl w:ilvl="6" w:tentative="0">
      <w:start w:val="0"/>
      <w:numFmt w:val="bullet"/>
      <w:lvlText w:val="•"/>
      <w:lvlJc w:val="left"/>
      <w:pPr>
        <w:ind w:left="6438" w:hanging="360"/>
      </w:pPr>
      <w:rPr>
        <w:rFonts w:hint="default"/>
        <w:lang w:val="ru-RU" w:eastAsia="en-US" w:bidi="ar-SA"/>
      </w:rPr>
    </w:lvl>
    <w:lvl w:ilvl="7" w:tentative="0">
      <w:start w:val="0"/>
      <w:numFmt w:val="bullet"/>
      <w:lvlText w:val="•"/>
      <w:lvlJc w:val="left"/>
      <w:pPr>
        <w:ind w:left="7345" w:hanging="360"/>
      </w:pPr>
      <w:rPr>
        <w:rFonts w:hint="default"/>
        <w:lang w:val="ru-RU" w:eastAsia="en-US" w:bidi="ar-SA"/>
      </w:rPr>
    </w:lvl>
    <w:lvl w:ilvl="8" w:tentative="0">
      <w:start w:val="0"/>
      <w:numFmt w:val="bullet"/>
      <w:lvlText w:val="•"/>
      <w:lvlJc w:val="left"/>
      <w:pPr>
        <w:ind w:left="8251" w:hanging="360"/>
      </w:pPr>
      <w:rPr>
        <w:rFonts w:hint="default"/>
        <w:lang w:val="ru-RU" w:eastAsia="en-US" w:bidi="ar-SA"/>
      </w:rPr>
    </w:lvl>
  </w:abstractNum>
  <w:abstractNum w:abstractNumId="19">
    <w:nsid w:val="54806901"/>
    <w:multiLevelType w:val="multilevel"/>
    <w:tmpl w:val="54806901"/>
    <w:lvl w:ilvl="0" w:tentative="0">
      <w:start w:val="1"/>
      <w:numFmt w:val="bullet"/>
      <w:lvlText w:val=""/>
      <w:lvlJc w:val="left"/>
      <w:pPr>
        <w:tabs>
          <w:tab w:val="left" w:pos="0"/>
        </w:tabs>
        <w:ind w:left="1440" w:hanging="360"/>
      </w:pPr>
      <w:rPr>
        <w:rFonts w:hint="default" w:ascii="Symbol" w:hAnsi="Symbol" w:cs="Symbol"/>
      </w:rPr>
    </w:lvl>
    <w:lvl w:ilvl="1" w:tentative="0">
      <w:start w:val="1"/>
      <w:numFmt w:val="bullet"/>
      <w:lvlText w:val="o"/>
      <w:lvlJc w:val="left"/>
      <w:pPr>
        <w:tabs>
          <w:tab w:val="left" w:pos="0"/>
        </w:tabs>
        <w:ind w:left="2160" w:hanging="360"/>
      </w:pPr>
      <w:rPr>
        <w:rFonts w:hint="default" w:ascii="Courier New" w:hAnsi="Courier New" w:cs="Courier New"/>
      </w:rPr>
    </w:lvl>
    <w:lvl w:ilvl="2" w:tentative="0">
      <w:start w:val="1"/>
      <w:numFmt w:val="bullet"/>
      <w:lvlText w:val=""/>
      <w:lvlJc w:val="left"/>
      <w:pPr>
        <w:tabs>
          <w:tab w:val="left" w:pos="0"/>
        </w:tabs>
        <w:ind w:left="2880" w:hanging="360"/>
      </w:pPr>
      <w:rPr>
        <w:rFonts w:hint="default" w:ascii="Wingdings" w:hAnsi="Wingdings" w:cs="Wingdings"/>
      </w:rPr>
    </w:lvl>
    <w:lvl w:ilvl="3" w:tentative="0">
      <w:start w:val="1"/>
      <w:numFmt w:val="bullet"/>
      <w:lvlText w:val=""/>
      <w:lvlJc w:val="left"/>
      <w:pPr>
        <w:tabs>
          <w:tab w:val="left" w:pos="0"/>
        </w:tabs>
        <w:ind w:left="3600" w:hanging="360"/>
      </w:pPr>
      <w:rPr>
        <w:rFonts w:hint="default" w:ascii="Symbol" w:hAnsi="Symbol" w:cs="Symbol"/>
      </w:rPr>
    </w:lvl>
    <w:lvl w:ilvl="4" w:tentative="0">
      <w:start w:val="1"/>
      <w:numFmt w:val="bullet"/>
      <w:lvlText w:val="o"/>
      <w:lvlJc w:val="left"/>
      <w:pPr>
        <w:tabs>
          <w:tab w:val="left" w:pos="0"/>
        </w:tabs>
        <w:ind w:left="4320" w:hanging="360"/>
      </w:pPr>
      <w:rPr>
        <w:rFonts w:hint="default" w:ascii="Courier New" w:hAnsi="Courier New" w:cs="Courier New"/>
      </w:rPr>
    </w:lvl>
    <w:lvl w:ilvl="5" w:tentative="0">
      <w:start w:val="1"/>
      <w:numFmt w:val="bullet"/>
      <w:lvlText w:val=""/>
      <w:lvlJc w:val="left"/>
      <w:pPr>
        <w:tabs>
          <w:tab w:val="left" w:pos="0"/>
        </w:tabs>
        <w:ind w:left="5040" w:hanging="360"/>
      </w:pPr>
      <w:rPr>
        <w:rFonts w:hint="default" w:ascii="Wingdings" w:hAnsi="Wingdings" w:cs="Wingdings"/>
      </w:rPr>
    </w:lvl>
    <w:lvl w:ilvl="6" w:tentative="0">
      <w:start w:val="1"/>
      <w:numFmt w:val="bullet"/>
      <w:lvlText w:val=""/>
      <w:lvlJc w:val="left"/>
      <w:pPr>
        <w:tabs>
          <w:tab w:val="left" w:pos="0"/>
        </w:tabs>
        <w:ind w:left="5760" w:hanging="360"/>
      </w:pPr>
      <w:rPr>
        <w:rFonts w:hint="default" w:ascii="Symbol" w:hAnsi="Symbol" w:cs="Symbol"/>
      </w:rPr>
    </w:lvl>
    <w:lvl w:ilvl="7" w:tentative="0">
      <w:start w:val="1"/>
      <w:numFmt w:val="bullet"/>
      <w:lvlText w:val="o"/>
      <w:lvlJc w:val="left"/>
      <w:pPr>
        <w:tabs>
          <w:tab w:val="left" w:pos="0"/>
        </w:tabs>
        <w:ind w:left="6480" w:hanging="360"/>
      </w:pPr>
      <w:rPr>
        <w:rFonts w:hint="default" w:ascii="Courier New" w:hAnsi="Courier New" w:cs="Courier New"/>
      </w:rPr>
    </w:lvl>
    <w:lvl w:ilvl="8" w:tentative="0">
      <w:start w:val="1"/>
      <w:numFmt w:val="bullet"/>
      <w:lvlText w:val=""/>
      <w:lvlJc w:val="left"/>
      <w:pPr>
        <w:tabs>
          <w:tab w:val="left" w:pos="0"/>
        </w:tabs>
        <w:ind w:left="7200" w:hanging="360"/>
      </w:pPr>
      <w:rPr>
        <w:rFonts w:hint="default" w:ascii="Wingdings" w:hAnsi="Wingdings" w:cs="Wingdings"/>
      </w:rPr>
    </w:lvl>
  </w:abstractNum>
  <w:abstractNum w:abstractNumId="20">
    <w:nsid w:val="54C53FDA"/>
    <w:multiLevelType w:val="multilevel"/>
    <w:tmpl w:val="54C53FDA"/>
    <w:lvl w:ilvl="0" w:tentative="0">
      <w:start w:val="0"/>
      <w:numFmt w:val="bullet"/>
      <w:lvlText w:val=""/>
      <w:lvlJc w:val="left"/>
      <w:pPr>
        <w:ind w:left="1007" w:hanging="360"/>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1878" w:hanging="360"/>
      </w:pPr>
      <w:rPr>
        <w:rFonts w:hint="default"/>
        <w:lang w:val="ru-RU" w:eastAsia="en-US" w:bidi="ar-SA"/>
      </w:rPr>
    </w:lvl>
    <w:lvl w:ilvl="2" w:tentative="0">
      <w:start w:val="0"/>
      <w:numFmt w:val="bullet"/>
      <w:lvlText w:val="•"/>
      <w:lvlJc w:val="left"/>
      <w:pPr>
        <w:ind w:left="2756" w:hanging="360"/>
      </w:pPr>
      <w:rPr>
        <w:rFonts w:hint="default"/>
        <w:lang w:val="ru-RU" w:eastAsia="en-US" w:bidi="ar-SA"/>
      </w:rPr>
    </w:lvl>
    <w:lvl w:ilvl="3" w:tentative="0">
      <w:start w:val="0"/>
      <w:numFmt w:val="bullet"/>
      <w:lvlText w:val="•"/>
      <w:lvlJc w:val="left"/>
      <w:pPr>
        <w:ind w:left="3634" w:hanging="360"/>
      </w:pPr>
      <w:rPr>
        <w:rFonts w:hint="default"/>
        <w:lang w:val="ru-RU" w:eastAsia="en-US" w:bidi="ar-SA"/>
      </w:rPr>
    </w:lvl>
    <w:lvl w:ilvl="4" w:tentative="0">
      <w:start w:val="0"/>
      <w:numFmt w:val="bullet"/>
      <w:lvlText w:val="•"/>
      <w:lvlJc w:val="left"/>
      <w:pPr>
        <w:ind w:left="4512" w:hanging="360"/>
      </w:pPr>
      <w:rPr>
        <w:rFonts w:hint="default"/>
        <w:lang w:val="ru-RU" w:eastAsia="en-US" w:bidi="ar-SA"/>
      </w:rPr>
    </w:lvl>
    <w:lvl w:ilvl="5" w:tentative="0">
      <w:start w:val="0"/>
      <w:numFmt w:val="bullet"/>
      <w:lvlText w:val="•"/>
      <w:lvlJc w:val="left"/>
      <w:pPr>
        <w:ind w:left="5390" w:hanging="360"/>
      </w:pPr>
      <w:rPr>
        <w:rFonts w:hint="default"/>
        <w:lang w:val="ru-RU" w:eastAsia="en-US" w:bidi="ar-SA"/>
      </w:rPr>
    </w:lvl>
    <w:lvl w:ilvl="6" w:tentative="0">
      <w:start w:val="0"/>
      <w:numFmt w:val="bullet"/>
      <w:lvlText w:val="•"/>
      <w:lvlJc w:val="left"/>
      <w:pPr>
        <w:ind w:left="6268" w:hanging="360"/>
      </w:pPr>
      <w:rPr>
        <w:rFonts w:hint="default"/>
        <w:lang w:val="ru-RU" w:eastAsia="en-US" w:bidi="ar-SA"/>
      </w:rPr>
    </w:lvl>
    <w:lvl w:ilvl="7" w:tentative="0">
      <w:start w:val="0"/>
      <w:numFmt w:val="bullet"/>
      <w:lvlText w:val="•"/>
      <w:lvlJc w:val="left"/>
      <w:pPr>
        <w:ind w:left="7146" w:hanging="360"/>
      </w:pPr>
      <w:rPr>
        <w:rFonts w:hint="default"/>
        <w:lang w:val="ru-RU" w:eastAsia="en-US" w:bidi="ar-SA"/>
      </w:rPr>
    </w:lvl>
    <w:lvl w:ilvl="8" w:tentative="0">
      <w:start w:val="0"/>
      <w:numFmt w:val="bullet"/>
      <w:lvlText w:val="•"/>
      <w:lvlJc w:val="left"/>
      <w:pPr>
        <w:ind w:left="8025" w:hanging="360"/>
      </w:pPr>
      <w:rPr>
        <w:rFonts w:hint="default"/>
        <w:lang w:val="ru-RU" w:eastAsia="en-US" w:bidi="ar-SA"/>
      </w:rPr>
    </w:lvl>
  </w:abstractNum>
  <w:abstractNum w:abstractNumId="21">
    <w:nsid w:val="559D427E"/>
    <w:multiLevelType w:val="multilevel"/>
    <w:tmpl w:val="559D427E"/>
    <w:lvl w:ilvl="0" w:tentative="0">
      <w:start w:val="0"/>
      <w:numFmt w:val="bullet"/>
      <w:lvlText w:val=""/>
      <w:lvlJc w:val="left"/>
      <w:pPr>
        <w:ind w:left="863" w:hanging="360"/>
      </w:pPr>
      <w:rPr>
        <w:rFonts w:hint="default" w:ascii="Wingdings" w:hAnsi="Wingdings" w:eastAsia="Wingdings" w:cs="Wingdings"/>
        <w:b w:val="0"/>
        <w:bCs w:val="0"/>
        <w:i w:val="0"/>
        <w:iCs w:val="0"/>
        <w:spacing w:val="0"/>
        <w:w w:val="100"/>
        <w:sz w:val="24"/>
        <w:szCs w:val="24"/>
        <w:lang w:val="ru-RU" w:eastAsia="en-US" w:bidi="ar-SA"/>
      </w:rPr>
    </w:lvl>
    <w:lvl w:ilvl="1" w:tentative="0">
      <w:start w:val="0"/>
      <w:numFmt w:val="bullet"/>
      <w:lvlText w:val="•"/>
      <w:lvlJc w:val="left"/>
      <w:pPr>
        <w:ind w:left="1752" w:hanging="360"/>
      </w:pPr>
      <w:rPr>
        <w:rFonts w:hint="default"/>
        <w:lang w:val="ru-RU" w:eastAsia="en-US" w:bidi="ar-SA"/>
      </w:rPr>
    </w:lvl>
    <w:lvl w:ilvl="2" w:tentative="0">
      <w:start w:val="0"/>
      <w:numFmt w:val="bullet"/>
      <w:lvlText w:val="•"/>
      <w:lvlJc w:val="left"/>
      <w:pPr>
        <w:ind w:left="2644" w:hanging="360"/>
      </w:pPr>
      <w:rPr>
        <w:rFonts w:hint="default"/>
        <w:lang w:val="ru-RU" w:eastAsia="en-US" w:bidi="ar-SA"/>
      </w:rPr>
    </w:lvl>
    <w:lvl w:ilvl="3" w:tentative="0">
      <w:start w:val="0"/>
      <w:numFmt w:val="bullet"/>
      <w:lvlText w:val="•"/>
      <w:lvlJc w:val="left"/>
      <w:pPr>
        <w:ind w:left="3536" w:hanging="360"/>
      </w:pPr>
      <w:rPr>
        <w:rFonts w:hint="default"/>
        <w:lang w:val="ru-RU" w:eastAsia="en-US" w:bidi="ar-SA"/>
      </w:rPr>
    </w:lvl>
    <w:lvl w:ilvl="4" w:tentative="0">
      <w:start w:val="0"/>
      <w:numFmt w:val="bullet"/>
      <w:lvlText w:val="•"/>
      <w:lvlJc w:val="left"/>
      <w:pPr>
        <w:ind w:left="4428" w:hanging="360"/>
      </w:pPr>
      <w:rPr>
        <w:rFonts w:hint="default"/>
        <w:lang w:val="ru-RU" w:eastAsia="en-US" w:bidi="ar-SA"/>
      </w:rPr>
    </w:lvl>
    <w:lvl w:ilvl="5" w:tentative="0">
      <w:start w:val="0"/>
      <w:numFmt w:val="bullet"/>
      <w:lvlText w:val="•"/>
      <w:lvlJc w:val="left"/>
      <w:pPr>
        <w:ind w:left="5320" w:hanging="360"/>
      </w:pPr>
      <w:rPr>
        <w:rFonts w:hint="default"/>
        <w:lang w:val="ru-RU" w:eastAsia="en-US" w:bidi="ar-SA"/>
      </w:rPr>
    </w:lvl>
    <w:lvl w:ilvl="6" w:tentative="0">
      <w:start w:val="0"/>
      <w:numFmt w:val="bullet"/>
      <w:lvlText w:val="•"/>
      <w:lvlJc w:val="left"/>
      <w:pPr>
        <w:ind w:left="6212" w:hanging="360"/>
      </w:pPr>
      <w:rPr>
        <w:rFonts w:hint="default"/>
        <w:lang w:val="ru-RU" w:eastAsia="en-US" w:bidi="ar-SA"/>
      </w:rPr>
    </w:lvl>
    <w:lvl w:ilvl="7" w:tentative="0">
      <w:start w:val="0"/>
      <w:numFmt w:val="bullet"/>
      <w:lvlText w:val="•"/>
      <w:lvlJc w:val="left"/>
      <w:pPr>
        <w:ind w:left="7104" w:hanging="360"/>
      </w:pPr>
      <w:rPr>
        <w:rFonts w:hint="default"/>
        <w:lang w:val="ru-RU" w:eastAsia="en-US" w:bidi="ar-SA"/>
      </w:rPr>
    </w:lvl>
    <w:lvl w:ilvl="8" w:tentative="0">
      <w:start w:val="0"/>
      <w:numFmt w:val="bullet"/>
      <w:lvlText w:val="•"/>
      <w:lvlJc w:val="left"/>
      <w:pPr>
        <w:ind w:left="7997" w:hanging="360"/>
      </w:pPr>
      <w:rPr>
        <w:rFonts w:hint="default"/>
        <w:lang w:val="ru-RU" w:eastAsia="en-US" w:bidi="ar-SA"/>
      </w:rPr>
    </w:lvl>
  </w:abstractNum>
  <w:abstractNum w:abstractNumId="22">
    <w:nsid w:val="62D85208"/>
    <w:multiLevelType w:val="multilevel"/>
    <w:tmpl w:val="62D85208"/>
    <w:lvl w:ilvl="0" w:tentative="0">
      <w:start w:val="0"/>
      <w:numFmt w:val="bullet"/>
      <w:lvlText w:val=""/>
      <w:lvlJc w:val="left"/>
      <w:pPr>
        <w:ind w:left="570" w:hanging="360"/>
      </w:pPr>
      <w:rPr>
        <w:rFonts w:hint="default" w:ascii="Symbol" w:hAnsi="Symbol" w:eastAsia="Symbol" w:cs="Symbol"/>
        <w:spacing w:val="0"/>
        <w:w w:val="100"/>
        <w:lang w:val="ru-RU" w:eastAsia="en-US" w:bidi="ar-SA"/>
      </w:rPr>
    </w:lvl>
    <w:lvl w:ilvl="1" w:tentative="0">
      <w:start w:val="0"/>
      <w:numFmt w:val="bullet"/>
      <w:lvlText w:val="•"/>
      <w:lvlJc w:val="left"/>
      <w:pPr>
        <w:ind w:left="1500" w:hanging="360"/>
      </w:pPr>
      <w:rPr>
        <w:rFonts w:hint="default"/>
        <w:lang w:val="ru-RU" w:eastAsia="en-US" w:bidi="ar-SA"/>
      </w:rPr>
    </w:lvl>
    <w:lvl w:ilvl="2" w:tentative="0">
      <w:start w:val="0"/>
      <w:numFmt w:val="bullet"/>
      <w:lvlText w:val="•"/>
      <w:lvlJc w:val="left"/>
      <w:pPr>
        <w:ind w:left="2420" w:hanging="360"/>
      </w:pPr>
      <w:rPr>
        <w:rFonts w:hint="default"/>
        <w:lang w:val="ru-RU" w:eastAsia="en-US" w:bidi="ar-SA"/>
      </w:rPr>
    </w:lvl>
    <w:lvl w:ilvl="3" w:tentative="0">
      <w:start w:val="0"/>
      <w:numFmt w:val="bullet"/>
      <w:lvlText w:val="•"/>
      <w:lvlJc w:val="left"/>
      <w:pPr>
        <w:ind w:left="3340" w:hanging="360"/>
      </w:pPr>
      <w:rPr>
        <w:rFonts w:hint="default"/>
        <w:lang w:val="ru-RU" w:eastAsia="en-US" w:bidi="ar-SA"/>
      </w:rPr>
    </w:lvl>
    <w:lvl w:ilvl="4" w:tentative="0">
      <w:start w:val="0"/>
      <w:numFmt w:val="bullet"/>
      <w:lvlText w:val="•"/>
      <w:lvlJc w:val="left"/>
      <w:pPr>
        <w:ind w:left="4260" w:hanging="360"/>
      </w:pPr>
      <w:rPr>
        <w:rFonts w:hint="default"/>
        <w:lang w:val="ru-RU" w:eastAsia="en-US" w:bidi="ar-SA"/>
      </w:rPr>
    </w:lvl>
    <w:lvl w:ilvl="5" w:tentative="0">
      <w:start w:val="0"/>
      <w:numFmt w:val="bullet"/>
      <w:lvlText w:val="•"/>
      <w:lvlJc w:val="left"/>
      <w:pPr>
        <w:ind w:left="5180" w:hanging="360"/>
      </w:pPr>
      <w:rPr>
        <w:rFonts w:hint="default"/>
        <w:lang w:val="ru-RU" w:eastAsia="en-US" w:bidi="ar-SA"/>
      </w:rPr>
    </w:lvl>
    <w:lvl w:ilvl="6" w:tentative="0">
      <w:start w:val="0"/>
      <w:numFmt w:val="bullet"/>
      <w:lvlText w:val="•"/>
      <w:lvlJc w:val="left"/>
      <w:pPr>
        <w:ind w:left="6100" w:hanging="360"/>
      </w:pPr>
      <w:rPr>
        <w:rFonts w:hint="default"/>
        <w:lang w:val="ru-RU" w:eastAsia="en-US" w:bidi="ar-SA"/>
      </w:rPr>
    </w:lvl>
    <w:lvl w:ilvl="7" w:tentative="0">
      <w:start w:val="0"/>
      <w:numFmt w:val="bullet"/>
      <w:lvlText w:val="•"/>
      <w:lvlJc w:val="left"/>
      <w:pPr>
        <w:ind w:left="7020" w:hanging="360"/>
      </w:pPr>
      <w:rPr>
        <w:rFonts w:hint="default"/>
        <w:lang w:val="ru-RU" w:eastAsia="en-US" w:bidi="ar-SA"/>
      </w:rPr>
    </w:lvl>
    <w:lvl w:ilvl="8" w:tentative="0">
      <w:start w:val="0"/>
      <w:numFmt w:val="bullet"/>
      <w:lvlText w:val="•"/>
      <w:lvlJc w:val="left"/>
      <w:pPr>
        <w:ind w:left="7941" w:hanging="360"/>
      </w:pPr>
      <w:rPr>
        <w:rFonts w:hint="default"/>
        <w:lang w:val="ru-RU" w:eastAsia="en-US" w:bidi="ar-SA"/>
      </w:rPr>
    </w:lvl>
  </w:abstractNum>
  <w:abstractNum w:abstractNumId="23">
    <w:nsid w:val="65A8274D"/>
    <w:multiLevelType w:val="multilevel"/>
    <w:tmpl w:val="65A8274D"/>
    <w:lvl w:ilvl="0" w:tentative="0">
      <w:start w:val="0"/>
      <w:numFmt w:val="bullet"/>
      <w:lvlText w:val=""/>
      <w:lvlJc w:val="left"/>
      <w:pPr>
        <w:ind w:left="1350" w:hanging="358"/>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2230" w:hanging="358"/>
      </w:pPr>
      <w:rPr>
        <w:rFonts w:hint="default"/>
        <w:lang w:val="ru-RU" w:eastAsia="en-US" w:bidi="ar-SA"/>
      </w:rPr>
    </w:lvl>
    <w:lvl w:ilvl="2" w:tentative="0">
      <w:start w:val="0"/>
      <w:numFmt w:val="bullet"/>
      <w:lvlText w:val="•"/>
      <w:lvlJc w:val="left"/>
      <w:pPr>
        <w:ind w:left="3100" w:hanging="358"/>
      </w:pPr>
      <w:rPr>
        <w:rFonts w:hint="default"/>
        <w:lang w:val="ru-RU" w:eastAsia="en-US" w:bidi="ar-SA"/>
      </w:rPr>
    </w:lvl>
    <w:lvl w:ilvl="3" w:tentative="0">
      <w:start w:val="0"/>
      <w:numFmt w:val="bullet"/>
      <w:lvlText w:val="•"/>
      <w:lvlJc w:val="left"/>
      <w:pPr>
        <w:ind w:left="3971" w:hanging="358"/>
      </w:pPr>
      <w:rPr>
        <w:rFonts w:hint="default"/>
        <w:lang w:val="ru-RU" w:eastAsia="en-US" w:bidi="ar-SA"/>
      </w:rPr>
    </w:lvl>
    <w:lvl w:ilvl="4" w:tentative="0">
      <w:start w:val="0"/>
      <w:numFmt w:val="bullet"/>
      <w:lvlText w:val="•"/>
      <w:lvlJc w:val="left"/>
      <w:pPr>
        <w:ind w:left="4841" w:hanging="358"/>
      </w:pPr>
      <w:rPr>
        <w:rFonts w:hint="default"/>
        <w:lang w:val="ru-RU" w:eastAsia="en-US" w:bidi="ar-SA"/>
      </w:rPr>
    </w:lvl>
    <w:lvl w:ilvl="5" w:tentative="0">
      <w:start w:val="0"/>
      <w:numFmt w:val="bullet"/>
      <w:lvlText w:val="•"/>
      <w:lvlJc w:val="left"/>
      <w:pPr>
        <w:ind w:left="5712" w:hanging="358"/>
      </w:pPr>
      <w:rPr>
        <w:rFonts w:hint="default"/>
        <w:lang w:val="ru-RU" w:eastAsia="en-US" w:bidi="ar-SA"/>
      </w:rPr>
    </w:lvl>
    <w:lvl w:ilvl="6" w:tentative="0">
      <w:start w:val="0"/>
      <w:numFmt w:val="bullet"/>
      <w:lvlText w:val="•"/>
      <w:lvlJc w:val="left"/>
      <w:pPr>
        <w:ind w:left="6582" w:hanging="358"/>
      </w:pPr>
      <w:rPr>
        <w:rFonts w:hint="default"/>
        <w:lang w:val="ru-RU" w:eastAsia="en-US" w:bidi="ar-SA"/>
      </w:rPr>
    </w:lvl>
    <w:lvl w:ilvl="7" w:tentative="0">
      <w:start w:val="0"/>
      <w:numFmt w:val="bullet"/>
      <w:lvlText w:val="•"/>
      <w:lvlJc w:val="left"/>
      <w:pPr>
        <w:ind w:left="7453" w:hanging="358"/>
      </w:pPr>
      <w:rPr>
        <w:rFonts w:hint="default"/>
        <w:lang w:val="ru-RU" w:eastAsia="en-US" w:bidi="ar-SA"/>
      </w:rPr>
    </w:lvl>
    <w:lvl w:ilvl="8" w:tentative="0">
      <w:start w:val="0"/>
      <w:numFmt w:val="bullet"/>
      <w:lvlText w:val="•"/>
      <w:lvlJc w:val="left"/>
      <w:pPr>
        <w:ind w:left="8323" w:hanging="358"/>
      </w:pPr>
      <w:rPr>
        <w:rFonts w:hint="default"/>
        <w:lang w:val="ru-RU" w:eastAsia="en-US" w:bidi="ar-SA"/>
      </w:rPr>
    </w:lvl>
  </w:abstractNum>
  <w:abstractNum w:abstractNumId="24">
    <w:nsid w:val="68CE7C8B"/>
    <w:multiLevelType w:val="multilevel"/>
    <w:tmpl w:val="68CE7C8B"/>
    <w:lvl w:ilvl="0" w:tentative="0">
      <w:start w:val="1"/>
      <w:numFmt w:val="decimal"/>
      <w:lvlText w:val="%1."/>
      <w:lvlJc w:val="left"/>
      <w:pPr>
        <w:ind w:left="1396"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2266" w:hanging="360"/>
      </w:pPr>
      <w:rPr>
        <w:rFonts w:hint="default"/>
        <w:lang w:val="ru-RU" w:eastAsia="en-US" w:bidi="ar-SA"/>
      </w:rPr>
    </w:lvl>
    <w:lvl w:ilvl="2" w:tentative="0">
      <w:start w:val="0"/>
      <w:numFmt w:val="bullet"/>
      <w:lvlText w:val="•"/>
      <w:lvlJc w:val="left"/>
      <w:pPr>
        <w:ind w:left="3132" w:hanging="360"/>
      </w:pPr>
      <w:rPr>
        <w:rFonts w:hint="default"/>
        <w:lang w:val="ru-RU" w:eastAsia="en-US" w:bidi="ar-SA"/>
      </w:rPr>
    </w:lvl>
    <w:lvl w:ilvl="3" w:tentative="0">
      <w:start w:val="0"/>
      <w:numFmt w:val="bullet"/>
      <w:lvlText w:val="•"/>
      <w:lvlJc w:val="left"/>
      <w:pPr>
        <w:ind w:left="3999" w:hanging="360"/>
      </w:pPr>
      <w:rPr>
        <w:rFonts w:hint="default"/>
        <w:lang w:val="ru-RU" w:eastAsia="en-US" w:bidi="ar-SA"/>
      </w:rPr>
    </w:lvl>
    <w:lvl w:ilvl="4" w:tentative="0">
      <w:start w:val="0"/>
      <w:numFmt w:val="bullet"/>
      <w:lvlText w:val="•"/>
      <w:lvlJc w:val="left"/>
      <w:pPr>
        <w:ind w:left="4865" w:hanging="360"/>
      </w:pPr>
      <w:rPr>
        <w:rFonts w:hint="default"/>
        <w:lang w:val="ru-RU" w:eastAsia="en-US" w:bidi="ar-SA"/>
      </w:rPr>
    </w:lvl>
    <w:lvl w:ilvl="5" w:tentative="0">
      <w:start w:val="0"/>
      <w:numFmt w:val="bullet"/>
      <w:lvlText w:val="•"/>
      <w:lvlJc w:val="left"/>
      <w:pPr>
        <w:ind w:left="5732" w:hanging="360"/>
      </w:pPr>
      <w:rPr>
        <w:rFonts w:hint="default"/>
        <w:lang w:val="ru-RU" w:eastAsia="en-US" w:bidi="ar-SA"/>
      </w:rPr>
    </w:lvl>
    <w:lvl w:ilvl="6" w:tentative="0">
      <w:start w:val="0"/>
      <w:numFmt w:val="bullet"/>
      <w:lvlText w:val="•"/>
      <w:lvlJc w:val="left"/>
      <w:pPr>
        <w:ind w:left="6598" w:hanging="360"/>
      </w:pPr>
      <w:rPr>
        <w:rFonts w:hint="default"/>
        <w:lang w:val="ru-RU" w:eastAsia="en-US" w:bidi="ar-SA"/>
      </w:rPr>
    </w:lvl>
    <w:lvl w:ilvl="7" w:tentative="0">
      <w:start w:val="0"/>
      <w:numFmt w:val="bullet"/>
      <w:lvlText w:val="•"/>
      <w:lvlJc w:val="left"/>
      <w:pPr>
        <w:ind w:left="7465" w:hanging="360"/>
      </w:pPr>
      <w:rPr>
        <w:rFonts w:hint="default"/>
        <w:lang w:val="ru-RU" w:eastAsia="en-US" w:bidi="ar-SA"/>
      </w:rPr>
    </w:lvl>
    <w:lvl w:ilvl="8" w:tentative="0">
      <w:start w:val="0"/>
      <w:numFmt w:val="bullet"/>
      <w:lvlText w:val="•"/>
      <w:lvlJc w:val="left"/>
      <w:pPr>
        <w:ind w:left="8331" w:hanging="360"/>
      </w:pPr>
      <w:rPr>
        <w:rFonts w:hint="default"/>
        <w:lang w:val="ru-RU" w:eastAsia="en-US" w:bidi="ar-SA"/>
      </w:rPr>
    </w:lvl>
  </w:abstractNum>
  <w:abstractNum w:abstractNumId="25">
    <w:nsid w:val="6D00625F"/>
    <w:multiLevelType w:val="multilevel"/>
    <w:tmpl w:val="6D00625F"/>
    <w:lvl w:ilvl="0" w:tentative="0">
      <w:start w:val="0"/>
      <w:numFmt w:val="bullet"/>
      <w:lvlText w:val=""/>
      <w:lvlJc w:val="left"/>
      <w:pPr>
        <w:ind w:left="1485" w:hanging="360"/>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2338" w:hanging="360"/>
      </w:pPr>
      <w:rPr>
        <w:rFonts w:hint="default"/>
        <w:lang w:val="ru-RU" w:eastAsia="en-US" w:bidi="ar-SA"/>
      </w:rPr>
    </w:lvl>
    <w:lvl w:ilvl="2" w:tentative="0">
      <w:start w:val="0"/>
      <w:numFmt w:val="bullet"/>
      <w:lvlText w:val="•"/>
      <w:lvlJc w:val="left"/>
      <w:pPr>
        <w:ind w:left="3196" w:hanging="360"/>
      </w:pPr>
      <w:rPr>
        <w:rFonts w:hint="default"/>
        <w:lang w:val="ru-RU" w:eastAsia="en-US" w:bidi="ar-SA"/>
      </w:rPr>
    </w:lvl>
    <w:lvl w:ilvl="3" w:tentative="0">
      <w:start w:val="0"/>
      <w:numFmt w:val="bullet"/>
      <w:lvlText w:val="•"/>
      <w:lvlJc w:val="left"/>
      <w:pPr>
        <w:ind w:left="4055" w:hanging="360"/>
      </w:pPr>
      <w:rPr>
        <w:rFonts w:hint="default"/>
        <w:lang w:val="ru-RU" w:eastAsia="en-US" w:bidi="ar-SA"/>
      </w:rPr>
    </w:lvl>
    <w:lvl w:ilvl="4" w:tentative="0">
      <w:start w:val="0"/>
      <w:numFmt w:val="bullet"/>
      <w:lvlText w:val="•"/>
      <w:lvlJc w:val="left"/>
      <w:pPr>
        <w:ind w:left="4913" w:hanging="360"/>
      </w:pPr>
      <w:rPr>
        <w:rFonts w:hint="default"/>
        <w:lang w:val="ru-RU" w:eastAsia="en-US" w:bidi="ar-SA"/>
      </w:rPr>
    </w:lvl>
    <w:lvl w:ilvl="5" w:tentative="0">
      <w:start w:val="0"/>
      <w:numFmt w:val="bullet"/>
      <w:lvlText w:val="•"/>
      <w:lvlJc w:val="left"/>
      <w:pPr>
        <w:ind w:left="5772" w:hanging="360"/>
      </w:pPr>
      <w:rPr>
        <w:rFonts w:hint="default"/>
        <w:lang w:val="ru-RU" w:eastAsia="en-US" w:bidi="ar-SA"/>
      </w:rPr>
    </w:lvl>
    <w:lvl w:ilvl="6" w:tentative="0">
      <w:start w:val="0"/>
      <w:numFmt w:val="bullet"/>
      <w:lvlText w:val="•"/>
      <w:lvlJc w:val="left"/>
      <w:pPr>
        <w:ind w:left="6630" w:hanging="360"/>
      </w:pPr>
      <w:rPr>
        <w:rFonts w:hint="default"/>
        <w:lang w:val="ru-RU" w:eastAsia="en-US" w:bidi="ar-SA"/>
      </w:rPr>
    </w:lvl>
    <w:lvl w:ilvl="7" w:tentative="0">
      <w:start w:val="0"/>
      <w:numFmt w:val="bullet"/>
      <w:lvlText w:val="•"/>
      <w:lvlJc w:val="left"/>
      <w:pPr>
        <w:ind w:left="7489" w:hanging="360"/>
      </w:pPr>
      <w:rPr>
        <w:rFonts w:hint="default"/>
        <w:lang w:val="ru-RU" w:eastAsia="en-US" w:bidi="ar-SA"/>
      </w:rPr>
    </w:lvl>
    <w:lvl w:ilvl="8" w:tentative="0">
      <w:start w:val="0"/>
      <w:numFmt w:val="bullet"/>
      <w:lvlText w:val="•"/>
      <w:lvlJc w:val="left"/>
      <w:pPr>
        <w:ind w:left="8347" w:hanging="360"/>
      </w:pPr>
      <w:rPr>
        <w:rFonts w:hint="default"/>
        <w:lang w:val="ru-RU" w:eastAsia="en-US" w:bidi="ar-SA"/>
      </w:rPr>
    </w:lvl>
  </w:abstractNum>
  <w:abstractNum w:abstractNumId="26">
    <w:nsid w:val="6D0B0304"/>
    <w:multiLevelType w:val="multilevel"/>
    <w:tmpl w:val="6D0B0304"/>
    <w:lvl w:ilvl="0" w:tentative="0">
      <w:start w:val="1"/>
      <w:numFmt w:val="decimal"/>
      <w:lvlText w:val="%1."/>
      <w:lvlJc w:val="left"/>
      <w:pPr>
        <w:ind w:left="916" w:hanging="363"/>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1834" w:hanging="363"/>
      </w:pPr>
      <w:rPr>
        <w:rFonts w:hint="default"/>
        <w:lang w:val="ru-RU" w:eastAsia="en-US" w:bidi="ar-SA"/>
      </w:rPr>
    </w:lvl>
    <w:lvl w:ilvl="2" w:tentative="0">
      <w:start w:val="0"/>
      <w:numFmt w:val="bullet"/>
      <w:lvlText w:val="•"/>
      <w:lvlJc w:val="left"/>
      <w:pPr>
        <w:ind w:left="2748" w:hanging="363"/>
      </w:pPr>
      <w:rPr>
        <w:rFonts w:hint="default"/>
        <w:lang w:val="ru-RU" w:eastAsia="en-US" w:bidi="ar-SA"/>
      </w:rPr>
    </w:lvl>
    <w:lvl w:ilvl="3" w:tentative="0">
      <w:start w:val="0"/>
      <w:numFmt w:val="bullet"/>
      <w:lvlText w:val="•"/>
      <w:lvlJc w:val="left"/>
      <w:pPr>
        <w:ind w:left="3663" w:hanging="363"/>
      </w:pPr>
      <w:rPr>
        <w:rFonts w:hint="default"/>
        <w:lang w:val="ru-RU" w:eastAsia="en-US" w:bidi="ar-SA"/>
      </w:rPr>
    </w:lvl>
    <w:lvl w:ilvl="4" w:tentative="0">
      <w:start w:val="0"/>
      <w:numFmt w:val="bullet"/>
      <w:lvlText w:val="•"/>
      <w:lvlJc w:val="left"/>
      <w:pPr>
        <w:ind w:left="4577" w:hanging="363"/>
      </w:pPr>
      <w:rPr>
        <w:rFonts w:hint="default"/>
        <w:lang w:val="ru-RU" w:eastAsia="en-US" w:bidi="ar-SA"/>
      </w:rPr>
    </w:lvl>
    <w:lvl w:ilvl="5" w:tentative="0">
      <w:start w:val="0"/>
      <w:numFmt w:val="bullet"/>
      <w:lvlText w:val="•"/>
      <w:lvlJc w:val="left"/>
      <w:pPr>
        <w:ind w:left="5492" w:hanging="363"/>
      </w:pPr>
      <w:rPr>
        <w:rFonts w:hint="default"/>
        <w:lang w:val="ru-RU" w:eastAsia="en-US" w:bidi="ar-SA"/>
      </w:rPr>
    </w:lvl>
    <w:lvl w:ilvl="6" w:tentative="0">
      <w:start w:val="0"/>
      <w:numFmt w:val="bullet"/>
      <w:lvlText w:val="•"/>
      <w:lvlJc w:val="left"/>
      <w:pPr>
        <w:ind w:left="6406" w:hanging="363"/>
      </w:pPr>
      <w:rPr>
        <w:rFonts w:hint="default"/>
        <w:lang w:val="ru-RU" w:eastAsia="en-US" w:bidi="ar-SA"/>
      </w:rPr>
    </w:lvl>
    <w:lvl w:ilvl="7" w:tentative="0">
      <w:start w:val="0"/>
      <w:numFmt w:val="bullet"/>
      <w:lvlText w:val="•"/>
      <w:lvlJc w:val="left"/>
      <w:pPr>
        <w:ind w:left="7321" w:hanging="363"/>
      </w:pPr>
      <w:rPr>
        <w:rFonts w:hint="default"/>
        <w:lang w:val="ru-RU" w:eastAsia="en-US" w:bidi="ar-SA"/>
      </w:rPr>
    </w:lvl>
    <w:lvl w:ilvl="8" w:tentative="0">
      <w:start w:val="0"/>
      <w:numFmt w:val="bullet"/>
      <w:lvlText w:val="•"/>
      <w:lvlJc w:val="left"/>
      <w:pPr>
        <w:ind w:left="8235" w:hanging="363"/>
      </w:pPr>
      <w:rPr>
        <w:rFonts w:hint="default"/>
        <w:lang w:val="ru-RU" w:eastAsia="en-US" w:bidi="ar-SA"/>
      </w:rPr>
    </w:lvl>
  </w:abstractNum>
  <w:abstractNum w:abstractNumId="27">
    <w:nsid w:val="6F60762A"/>
    <w:multiLevelType w:val="multilevel"/>
    <w:tmpl w:val="6F60762A"/>
    <w:lvl w:ilvl="0" w:tentative="0">
      <w:start w:val="0"/>
      <w:numFmt w:val="bullet"/>
      <w:lvlText w:val=""/>
      <w:lvlJc w:val="left"/>
      <w:pPr>
        <w:ind w:left="107" w:hanging="361"/>
      </w:pPr>
      <w:rPr>
        <w:rFonts w:hint="default" w:ascii="Symbol" w:hAnsi="Symbol" w:eastAsia="Symbol" w:cs="Symbol"/>
        <w:b w:val="0"/>
        <w:bCs w:val="0"/>
        <w:i w:val="0"/>
        <w:iCs w:val="0"/>
        <w:spacing w:val="0"/>
        <w:w w:val="99"/>
        <w:sz w:val="20"/>
        <w:szCs w:val="20"/>
        <w:lang w:val="ru-RU" w:eastAsia="en-US" w:bidi="ar-SA"/>
      </w:rPr>
    </w:lvl>
    <w:lvl w:ilvl="1" w:tentative="0">
      <w:start w:val="0"/>
      <w:numFmt w:val="bullet"/>
      <w:lvlText w:val="•"/>
      <w:lvlJc w:val="left"/>
      <w:pPr>
        <w:ind w:left="882" w:hanging="361"/>
      </w:pPr>
      <w:rPr>
        <w:rFonts w:hint="default"/>
        <w:lang w:val="ru-RU" w:eastAsia="en-US" w:bidi="ar-SA"/>
      </w:rPr>
    </w:lvl>
    <w:lvl w:ilvl="2" w:tentative="0">
      <w:start w:val="0"/>
      <w:numFmt w:val="bullet"/>
      <w:lvlText w:val="•"/>
      <w:lvlJc w:val="left"/>
      <w:pPr>
        <w:ind w:left="1665" w:hanging="361"/>
      </w:pPr>
      <w:rPr>
        <w:rFonts w:hint="default"/>
        <w:lang w:val="ru-RU" w:eastAsia="en-US" w:bidi="ar-SA"/>
      </w:rPr>
    </w:lvl>
    <w:lvl w:ilvl="3" w:tentative="0">
      <w:start w:val="0"/>
      <w:numFmt w:val="bullet"/>
      <w:lvlText w:val="•"/>
      <w:lvlJc w:val="left"/>
      <w:pPr>
        <w:ind w:left="2448" w:hanging="361"/>
      </w:pPr>
      <w:rPr>
        <w:rFonts w:hint="default"/>
        <w:lang w:val="ru-RU" w:eastAsia="en-US" w:bidi="ar-SA"/>
      </w:rPr>
    </w:lvl>
    <w:lvl w:ilvl="4" w:tentative="0">
      <w:start w:val="0"/>
      <w:numFmt w:val="bullet"/>
      <w:lvlText w:val="•"/>
      <w:lvlJc w:val="left"/>
      <w:pPr>
        <w:ind w:left="3231" w:hanging="361"/>
      </w:pPr>
      <w:rPr>
        <w:rFonts w:hint="default"/>
        <w:lang w:val="ru-RU" w:eastAsia="en-US" w:bidi="ar-SA"/>
      </w:rPr>
    </w:lvl>
    <w:lvl w:ilvl="5" w:tentative="0">
      <w:start w:val="0"/>
      <w:numFmt w:val="bullet"/>
      <w:lvlText w:val="•"/>
      <w:lvlJc w:val="left"/>
      <w:pPr>
        <w:ind w:left="4014" w:hanging="361"/>
      </w:pPr>
      <w:rPr>
        <w:rFonts w:hint="default"/>
        <w:lang w:val="ru-RU" w:eastAsia="en-US" w:bidi="ar-SA"/>
      </w:rPr>
    </w:lvl>
    <w:lvl w:ilvl="6" w:tentative="0">
      <w:start w:val="0"/>
      <w:numFmt w:val="bullet"/>
      <w:lvlText w:val="•"/>
      <w:lvlJc w:val="left"/>
      <w:pPr>
        <w:ind w:left="4797" w:hanging="361"/>
      </w:pPr>
      <w:rPr>
        <w:rFonts w:hint="default"/>
        <w:lang w:val="ru-RU" w:eastAsia="en-US" w:bidi="ar-SA"/>
      </w:rPr>
    </w:lvl>
    <w:lvl w:ilvl="7" w:tentative="0">
      <w:start w:val="0"/>
      <w:numFmt w:val="bullet"/>
      <w:lvlText w:val="•"/>
      <w:lvlJc w:val="left"/>
      <w:pPr>
        <w:ind w:left="5580" w:hanging="361"/>
      </w:pPr>
      <w:rPr>
        <w:rFonts w:hint="default"/>
        <w:lang w:val="ru-RU" w:eastAsia="en-US" w:bidi="ar-SA"/>
      </w:rPr>
    </w:lvl>
    <w:lvl w:ilvl="8" w:tentative="0">
      <w:start w:val="0"/>
      <w:numFmt w:val="bullet"/>
      <w:lvlText w:val="•"/>
      <w:lvlJc w:val="left"/>
      <w:pPr>
        <w:ind w:left="6363" w:hanging="361"/>
      </w:pPr>
      <w:rPr>
        <w:rFonts w:hint="default"/>
        <w:lang w:val="ru-RU" w:eastAsia="en-US" w:bidi="ar-SA"/>
      </w:rPr>
    </w:lvl>
  </w:abstractNum>
  <w:abstractNum w:abstractNumId="28">
    <w:nsid w:val="713B2951"/>
    <w:multiLevelType w:val="multilevel"/>
    <w:tmpl w:val="713B2951"/>
    <w:lvl w:ilvl="0" w:tentative="0">
      <w:start w:val="1"/>
      <w:numFmt w:val="decimal"/>
      <w:lvlText w:val="%1."/>
      <w:lvlJc w:val="left"/>
      <w:pPr>
        <w:ind w:left="1355" w:hanging="504"/>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2230" w:hanging="504"/>
      </w:pPr>
      <w:rPr>
        <w:rFonts w:hint="default"/>
        <w:lang w:val="ru-RU" w:eastAsia="en-US" w:bidi="ar-SA"/>
      </w:rPr>
    </w:lvl>
    <w:lvl w:ilvl="2" w:tentative="0">
      <w:start w:val="0"/>
      <w:numFmt w:val="bullet"/>
      <w:lvlText w:val="•"/>
      <w:lvlJc w:val="left"/>
      <w:pPr>
        <w:ind w:left="3100" w:hanging="504"/>
      </w:pPr>
      <w:rPr>
        <w:rFonts w:hint="default"/>
        <w:lang w:val="ru-RU" w:eastAsia="en-US" w:bidi="ar-SA"/>
      </w:rPr>
    </w:lvl>
    <w:lvl w:ilvl="3" w:tentative="0">
      <w:start w:val="0"/>
      <w:numFmt w:val="bullet"/>
      <w:lvlText w:val="•"/>
      <w:lvlJc w:val="left"/>
      <w:pPr>
        <w:ind w:left="3971" w:hanging="504"/>
      </w:pPr>
      <w:rPr>
        <w:rFonts w:hint="default"/>
        <w:lang w:val="ru-RU" w:eastAsia="en-US" w:bidi="ar-SA"/>
      </w:rPr>
    </w:lvl>
    <w:lvl w:ilvl="4" w:tentative="0">
      <w:start w:val="0"/>
      <w:numFmt w:val="bullet"/>
      <w:lvlText w:val="•"/>
      <w:lvlJc w:val="left"/>
      <w:pPr>
        <w:ind w:left="4841" w:hanging="504"/>
      </w:pPr>
      <w:rPr>
        <w:rFonts w:hint="default"/>
        <w:lang w:val="ru-RU" w:eastAsia="en-US" w:bidi="ar-SA"/>
      </w:rPr>
    </w:lvl>
    <w:lvl w:ilvl="5" w:tentative="0">
      <w:start w:val="0"/>
      <w:numFmt w:val="bullet"/>
      <w:lvlText w:val="•"/>
      <w:lvlJc w:val="left"/>
      <w:pPr>
        <w:ind w:left="5712" w:hanging="504"/>
      </w:pPr>
      <w:rPr>
        <w:rFonts w:hint="default"/>
        <w:lang w:val="ru-RU" w:eastAsia="en-US" w:bidi="ar-SA"/>
      </w:rPr>
    </w:lvl>
    <w:lvl w:ilvl="6" w:tentative="0">
      <w:start w:val="0"/>
      <w:numFmt w:val="bullet"/>
      <w:lvlText w:val="•"/>
      <w:lvlJc w:val="left"/>
      <w:pPr>
        <w:ind w:left="6582" w:hanging="504"/>
      </w:pPr>
      <w:rPr>
        <w:rFonts w:hint="default"/>
        <w:lang w:val="ru-RU" w:eastAsia="en-US" w:bidi="ar-SA"/>
      </w:rPr>
    </w:lvl>
    <w:lvl w:ilvl="7" w:tentative="0">
      <w:start w:val="0"/>
      <w:numFmt w:val="bullet"/>
      <w:lvlText w:val="•"/>
      <w:lvlJc w:val="left"/>
      <w:pPr>
        <w:ind w:left="7453" w:hanging="504"/>
      </w:pPr>
      <w:rPr>
        <w:rFonts w:hint="default"/>
        <w:lang w:val="ru-RU" w:eastAsia="en-US" w:bidi="ar-SA"/>
      </w:rPr>
    </w:lvl>
    <w:lvl w:ilvl="8" w:tentative="0">
      <w:start w:val="0"/>
      <w:numFmt w:val="bullet"/>
      <w:lvlText w:val="•"/>
      <w:lvlJc w:val="left"/>
      <w:pPr>
        <w:ind w:left="8323" w:hanging="504"/>
      </w:pPr>
      <w:rPr>
        <w:rFonts w:hint="default"/>
        <w:lang w:val="ru-RU" w:eastAsia="en-US" w:bidi="ar-SA"/>
      </w:rPr>
    </w:lvl>
  </w:abstractNum>
  <w:abstractNum w:abstractNumId="29">
    <w:nsid w:val="75C60E47"/>
    <w:multiLevelType w:val="multilevel"/>
    <w:tmpl w:val="75C60E47"/>
    <w:lvl w:ilvl="0" w:tentative="0">
      <w:start w:val="0"/>
      <w:numFmt w:val="bullet"/>
      <w:lvlText w:val=""/>
      <w:lvlJc w:val="left"/>
      <w:pPr>
        <w:ind w:left="712" w:hanging="360"/>
      </w:pPr>
      <w:rPr>
        <w:rFonts w:hint="default" w:ascii="Symbol" w:hAnsi="Symbol" w:eastAsia="Symbol" w:cs="Symbol"/>
        <w:b w:val="0"/>
        <w:bCs w:val="0"/>
        <w:i w:val="0"/>
        <w:iCs w:val="0"/>
        <w:spacing w:val="0"/>
        <w:w w:val="100"/>
        <w:sz w:val="24"/>
        <w:szCs w:val="24"/>
        <w:lang w:val="ru-RU" w:eastAsia="en-US" w:bidi="ar-SA"/>
      </w:rPr>
    </w:lvl>
    <w:lvl w:ilvl="1" w:tentative="0">
      <w:start w:val="0"/>
      <w:numFmt w:val="bullet"/>
      <w:lvlText w:val="•"/>
      <w:lvlJc w:val="left"/>
      <w:pPr>
        <w:ind w:left="1654" w:hanging="360"/>
      </w:pPr>
      <w:rPr>
        <w:rFonts w:hint="default"/>
        <w:lang w:val="ru-RU" w:eastAsia="en-US" w:bidi="ar-SA"/>
      </w:rPr>
    </w:lvl>
    <w:lvl w:ilvl="2" w:tentative="0">
      <w:start w:val="0"/>
      <w:numFmt w:val="bullet"/>
      <w:lvlText w:val="•"/>
      <w:lvlJc w:val="left"/>
      <w:pPr>
        <w:ind w:left="2588" w:hanging="360"/>
      </w:pPr>
      <w:rPr>
        <w:rFonts w:hint="default"/>
        <w:lang w:val="ru-RU" w:eastAsia="en-US" w:bidi="ar-SA"/>
      </w:rPr>
    </w:lvl>
    <w:lvl w:ilvl="3" w:tentative="0">
      <w:start w:val="0"/>
      <w:numFmt w:val="bullet"/>
      <w:lvlText w:val="•"/>
      <w:lvlJc w:val="left"/>
      <w:pPr>
        <w:ind w:left="3523" w:hanging="360"/>
      </w:pPr>
      <w:rPr>
        <w:rFonts w:hint="default"/>
        <w:lang w:val="ru-RU" w:eastAsia="en-US" w:bidi="ar-SA"/>
      </w:rPr>
    </w:lvl>
    <w:lvl w:ilvl="4" w:tentative="0">
      <w:start w:val="0"/>
      <w:numFmt w:val="bullet"/>
      <w:lvlText w:val="•"/>
      <w:lvlJc w:val="left"/>
      <w:pPr>
        <w:ind w:left="4457" w:hanging="360"/>
      </w:pPr>
      <w:rPr>
        <w:rFonts w:hint="default"/>
        <w:lang w:val="ru-RU" w:eastAsia="en-US" w:bidi="ar-SA"/>
      </w:rPr>
    </w:lvl>
    <w:lvl w:ilvl="5" w:tentative="0">
      <w:start w:val="0"/>
      <w:numFmt w:val="bullet"/>
      <w:lvlText w:val="•"/>
      <w:lvlJc w:val="left"/>
      <w:pPr>
        <w:ind w:left="5392" w:hanging="360"/>
      </w:pPr>
      <w:rPr>
        <w:rFonts w:hint="default"/>
        <w:lang w:val="ru-RU" w:eastAsia="en-US" w:bidi="ar-SA"/>
      </w:rPr>
    </w:lvl>
    <w:lvl w:ilvl="6" w:tentative="0">
      <w:start w:val="0"/>
      <w:numFmt w:val="bullet"/>
      <w:lvlText w:val="•"/>
      <w:lvlJc w:val="left"/>
      <w:pPr>
        <w:ind w:left="6326" w:hanging="360"/>
      </w:pPr>
      <w:rPr>
        <w:rFonts w:hint="default"/>
        <w:lang w:val="ru-RU" w:eastAsia="en-US" w:bidi="ar-SA"/>
      </w:rPr>
    </w:lvl>
    <w:lvl w:ilvl="7" w:tentative="0">
      <w:start w:val="0"/>
      <w:numFmt w:val="bullet"/>
      <w:lvlText w:val="•"/>
      <w:lvlJc w:val="left"/>
      <w:pPr>
        <w:ind w:left="7261" w:hanging="360"/>
      </w:pPr>
      <w:rPr>
        <w:rFonts w:hint="default"/>
        <w:lang w:val="ru-RU" w:eastAsia="en-US" w:bidi="ar-SA"/>
      </w:rPr>
    </w:lvl>
    <w:lvl w:ilvl="8" w:tentative="0">
      <w:start w:val="0"/>
      <w:numFmt w:val="bullet"/>
      <w:lvlText w:val="•"/>
      <w:lvlJc w:val="left"/>
      <w:pPr>
        <w:ind w:left="8195" w:hanging="360"/>
      </w:pPr>
      <w:rPr>
        <w:rFonts w:hint="default"/>
        <w:lang w:val="ru-RU" w:eastAsia="en-US" w:bidi="ar-SA"/>
      </w:rPr>
    </w:lvl>
  </w:abstractNum>
  <w:abstractNum w:abstractNumId="30">
    <w:nsid w:val="75E11713"/>
    <w:multiLevelType w:val="multilevel"/>
    <w:tmpl w:val="75E11713"/>
    <w:lvl w:ilvl="0" w:tentative="0">
      <w:start w:val="0"/>
      <w:numFmt w:val="bullet"/>
      <w:lvlText w:val=""/>
      <w:lvlJc w:val="left"/>
      <w:pPr>
        <w:ind w:left="285" w:hanging="432"/>
      </w:pPr>
      <w:rPr>
        <w:rFonts w:hint="default" w:ascii="Symbol" w:hAnsi="Symbol" w:eastAsia="Symbol" w:cs="Symbol"/>
        <w:spacing w:val="0"/>
        <w:w w:val="100"/>
        <w:lang w:val="ru-RU" w:eastAsia="en-US" w:bidi="ar-SA"/>
      </w:rPr>
    </w:lvl>
    <w:lvl w:ilvl="1" w:tentative="0">
      <w:start w:val="0"/>
      <w:numFmt w:val="bullet"/>
      <w:lvlText w:val="•"/>
      <w:lvlJc w:val="left"/>
      <w:pPr>
        <w:ind w:left="1258" w:hanging="432"/>
      </w:pPr>
      <w:rPr>
        <w:rFonts w:hint="default"/>
        <w:lang w:val="ru-RU" w:eastAsia="en-US" w:bidi="ar-SA"/>
      </w:rPr>
    </w:lvl>
    <w:lvl w:ilvl="2" w:tentative="0">
      <w:start w:val="0"/>
      <w:numFmt w:val="bullet"/>
      <w:lvlText w:val="•"/>
      <w:lvlJc w:val="left"/>
      <w:pPr>
        <w:ind w:left="2236" w:hanging="432"/>
      </w:pPr>
      <w:rPr>
        <w:rFonts w:hint="default"/>
        <w:lang w:val="ru-RU" w:eastAsia="en-US" w:bidi="ar-SA"/>
      </w:rPr>
    </w:lvl>
    <w:lvl w:ilvl="3" w:tentative="0">
      <w:start w:val="0"/>
      <w:numFmt w:val="bullet"/>
      <w:lvlText w:val="•"/>
      <w:lvlJc w:val="left"/>
      <w:pPr>
        <w:ind w:left="3215" w:hanging="432"/>
      </w:pPr>
      <w:rPr>
        <w:rFonts w:hint="default"/>
        <w:lang w:val="ru-RU" w:eastAsia="en-US" w:bidi="ar-SA"/>
      </w:rPr>
    </w:lvl>
    <w:lvl w:ilvl="4" w:tentative="0">
      <w:start w:val="0"/>
      <w:numFmt w:val="bullet"/>
      <w:lvlText w:val="•"/>
      <w:lvlJc w:val="left"/>
      <w:pPr>
        <w:ind w:left="4193" w:hanging="432"/>
      </w:pPr>
      <w:rPr>
        <w:rFonts w:hint="default"/>
        <w:lang w:val="ru-RU" w:eastAsia="en-US" w:bidi="ar-SA"/>
      </w:rPr>
    </w:lvl>
    <w:lvl w:ilvl="5" w:tentative="0">
      <w:start w:val="0"/>
      <w:numFmt w:val="bullet"/>
      <w:lvlText w:val="•"/>
      <w:lvlJc w:val="left"/>
      <w:pPr>
        <w:ind w:left="5172" w:hanging="432"/>
      </w:pPr>
      <w:rPr>
        <w:rFonts w:hint="default"/>
        <w:lang w:val="ru-RU" w:eastAsia="en-US" w:bidi="ar-SA"/>
      </w:rPr>
    </w:lvl>
    <w:lvl w:ilvl="6" w:tentative="0">
      <w:start w:val="0"/>
      <w:numFmt w:val="bullet"/>
      <w:lvlText w:val="•"/>
      <w:lvlJc w:val="left"/>
      <w:pPr>
        <w:ind w:left="6150" w:hanging="432"/>
      </w:pPr>
      <w:rPr>
        <w:rFonts w:hint="default"/>
        <w:lang w:val="ru-RU" w:eastAsia="en-US" w:bidi="ar-SA"/>
      </w:rPr>
    </w:lvl>
    <w:lvl w:ilvl="7" w:tentative="0">
      <w:start w:val="0"/>
      <w:numFmt w:val="bullet"/>
      <w:lvlText w:val="•"/>
      <w:lvlJc w:val="left"/>
      <w:pPr>
        <w:ind w:left="7129" w:hanging="432"/>
      </w:pPr>
      <w:rPr>
        <w:rFonts w:hint="default"/>
        <w:lang w:val="ru-RU" w:eastAsia="en-US" w:bidi="ar-SA"/>
      </w:rPr>
    </w:lvl>
    <w:lvl w:ilvl="8" w:tentative="0">
      <w:start w:val="0"/>
      <w:numFmt w:val="bullet"/>
      <w:lvlText w:val="•"/>
      <w:lvlJc w:val="left"/>
      <w:pPr>
        <w:ind w:left="8107" w:hanging="432"/>
      </w:pPr>
      <w:rPr>
        <w:rFonts w:hint="default"/>
        <w:lang w:val="ru-RU" w:eastAsia="en-US" w:bidi="ar-SA"/>
      </w:rPr>
    </w:lvl>
  </w:abstractNum>
  <w:abstractNum w:abstractNumId="31">
    <w:nsid w:val="762245B9"/>
    <w:multiLevelType w:val="multilevel"/>
    <w:tmpl w:val="762245B9"/>
    <w:lvl w:ilvl="0" w:tentative="0">
      <w:start w:val="9"/>
      <w:numFmt w:val="decimal"/>
      <w:lvlText w:val="%1"/>
      <w:lvlJc w:val="left"/>
      <w:pPr>
        <w:ind w:left="2281" w:hanging="720"/>
        <w:jc w:val="left"/>
      </w:pPr>
      <w:rPr>
        <w:rFonts w:hint="default"/>
        <w:lang w:val="ru-RU" w:eastAsia="en-US" w:bidi="ar-SA"/>
      </w:rPr>
    </w:lvl>
    <w:lvl w:ilvl="1" w:tentative="0">
      <w:start w:val="4"/>
      <w:numFmt w:val="decimal"/>
      <w:lvlText w:val="%1.%2"/>
      <w:lvlJc w:val="left"/>
      <w:pPr>
        <w:ind w:left="2281" w:hanging="720"/>
        <w:jc w:val="left"/>
      </w:pPr>
      <w:rPr>
        <w:rFonts w:hint="default"/>
        <w:lang w:val="ru-RU" w:eastAsia="en-US" w:bidi="ar-SA"/>
      </w:rPr>
    </w:lvl>
    <w:lvl w:ilvl="2" w:tentative="0">
      <w:start w:val="3"/>
      <w:numFmt w:val="decimal"/>
      <w:lvlText w:val="%1.%2.%3"/>
      <w:lvlJc w:val="left"/>
      <w:pPr>
        <w:ind w:left="2281" w:hanging="720"/>
        <w:jc w:val="left"/>
      </w:pPr>
      <w:rPr>
        <w:rFonts w:hint="default" w:ascii="Times New Roman" w:hAnsi="Times New Roman" w:eastAsia="Times New Roman" w:cs="Times New Roman"/>
        <w:b/>
        <w:bCs/>
        <w:i w:val="0"/>
        <w:iCs w:val="0"/>
        <w:spacing w:val="0"/>
        <w:w w:val="100"/>
        <w:sz w:val="24"/>
        <w:szCs w:val="24"/>
        <w:lang w:val="ru-RU" w:eastAsia="en-US" w:bidi="ar-SA"/>
      </w:rPr>
    </w:lvl>
    <w:lvl w:ilvl="3" w:tentative="0">
      <w:start w:val="0"/>
      <w:numFmt w:val="bullet"/>
      <w:lvlText w:val="•"/>
      <w:lvlJc w:val="left"/>
      <w:pPr>
        <w:ind w:left="4615" w:hanging="720"/>
      </w:pPr>
      <w:rPr>
        <w:rFonts w:hint="default"/>
        <w:lang w:val="ru-RU" w:eastAsia="en-US" w:bidi="ar-SA"/>
      </w:rPr>
    </w:lvl>
    <w:lvl w:ilvl="4" w:tentative="0">
      <w:start w:val="0"/>
      <w:numFmt w:val="bullet"/>
      <w:lvlText w:val="•"/>
      <w:lvlJc w:val="left"/>
      <w:pPr>
        <w:ind w:left="5393" w:hanging="720"/>
      </w:pPr>
      <w:rPr>
        <w:rFonts w:hint="default"/>
        <w:lang w:val="ru-RU" w:eastAsia="en-US" w:bidi="ar-SA"/>
      </w:rPr>
    </w:lvl>
    <w:lvl w:ilvl="5" w:tentative="0">
      <w:start w:val="0"/>
      <w:numFmt w:val="bullet"/>
      <w:lvlText w:val="•"/>
      <w:lvlJc w:val="left"/>
      <w:pPr>
        <w:ind w:left="6172" w:hanging="720"/>
      </w:pPr>
      <w:rPr>
        <w:rFonts w:hint="default"/>
        <w:lang w:val="ru-RU" w:eastAsia="en-US" w:bidi="ar-SA"/>
      </w:rPr>
    </w:lvl>
    <w:lvl w:ilvl="6" w:tentative="0">
      <w:start w:val="0"/>
      <w:numFmt w:val="bullet"/>
      <w:lvlText w:val="•"/>
      <w:lvlJc w:val="left"/>
      <w:pPr>
        <w:ind w:left="6950" w:hanging="720"/>
      </w:pPr>
      <w:rPr>
        <w:rFonts w:hint="default"/>
        <w:lang w:val="ru-RU" w:eastAsia="en-US" w:bidi="ar-SA"/>
      </w:rPr>
    </w:lvl>
    <w:lvl w:ilvl="7" w:tentative="0">
      <w:start w:val="0"/>
      <w:numFmt w:val="bullet"/>
      <w:lvlText w:val="•"/>
      <w:lvlJc w:val="left"/>
      <w:pPr>
        <w:ind w:left="7729" w:hanging="720"/>
      </w:pPr>
      <w:rPr>
        <w:rFonts w:hint="default"/>
        <w:lang w:val="ru-RU" w:eastAsia="en-US" w:bidi="ar-SA"/>
      </w:rPr>
    </w:lvl>
    <w:lvl w:ilvl="8" w:tentative="0">
      <w:start w:val="0"/>
      <w:numFmt w:val="bullet"/>
      <w:lvlText w:val="•"/>
      <w:lvlJc w:val="left"/>
      <w:pPr>
        <w:ind w:left="8507" w:hanging="720"/>
      </w:pPr>
      <w:rPr>
        <w:rFonts w:hint="default"/>
        <w:lang w:val="ru-RU" w:eastAsia="en-US" w:bidi="ar-SA"/>
      </w:rPr>
    </w:lvl>
  </w:abstractNum>
  <w:abstractNum w:abstractNumId="32">
    <w:nsid w:val="76C94613"/>
    <w:multiLevelType w:val="multilevel"/>
    <w:tmpl w:val="76C94613"/>
    <w:lvl w:ilvl="0" w:tentative="0">
      <w:start w:val="1"/>
      <w:numFmt w:val="decimal"/>
      <w:lvlText w:val="%1."/>
      <w:lvlJc w:val="left"/>
      <w:pPr>
        <w:ind w:left="1005"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tentative="0">
      <w:start w:val="0"/>
      <w:numFmt w:val="bullet"/>
      <w:lvlText w:val=""/>
      <w:lvlJc w:val="left"/>
      <w:pPr>
        <w:ind w:left="1725" w:hanging="360"/>
      </w:pPr>
      <w:rPr>
        <w:rFonts w:hint="default" w:ascii="Symbol" w:hAnsi="Symbol" w:eastAsia="Symbol" w:cs="Symbol"/>
        <w:b w:val="0"/>
        <w:bCs w:val="0"/>
        <w:i w:val="0"/>
        <w:iCs w:val="0"/>
        <w:spacing w:val="0"/>
        <w:w w:val="100"/>
        <w:sz w:val="24"/>
        <w:szCs w:val="24"/>
        <w:lang w:val="ru-RU" w:eastAsia="en-US" w:bidi="ar-SA"/>
      </w:rPr>
    </w:lvl>
    <w:lvl w:ilvl="2" w:tentative="0">
      <w:start w:val="0"/>
      <w:numFmt w:val="bullet"/>
      <w:lvlText w:val="•"/>
      <w:lvlJc w:val="left"/>
      <w:pPr>
        <w:ind w:left="2647" w:hanging="360"/>
      </w:pPr>
      <w:rPr>
        <w:rFonts w:hint="default"/>
        <w:lang w:val="ru-RU" w:eastAsia="en-US" w:bidi="ar-SA"/>
      </w:rPr>
    </w:lvl>
    <w:lvl w:ilvl="3" w:tentative="0">
      <w:start w:val="0"/>
      <w:numFmt w:val="bullet"/>
      <w:lvlText w:val="•"/>
      <w:lvlJc w:val="left"/>
      <w:pPr>
        <w:ind w:left="3574" w:hanging="360"/>
      </w:pPr>
      <w:rPr>
        <w:rFonts w:hint="default"/>
        <w:lang w:val="ru-RU" w:eastAsia="en-US" w:bidi="ar-SA"/>
      </w:rPr>
    </w:lvl>
    <w:lvl w:ilvl="4" w:tentative="0">
      <w:start w:val="0"/>
      <w:numFmt w:val="bullet"/>
      <w:lvlText w:val="•"/>
      <w:lvlJc w:val="left"/>
      <w:pPr>
        <w:ind w:left="4501" w:hanging="360"/>
      </w:pPr>
      <w:rPr>
        <w:rFonts w:hint="default"/>
        <w:lang w:val="ru-RU" w:eastAsia="en-US" w:bidi="ar-SA"/>
      </w:rPr>
    </w:lvl>
    <w:lvl w:ilvl="5" w:tentative="0">
      <w:start w:val="0"/>
      <w:numFmt w:val="bullet"/>
      <w:lvlText w:val="•"/>
      <w:lvlJc w:val="left"/>
      <w:pPr>
        <w:ind w:left="5428" w:hanging="360"/>
      </w:pPr>
      <w:rPr>
        <w:rFonts w:hint="default"/>
        <w:lang w:val="ru-RU" w:eastAsia="en-US" w:bidi="ar-SA"/>
      </w:rPr>
    </w:lvl>
    <w:lvl w:ilvl="6" w:tentative="0">
      <w:start w:val="0"/>
      <w:numFmt w:val="bullet"/>
      <w:lvlText w:val="•"/>
      <w:lvlJc w:val="left"/>
      <w:pPr>
        <w:ind w:left="6355" w:hanging="360"/>
      </w:pPr>
      <w:rPr>
        <w:rFonts w:hint="default"/>
        <w:lang w:val="ru-RU" w:eastAsia="en-US" w:bidi="ar-SA"/>
      </w:rPr>
    </w:lvl>
    <w:lvl w:ilvl="7" w:tentative="0">
      <w:start w:val="0"/>
      <w:numFmt w:val="bullet"/>
      <w:lvlText w:val="•"/>
      <w:lvlJc w:val="left"/>
      <w:pPr>
        <w:ind w:left="7282" w:hanging="360"/>
      </w:pPr>
      <w:rPr>
        <w:rFonts w:hint="default"/>
        <w:lang w:val="ru-RU" w:eastAsia="en-US" w:bidi="ar-SA"/>
      </w:rPr>
    </w:lvl>
    <w:lvl w:ilvl="8" w:tentative="0">
      <w:start w:val="0"/>
      <w:numFmt w:val="bullet"/>
      <w:lvlText w:val="•"/>
      <w:lvlJc w:val="left"/>
      <w:pPr>
        <w:ind w:left="8210" w:hanging="360"/>
      </w:pPr>
      <w:rPr>
        <w:rFonts w:hint="default"/>
        <w:lang w:val="ru-RU" w:eastAsia="en-US" w:bidi="ar-SA"/>
      </w:rPr>
    </w:lvl>
  </w:abstractNum>
  <w:abstractNum w:abstractNumId="33">
    <w:nsid w:val="78D97E51"/>
    <w:multiLevelType w:val="multilevel"/>
    <w:tmpl w:val="78D97E51"/>
    <w:lvl w:ilvl="0" w:tentative="0">
      <w:start w:val="6"/>
      <w:numFmt w:val="decimal"/>
      <w:lvlText w:val="%1"/>
      <w:lvlJc w:val="left"/>
      <w:pPr>
        <w:ind w:left="712" w:hanging="644"/>
        <w:jc w:val="left"/>
      </w:pPr>
      <w:rPr>
        <w:rFonts w:hint="default"/>
        <w:lang w:val="ru-RU" w:eastAsia="en-US" w:bidi="ar-SA"/>
      </w:rPr>
    </w:lvl>
    <w:lvl w:ilvl="1" w:tentative="0">
      <w:start w:val="9"/>
      <w:numFmt w:val="decimal"/>
      <w:lvlText w:val="%1.%2"/>
      <w:lvlJc w:val="left"/>
      <w:pPr>
        <w:ind w:left="712" w:hanging="644"/>
        <w:jc w:val="left"/>
      </w:pPr>
      <w:rPr>
        <w:rFonts w:hint="default"/>
        <w:lang w:val="ru-RU" w:eastAsia="en-US" w:bidi="ar-SA"/>
      </w:rPr>
    </w:lvl>
    <w:lvl w:ilvl="2" w:tentative="0">
      <w:start w:val="1"/>
      <w:numFmt w:val="decimal"/>
      <w:lvlText w:val="%1.%2.%3"/>
      <w:lvlJc w:val="left"/>
      <w:pPr>
        <w:ind w:left="712" w:hanging="644"/>
        <w:jc w:val="left"/>
      </w:pPr>
      <w:rPr>
        <w:rFonts w:hint="default" w:ascii="Times New Roman" w:hAnsi="Times New Roman" w:eastAsia="Times New Roman" w:cs="Times New Roman"/>
        <w:b/>
        <w:bCs/>
        <w:i w:val="0"/>
        <w:iCs w:val="0"/>
        <w:spacing w:val="0"/>
        <w:w w:val="100"/>
        <w:sz w:val="24"/>
        <w:szCs w:val="24"/>
        <w:lang w:val="ru-RU" w:eastAsia="en-US" w:bidi="ar-SA"/>
      </w:rPr>
    </w:lvl>
    <w:lvl w:ilvl="3" w:tentative="0">
      <w:start w:val="0"/>
      <w:numFmt w:val="bullet"/>
      <w:lvlText w:val="•"/>
      <w:lvlJc w:val="left"/>
      <w:pPr>
        <w:ind w:left="3523" w:hanging="644"/>
      </w:pPr>
      <w:rPr>
        <w:rFonts w:hint="default"/>
        <w:lang w:val="ru-RU" w:eastAsia="en-US" w:bidi="ar-SA"/>
      </w:rPr>
    </w:lvl>
    <w:lvl w:ilvl="4" w:tentative="0">
      <w:start w:val="0"/>
      <w:numFmt w:val="bullet"/>
      <w:lvlText w:val="•"/>
      <w:lvlJc w:val="left"/>
      <w:pPr>
        <w:ind w:left="4457" w:hanging="644"/>
      </w:pPr>
      <w:rPr>
        <w:rFonts w:hint="default"/>
        <w:lang w:val="ru-RU" w:eastAsia="en-US" w:bidi="ar-SA"/>
      </w:rPr>
    </w:lvl>
    <w:lvl w:ilvl="5" w:tentative="0">
      <w:start w:val="0"/>
      <w:numFmt w:val="bullet"/>
      <w:lvlText w:val="•"/>
      <w:lvlJc w:val="left"/>
      <w:pPr>
        <w:ind w:left="5392" w:hanging="644"/>
      </w:pPr>
      <w:rPr>
        <w:rFonts w:hint="default"/>
        <w:lang w:val="ru-RU" w:eastAsia="en-US" w:bidi="ar-SA"/>
      </w:rPr>
    </w:lvl>
    <w:lvl w:ilvl="6" w:tentative="0">
      <w:start w:val="0"/>
      <w:numFmt w:val="bullet"/>
      <w:lvlText w:val="•"/>
      <w:lvlJc w:val="left"/>
      <w:pPr>
        <w:ind w:left="6326" w:hanging="644"/>
      </w:pPr>
      <w:rPr>
        <w:rFonts w:hint="default"/>
        <w:lang w:val="ru-RU" w:eastAsia="en-US" w:bidi="ar-SA"/>
      </w:rPr>
    </w:lvl>
    <w:lvl w:ilvl="7" w:tentative="0">
      <w:start w:val="0"/>
      <w:numFmt w:val="bullet"/>
      <w:lvlText w:val="•"/>
      <w:lvlJc w:val="left"/>
      <w:pPr>
        <w:ind w:left="7261" w:hanging="644"/>
      </w:pPr>
      <w:rPr>
        <w:rFonts w:hint="default"/>
        <w:lang w:val="ru-RU" w:eastAsia="en-US" w:bidi="ar-SA"/>
      </w:rPr>
    </w:lvl>
    <w:lvl w:ilvl="8" w:tentative="0">
      <w:start w:val="0"/>
      <w:numFmt w:val="bullet"/>
      <w:lvlText w:val="•"/>
      <w:lvlJc w:val="left"/>
      <w:pPr>
        <w:ind w:left="8195" w:hanging="644"/>
      </w:pPr>
      <w:rPr>
        <w:rFonts w:hint="default"/>
        <w:lang w:val="ru-RU" w:eastAsia="en-US" w:bidi="ar-SA"/>
      </w:rPr>
    </w:lvl>
  </w:abstractNum>
  <w:abstractNum w:abstractNumId="34">
    <w:nsid w:val="7A9C759D"/>
    <w:multiLevelType w:val="multilevel"/>
    <w:tmpl w:val="7A9C759D"/>
    <w:lvl w:ilvl="0" w:tentative="0">
      <w:start w:val="0"/>
      <w:numFmt w:val="bullet"/>
      <w:lvlText w:val=""/>
      <w:lvlJc w:val="left"/>
      <w:pPr>
        <w:ind w:left="107" w:hanging="361"/>
      </w:pPr>
      <w:rPr>
        <w:rFonts w:hint="default" w:ascii="Symbol" w:hAnsi="Symbol" w:eastAsia="Symbol" w:cs="Symbol"/>
        <w:b w:val="0"/>
        <w:bCs w:val="0"/>
        <w:i w:val="0"/>
        <w:iCs w:val="0"/>
        <w:spacing w:val="0"/>
        <w:w w:val="99"/>
        <w:sz w:val="20"/>
        <w:szCs w:val="20"/>
        <w:lang w:val="ru-RU" w:eastAsia="en-US" w:bidi="ar-SA"/>
      </w:rPr>
    </w:lvl>
    <w:lvl w:ilvl="1" w:tentative="0">
      <w:start w:val="0"/>
      <w:numFmt w:val="bullet"/>
      <w:lvlText w:val="•"/>
      <w:lvlJc w:val="left"/>
      <w:pPr>
        <w:ind w:left="882" w:hanging="361"/>
      </w:pPr>
      <w:rPr>
        <w:rFonts w:hint="default"/>
        <w:lang w:val="ru-RU" w:eastAsia="en-US" w:bidi="ar-SA"/>
      </w:rPr>
    </w:lvl>
    <w:lvl w:ilvl="2" w:tentative="0">
      <w:start w:val="0"/>
      <w:numFmt w:val="bullet"/>
      <w:lvlText w:val="•"/>
      <w:lvlJc w:val="left"/>
      <w:pPr>
        <w:ind w:left="1665" w:hanging="361"/>
      </w:pPr>
      <w:rPr>
        <w:rFonts w:hint="default"/>
        <w:lang w:val="ru-RU" w:eastAsia="en-US" w:bidi="ar-SA"/>
      </w:rPr>
    </w:lvl>
    <w:lvl w:ilvl="3" w:tentative="0">
      <w:start w:val="0"/>
      <w:numFmt w:val="bullet"/>
      <w:lvlText w:val="•"/>
      <w:lvlJc w:val="left"/>
      <w:pPr>
        <w:ind w:left="2448" w:hanging="361"/>
      </w:pPr>
      <w:rPr>
        <w:rFonts w:hint="default"/>
        <w:lang w:val="ru-RU" w:eastAsia="en-US" w:bidi="ar-SA"/>
      </w:rPr>
    </w:lvl>
    <w:lvl w:ilvl="4" w:tentative="0">
      <w:start w:val="0"/>
      <w:numFmt w:val="bullet"/>
      <w:lvlText w:val="•"/>
      <w:lvlJc w:val="left"/>
      <w:pPr>
        <w:ind w:left="3231" w:hanging="361"/>
      </w:pPr>
      <w:rPr>
        <w:rFonts w:hint="default"/>
        <w:lang w:val="ru-RU" w:eastAsia="en-US" w:bidi="ar-SA"/>
      </w:rPr>
    </w:lvl>
    <w:lvl w:ilvl="5" w:tentative="0">
      <w:start w:val="0"/>
      <w:numFmt w:val="bullet"/>
      <w:lvlText w:val="•"/>
      <w:lvlJc w:val="left"/>
      <w:pPr>
        <w:ind w:left="4014" w:hanging="361"/>
      </w:pPr>
      <w:rPr>
        <w:rFonts w:hint="default"/>
        <w:lang w:val="ru-RU" w:eastAsia="en-US" w:bidi="ar-SA"/>
      </w:rPr>
    </w:lvl>
    <w:lvl w:ilvl="6" w:tentative="0">
      <w:start w:val="0"/>
      <w:numFmt w:val="bullet"/>
      <w:lvlText w:val="•"/>
      <w:lvlJc w:val="left"/>
      <w:pPr>
        <w:ind w:left="4797" w:hanging="361"/>
      </w:pPr>
      <w:rPr>
        <w:rFonts w:hint="default"/>
        <w:lang w:val="ru-RU" w:eastAsia="en-US" w:bidi="ar-SA"/>
      </w:rPr>
    </w:lvl>
    <w:lvl w:ilvl="7" w:tentative="0">
      <w:start w:val="0"/>
      <w:numFmt w:val="bullet"/>
      <w:lvlText w:val="•"/>
      <w:lvlJc w:val="left"/>
      <w:pPr>
        <w:ind w:left="5580" w:hanging="361"/>
      </w:pPr>
      <w:rPr>
        <w:rFonts w:hint="default"/>
        <w:lang w:val="ru-RU" w:eastAsia="en-US" w:bidi="ar-SA"/>
      </w:rPr>
    </w:lvl>
    <w:lvl w:ilvl="8" w:tentative="0">
      <w:start w:val="0"/>
      <w:numFmt w:val="bullet"/>
      <w:lvlText w:val="•"/>
      <w:lvlJc w:val="left"/>
      <w:pPr>
        <w:ind w:left="6363" w:hanging="361"/>
      </w:pPr>
      <w:rPr>
        <w:rFonts w:hint="default"/>
        <w:lang w:val="ru-RU" w:eastAsia="en-US" w:bidi="ar-SA"/>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13">
    <w:nsid w:val="47261bad"/>
    <w:multiLevelType w:val="multilevel"/>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99412">
    <w:nsid w:val="b3cbbdee"/>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5">
    <w:nsid w:val="4fbe019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3">
    <w:nsid w:val="91a27d85"/>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8">
    <w:nsid w:val="615f1ed2"/>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4">
    <w:nsid w:val="238d8174"/>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12">
    <w:nsid w:val="41f388d6"/>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994114">
    <w:nsid w:val="da4300bd"/>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26">
    <w:nsid w:val="8c1c03f9"/>
    <w:multiLevelType w:val="multilevel"/>
    <w:lvl w:ilvl="0">
      <w:start w:val="26"/>
      <w:numFmt w:val="decimal"/>
      <w:lvlText w:val="%1."/>
      <w:lvlJc w:val="left"/>
      <w:pPr>
        <w:tabs>
          <w:tab w:val="num" w:pos="0"/>
        </w:tabs>
        <w:ind w:left="480" w:hanging="480"/>
      </w:pPr>
    </w:lvl>
    <w:lvl w:ilvl="1">
      <w:start w:val="26"/>
      <w:numFmt w:val="decimal"/>
      <w:lvlText w:val="%2."/>
      <w:lvlJc w:val="left"/>
      <w:pPr>
        <w:tabs>
          <w:tab w:val="num" w:pos="720"/>
        </w:tabs>
        <w:ind w:left="1200" w:hanging="480"/>
      </w:pPr>
    </w:lvl>
    <w:lvl w:ilvl="2">
      <w:start w:val="26"/>
      <w:numFmt w:val="decimal"/>
      <w:lvlText w:val="%3."/>
      <w:lvlJc w:val="left"/>
      <w:pPr>
        <w:tabs>
          <w:tab w:val="num" w:pos="1440"/>
        </w:tabs>
        <w:ind w:left="1920" w:hanging="480"/>
      </w:pPr>
    </w:lvl>
    <w:lvl w:ilvl="3">
      <w:start w:val="26"/>
      <w:numFmt w:val="decimal"/>
      <w:lvlText w:val="%4."/>
      <w:lvlJc w:val="left"/>
      <w:pPr>
        <w:tabs>
          <w:tab w:val="num" w:pos="2160"/>
        </w:tabs>
        <w:ind w:left="2640" w:hanging="480"/>
      </w:pPr>
    </w:lvl>
    <w:lvl w:ilvl="4">
      <w:start w:val="26"/>
      <w:numFmt w:val="decimal"/>
      <w:lvlText w:val="%5."/>
      <w:lvlJc w:val="left"/>
      <w:pPr>
        <w:tabs>
          <w:tab w:val="num" w:pos="2880"/>
        </w:tabs>
        <w:ind w:left="3360" w:hanging="480"/>
      </w:pPr>
    </w:lvl>
    <w:lvl w:ilvl="5">
      <w:start w:val="26"/>
      <w:numFmt w:val="decimal"/>
      <w:lvlText w:val="%6."/>
      <w:lvlJc w:val="left"/>
      <w:pPr>
        <w:tabs>
          <w:tab w:val="num" w:pos="3600"/>
        </w:tabs>
        <w:ind w:left="4080" w:hanging="480"/>
      </w:pPr>
    </w:lvl>
    <w:lvl w:ilvl="6">
      <w:start w:val="26"/>
      <w:numFmt w:val="decimal"/>
      <w:lvlText w:val="%7."/>
      <w:lvlJc w:val="left"/>
      <w:pPr>
        <w:tabs>
          <w:tab w:val="num" w:pos="4320"/>
        </w:tabs>
        <w:ind w:left="4800" w:hanging="480"/>
      </w:pPr>
    </w:lvl>
    <w:lvl w:ilvl="7">
      <w:start w:val="26"/>
      <w:numFmt w:val="decimal"/>
      <w:lvlText w:val="%8."/>
      <w:lvlJc w:val="left"/>
      <w:pPr>
        <w:tabs>
          <w:tab w:val="num" w:pos="5040"/>
        </w:tabs>
        <w:ind w:left="5520" w:hanging="480"/>
      </w:pPr>
    </w:lvl>
    <w:lvl w:ilvl="8">
      <w:start w:val="26"/>
      <w:numFmt w:val="decimal"/>
      <w:lvlText w:val="%9."/>
      <w:lvlJc w:val="left"/>
      <w:pPr>
        <w:tabs>
          <w:tab w:val="num" w:pos="5760"/>
        </w:tabs>
        <w:ind w:left="6240" w:hanging="480"/>
      </w:pPr>
    </w:lvl>
  </w:abstractNum>
  <w:abstractNum w:abstractNumId="994116">
    <w:nsid w:val="5504a012"/>
    <w:multiLevelType w:val="multilevel"/>
    <w:lvl w:ilvl="0">
      <w:start w:val="16"/>
      <w:numFmt w:val="decimal"/>
      <w:lvlText w:val="%1."/>
      <w:lvlJc w:val="left"/>
      <w:pPr>
        <w:tabs>
          <w:tab w:val="num" w:pos="0"/>
        </w:tabs>
        <w:ind w:left="480" w:hanging="480"/>
      </w:pPr>
    </w:lvl>
    <w:lvl w:ilvl="1">
      <w:start w:val="16"/>
      <w:numFmt w:val="decimal"/>
      <w:lvlText w:val="%2."/>
      <w:lvlJc w:val="left"/>
      <w:pPr>
        <w:tabs>
          <w:tab w:val="num" w:pos="720"/>
        </w:tabs>
        <w:ind w:left="1200" w:hanging="480"/>
      </w:pPr>
    </w:lvl>
    <w:lvl w:ilvl="2">
      <w:start w:val="16"/>
      <w:numFmt w:val="decimal"/>
      <w:lvlText w:val="%3."/>
      <w:lvlJc w:val="left"/>
      <w:pPr>
        <w:tabs>
          <w:tab w:val="num" w:pos="1440"/>
        </w:tabs>
        <w:ind w:left="1920" w:hanging="480"/>
      </w:pPr>
    </w:lvl>
    <w:lvl w:ilvl="3">
      <w:start w:val="16"/>
      <w:numFmt w:val="decimal"/>
      <w:lvlText w:val="%4."/>
      <w:lvlJc w:val="left"/>
      <w:pPr>
        <w:tabs>
          <w:tab w:val="num" w:pos="2160"/>
        </w:tabs>
        <w:ind w:left="2640" w:hanging="480"/>
      </w:pPr>
    </w:lvl>
    <w:lvl w:ilvl="4">
      <w:start w:val="16"/>
      <w:numFmt w:val="decimal"/>
      <w:lvlText w:val="%5."/>
      <w:lvlJc w:val="left"/>
      <w:pPr>
        <w:tabs>
          <w:tab w:val="num" w:pos="2880"/>
        </w:tabs>
        <w:ind w:left="3360" w:hanging="480"/>
      </w:pPr>
    </w:lvl>
    <w:lvl w:ilvl="5">
      <w:start w:val="16"/>
      <w:numFmt w:val="decimal"/>
      <w:lvlText w:val="%6."/>
      <w:lvlJc w:val="left"/>
      <w:pPr>
        <w:tabs>
          <w:tab w:val="num" w:pos="3600"/>
        </w:tabs>
        <w:ind w:left="4080" w:hanging="480"/>
      </w:pPr>
    </w:lvl>
    <w:lvl w:ilvl="6">
      <w:start w:val="16"/>
      <w:numFmt w:val="decimal"/>
      <w:lvlText w:val="%7."/>
      <w:lvlJc w:val="left"/>
      <w:pPr>
        <w:tabs>
          <w:tab w:val="num" w:pos="4320"/>
        </w:tabs>
        <w:ind w:left="4800" w:hanging="480"/>
      </w:pPr>
    </w:lvl>
    <w:lvl w:ilvl="7">
      <w:start w:val="16"/>
      <w:numFmt w:val="decimal"/>
      <w:lvlText w:val="%8."/>
      <w:lvlJc w:val="left"/>
      <w:pPr>
        <w:tabs>
          <w:tab w:val="num" w:pos="5040"/>
        </w:tabs>
        <w:ind w:left="5520" w:hanging="480"/>
      </w:pPr>
    </w:lvl>
    <w:lvl w:ilvl="8">
      <w:start w:val="16"/>
      <w:numFmt w:val="decimal"/>
      <w:lvlText w:val="%9."/>
      <w:lvlJc w:val="left"/>
      <w:pPr>
        <w:tabs>
          <w:tab w:val="num" w:pos="5760"/>
        </w:tabs>
        <w:ind w:left="6240" w:hanging="480"/>
      </w:pPr>
    </w:lvl>
  </w:abstractNum>
  <w:abstractNum w:abstractNumId="994123">
    <w:nsid w:val="5a538d88"/>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4117">
    <w:nsid w:val="8a296d99"/>
    <w:multiLevelType w:val="multilevel"/>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994118">
    <w:nsid w:val="87b17300"/>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27">
    <w:nsid w:val="7b86e438"/>
    <w:multiLevelType w:val="multilevel"/>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99416">
    <w:nsid w:val="387f082c"/>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28">
    <w:nsid w:val="cebfcc7d"/>
    <w:multiLevelType w:val="multilevel"/>
    <w:lvl w:ilvl="0">
      <w:start w:val="28"/>
      <w:numFmt w:val="decimal"/>
      <w:lvlText w:val="%1."/>
      <w:lvlJc w:val="left"/>
      <w:pPr>
        <w:tabs>
          <w:tab w:val="num" w:pos="0"/>
        </w:tabs>
        <w:ind w:left="480" w:hanging="480"/>
      </w:pPr>
    </w:lvl>
    <w:lvl w:ilvl="1">
      <w:start w:val="28"/>
      <w:numFmt w:val="decimal"/>
      <w:lvlText w:val="%2."/>
      <w:lvlJc w:val="left"/>
      <w:pPr>
        <w:tabs>
          <w:tab w:val="num" w:pos="720"/>
        </w:tabs>
        <w:ind w:left="1200" w:hanging="480"/>
      </w:pPr>
    </w:lvl>
    <w:lvl w:ilvl="2">
      <w:start w:val="28"/>
      <w:numFmt w:val="decimal"/>
      <w:lvlText w:val="%3."/>
      <w:lvlJc w:val="left"/>
      <w:pPr>
        <w:tabs>
          <w:tab w:val="num" w:pos="1440"/>
        </w:tabs>
        <w:ind w:left="1920" w:hanging="480"/>
      </w:pPr>
    </w:lvl>
    <w:lvl w:ilvl="3">
      <w:start w:val="28"/>
      <w:numFmt w:val="decimal"/>
      <w:lvlText w:val="%4."/>
      <w:lvlJc w:val="left"/>
      <w:pPr>
        <w:tabs>
          <w:tab w:val="num" w:pos="2160"/>
        </w:tabs>
        <w:ind w:left="2640" w:hanging="480"/>
      </w:pPr>
    </w:lvl>
    <w:lvl w:ilvl="4">
      <w:start w:val="28"/>
      <w:numFmt w:val="decimal"/>
      <w:lvlText w:val="%5."/>
      <w:lvlJc w:val="left"/>
      <w:pPr>
        <w:tabs>
          <w:tab w:val="num" w:pos="2880"/>
        </w:tabs>
        <w:ind w:left="3360" w:hanging="480"/>
      </w:pPr>
    </w:lvl>
    <w:lvl w:ilvl="5">
      <w:start w:val="28"/>
      <w:numFmt w:val="decimal"/>
      <w:lvlText w:val="%6."/>
      <w:lvlJc w:val="left"/>
      <w:pPr>
        <w:tabs>
          <w:tab w:val="num" w:pos="3600"/>
        </w:tabs>
        <w:ind w:left="4080" w:hanging="480"/>
      </w:pPr>
    </w:lvl>
    <w:lvl w:ilvl="6">
      <w:start w:val="28"/>
      <w:numFmt w:val="decimal"/>
      <w:lvlText w:val="%7."/>
      <w:lvlJc w:val="left"/>
      <w:pPr>
        <w:tabs>
          <w:tab w:val="num" w:pos="4320"/>
        </w:tabs>
        <w:ind w:left="4800" w:hanging="480"/>
      </w:pPr>
    </w:lvl>
    <w:lvl w:ilvl="7">
      <w:start w:val="28"/>
      <w:numFmt w:val="decimal"/>
      <w:lvlText w:val="%8."/>
      <w:lvlJc w:val="left"/>
      <w:pPr>
        <w:tabs>
          <w:tab w:val="num" w:pos="5040"/>
        </w:tabs>
        <w:ind w:left="5520" w:hanging="480"/>
      </w:pPr>
    </w:lvl>
    <w:lvl w:ilvl="8">
      <w:start w:val="28"/>
      <w:numFmt w:val="decimal"/>
      <w:lvlText w:val="%9."/>
      <w:lvlJc w:val="left"/>
      <w:pPr>
        <w:tabs>
          <w:tab w:val="num" w:pos="5760"/>
        </w:tabs>
        <w:ind w:left="6240" w:hanging="480"/>
      </w:pPr>
    </w:lvl>
  </w:abstractNum>
  <w:abstractNum w:abstractNumId="994129">
    <w:nsid w:val="7cc89fe4"/>
    <w:multiLevelType w:val="multilevel"/>
    <w:lvl w:ilvl="0">
      <w:start w:val="29"/>
      <w:numFmt w:val="decimal"/>
      <w:lvlText w:val="%1."/>
      <w:lvlJc w:val="left"/>
      <w:pPr>
        <w:tabs>
          <w:tab w:val="num" w:pos="0"/>
        </w:tabs>
        <w:ind w:left="480" w:hanging="480"/>
      </w:pPr>
    </w:lvl>
    <w:lvl w:ilvl="1">
      <w:start w:val="29"/>
      <w:numFmt w:val="decimal"/>
      <w:lvlText w:val="%2."/>
      <w:lvlJc w:val="left"/>
      <w:pPr>
        <w:tabs>
          <w:tab w:val="num" w:pos="720"/>
        </w:tabs>
        <w:ind w:left="1200" w:hanging="480"/>
      </w:pPr>
    </w:lvl>
    <w:lvl w:ilvl="2">
      <w:start w:val="29"/>
      <w:numFmt w:val="decimal"/>
      <w:lvlText w:val="%3."/>
      <w:lvlJc w:val="left"/>
      <w:pPr>
        <w:tabs>
          <w:tab w:val="num" w:pos="1440"/>
        </w:tabs>
        <w:ind w:left="1920" w:hanging="480"/>
      </w:pPr>
    </w:lvl>
    <w:lvl w:ilvl="3">
      <w:start w:val="29"/>
      <w:numFmt w:val="decimal"/>
      <w:lvlText w:val="%4."/>
      <w:lvlJc w:val="left"/>
      <w:pPr>
        <w:tabs>
          <w:tab w:val="num" w:pos="2160"/>
        </w:tabs>
        <w:ind w:left="2640" w:hanging="480"/>
      </w:pPr>
    </w:lvl>
    <w:lvl w:ilvl="4">
      <w:start w:val="29"/>
      <w:numFmt w:val="decimal"/>
      <w:lvlText w:val="%5."/>
      <w:lvlJc w:val="left"/>
      <w:pPr>
        <w:tabs>
          <w:tab w:val="num" w:pos="2880"/>
        </w:tabs>
        <w:ind w:left="3360" w:hanging="480"/>
      </w:pPr>
    </w:lvl>
    <w:lvl w:ilvl="5">
      <w:start w:val="29"/>
      <w:numFmt w:val="decimal"/>
      <w:lvlText w:val="%6."/>
      <w:lvlJc w:val="left"/>
      <w:pPr>
        <w:tabs>
          <w:tab w:val="num" w:pos="3600"/>
        </w:tabs>
        <w:ind w:left="4080" w:hanging="480"/>
      </w:pPr>
    </w:lvl>
    <w:lvl w:ilvl="6">
      <w:start w:val="29"/>
      <w:numFmt w:val="decimal"/>
      <w:lvlText w:val="%7."/>
      <w:lvlJc w:val="left"/>
      <w:pPr>
        <w:tabs>
          <w:tab w:val="num" w:pos="4320"/>
        </w:tabs>
        <w:ind w:left="4800" w:hanging="480"/>
      </w:pPr>
    </w:lvl>
    <w:lvl w:ilvl="7">
      <w:start w:val="29"/>
      <w:numFmt w:val="decimal"/>
      <w:lvlText w:val="%8."/>
      <w:lvlJc w:val="left"/>
      <w:pPr>
        <w:tabs>
          <w:tab w:val="num" w:pos="5040"/>
        </w:tabs>
        <w:ind w:left="5520" w:hanging="480"/>
      </w:pPr>
    </w:lvl>
    <w:lvl w:ilvl="8">
      <w:start w:val="29"/>
      <w:numFmt w:val="decimal"/>
      <w:lvlText w:val="%9."/>
      <w:lvlJc w:val="left"/>
      <w:pPr>
        <w:tabs>
          <w:tab w:val="num" w:pos="5760"/>
        </w:tabs>
        <w:ind w:left="6240" w:hanging="480"/>
      </w:pPr>
    </w:lvl>
  </w:abstractNum>
  <w:abstractNum w:abstractNumId="994135">
    <w:nsid w:val="fd23932f"/>
    <w:multiLevelType w:val="multilevel"/>
    <w:lvl w:ilvl="0">
      <w:start w:val="35"/>
      <w:numFmt w:val="decimal"/>
      <w:lvlText w:val="%1."/>
      <w:lvlJc w:val="left"/>
      <w:pPr>
        <w:tabs>
          <w:tab w:val="num" w:pos="0"/>
        </w:tabs>
        <w:ind w:left="480" w:hanging="480"/>
      </w:pPr>
    </w:lvl>
    <w:lvl w:ilvl="1">
      <w:start w:val="35"/>
      <w:numFmt w:val="decimal"/>
      <w:lvlText w:val="%2."/>
      <w:lvlJc w:val="left"/>
      <w:pPr>
        <w:tabs>
          <w:tab w:val="num" w:pos="720"/>
        </w:tabs>
        <w:ind w:left="1200" w:hanging="480"/>
      </w:pPr>
    </w:lvl>
    <w:lvl w:ilvl="2">
      <w:start w:val="35"/>
      <w:numFmt w:val="decimal"/>
      <w:lvlText w:val="%3."/>
      <w:lvlJc w:val="left"/>
      <w:pPr>
        <w:tabs>
          <w:tab w:val="num" w:pos="1440"/>
        </w:tabs>
        <w:ind w:left="1920" w:hanging="480"/>
      </w:pPr>
    </w:lvl>
    <w:lvl w:ilvl="3">
      <w:start w:val="35"/>
      <w:numFmt w:val="decimal"/>
      <w:lvlText w:val="%4."/>
      <w:lvlJc w:val="left"/>
      <w:pPr>
        <w:tabs>
          <w:tab w:val="num" w:pos="2160"/>
        </w:tabs>
        <w:ind w:left="2640" w:hanging="480"/>
      </w:pPr>
    </w:lvl>
    <w:lvl w:ilvl="4">
      <w:start w:val="35"/>
      <w:numFmt w:val="decimal"/>
      <w:lvlText w:val="%5."/>
      <w:lvlJc w:val="left"/>
      <w:pPr>
        <w:tabs>
          <w:tab w:val="num" w:pos="2880"/>
        </w:tabs>
        <w:ind w:left="3360" w:hanging="480"/>
      </w:pPr>
    </w:lvl>
    <w:lvl w:ilvl="5">
      <w:start w:val="35"/>
      <w:numFmt w:val="decimal"/>
      <w:lvlText w:val="%6."/>
      <w:lvlJc w:val="left"/>
      <w:pPr>
        <w:tabs>
          <w:tab w:val="num" w:pos="3600"/>
        </w:tabs>
        <w:ind w:left="4080" w:hanging="480"/>
      </w:pPr>
    </w:lvl>
    <w:lvl w:ilvl="6">
      <w:start w:val="35"/>
      <w:numFmt w:val="decimal"/>
      <w:lvlText w:val="%7."/>
      <w:lvlJc w:val="left"/>
      <w:pPr>
        <w:tabs>
          <w:tab w:val="num" w:pos="4320"/>
        </w:tabs>
        <w:ind w:left="4800" w:hanging="480"/>
      </w:pPr>
    </w:lvl>
    <w:lvl w:ilvl="7">
      <w:start w:val="35"/>
      <w:numFmt w:val="decimal"/>
      <w:lvlText w:val="%8."/>
      <w:lvlJc w:val="left"/>
      <w:pPr>
        <w:tabs>
          <w:tab w:val="num" w:pos="5040"/>
        </w:tabs>
        <w:ind w:left="5520" w:hanging="480"/>
      </w:pPr>
    </w:lvl>
    <w:lvl w:ilvl="8">
      <w:start w:val="35"/>
      <w:numFmt w:val="decimal"/>
      <w:lvlText w:val="%9."/>
      <w:lvlJc w:val="left"/>
      <w:pPr>
        <w:tabs>
          <w:tab w:val="num" w:pos="5760"/>
        </w:tabs>
        <w:ind w:left="6240" w:hanging="480"/>
      </w:pPr>
    </w:lvl>
  </w:abstractNum>
  <w:abstractNum w:abstractNumId="994136">
    <w:nsid w:val="abcc5f24"/>
    <w:multiLevelType w:val="multilevel"/>
    <w:lvl w:ilvl="0">
      <w:start w:val="36"/>
      <w:numFmt w:val="decimal"/>
      <w:lvlText w:val="%1."/>
      <w:lvlJc w:val="left"/>
      <w:pPr>
        <w:tabs>
          <w:tab w:val="num" w:pos="0"/>
        </w:tabs>
        <w:ind w:left="480" w:hanging="480"/>
      </w:pPr>
    </w:lvl>
    <w:lvl w:ilvl="1">
      <w:start w:val="36"/>
      <w:numFmt w:val="decimal"/>
      <w:lvlText w:val="%2."/>
      <w:lvlJc w:val="left"/>
      <w:pPr>
        <w:tabs>
          <w:tab w:val="num" w:pos="720"/>
        </w:tabs>
        <w:ind w:left="1200" w:hanging="480"/>
      </w:pPr>
    </w:lvl>
    <w:lvl w:ilvl="2">
      <w:start w:val="36"/>
      <w:numFmt w:val="decimal"/>
      <w:lvlText w:val="%3."/>
      <w:lvlJc w:val="left"/>
      <w:pPr>
        <w:tabs>
          <w:tab w:val="num" w:pos="1440"/>
        </w:tabs>
        <w:ind w:left="1920" w:hanging="480"/>
      </w:pPr>
    </w:lvl>
    <w:lvl w:ilvl="3">
      <w:start w:val="36"/>
      <w:numFmt w:val="decimal"/>
      <w:lvlText w:val="%4."/>
      <w:lvlJc w:val="left"/>
      <w:pPr>
        <w:tabs>
          <w:tab w:val="num" w:pos="2160"/>
        </w:tabs>
        <w:ind w:left="2640" w:hanging="480"/>
      </w:pPr>
    </w:lvl>
    <w:lvl w:ilvl="4">
      <w:start w:val="36"/>
      <w:numFmt w:val="decimal"/>
      <w:lvlText w:val="%5."/>
      <w:lvlJc w:val="left"/>
      <w:pPr>
        <w:tabs>
          <w:tab w:val="num" w:pos="2880"/>
        </w:tabs>
        <w:ind w:left="3360" w:hanging="480"/>
      </w:pPr>
    </w:lvl>
    <w:lvl w:ilvl="5">
      <w:start w:val="36"/>
      <w:numFmt w:val="decimal"/>
      <w:lvlText w:val="%6."/>
      <w:lvlJc w:val="left"/>
      <w:pPr>
        <w:tabs>
          <w:tab w:val="num" w:pos="3600"/>
        </w:tabs>
        <w:ind w:left="4080" w:hanging="480"/>
      </w:pPr>
    </w:lvl>
    <w:lvl w:ilvl="6">
      <w:start w:val="36"/>
      <w:numFmt w:val="decimal"/>
      <w:lvlText w:val="%7."/>
      <w:lvlJc w:val="left"/>
      <w:pPr>
        <w:tabs>
          <w:tab w:val="num" w:pos="4320"/>
        </w:tabs>
        <w:ind w:left="4800" w:hanging="480"/>
      </w:pPr>
    </w:lvl>
    <w:lvl w:ilvl="7">
      <w:start w:val="36"/>
      <w:numFmt w:val="decimal"/>
      <w:lvlText w:val="%8."/>
      <w:lvlJc w:val="left"/>
      <w:pPr>
        <w:tabs>
          <w:tab w:val="num" w:pos="5040"/>
        </w:tabs>
        <w:ind w:left="5520" w:hanging="480"/>
      </w:pPr>
    </w:lvl>
    <w:lvl w:ilvl="8">
      <w:start w:val="36"/>
      <w:numFmt w:val="decimal"/>
      <w:lvlText w:val="%9."/>
      <w:lvlJc w:val="left"/>
      <w:pPr>
        <w:tabs>
          <w:tab w:val="num" w:pos="5760"/>
        </w:tabs>
        <w:ind w:left="6240" w:hanging="480"/>
      </w:pPr>
    </w:lvl>
  </w:abstractNum>
  <w:abstractNum w:abstractNumId="99417">
    <w:nsid w:val="ea63e02b"/>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37">
    <w:nsid w:val="c9be6b2a"/>
    <w:multiLevelType w:val="multilevel"/>
    <w:lvl w:ilvl="0">
      <w:start w:val="37"/>
      <w:numFmt w:val="decimal"/>
      <w:lvlText w:val="%1."/>
      <w:lvlJc w:val="left"/>
      <w:pPr>
        <w:tabs>
          <w:tab w:val="num" w:pos="0"/>
        </w:tabs>
        <w:ind w:left="480" w:hanging="480"/>
      </w:pPr>
    </w:lvl>
    <w:lvl w:ilvl="1">
      <w:start w:val="37"/>
      <w:numFmt w:val="decimal"/>
      <w:lvlText w:val="%2."/>
      <w:lvlJc w:val="left"/>
      <w:pPr>
        <w:tabs>
          <w:tab w:val="num" w:pos="720"/>
        </w:tabs>
        <w:ind w:left="1200" w:hanging="480"/>
      </w:pPr>
    </w:lvl>
    <w:lvl w:ilvl="2">
      <w:start w:val="37"/>
      <w:numFmt w:val="decimal"/>
      <w:lvlText w:val="%3."/>
      <w:lvlJc w:val="left"/>
      <w:pPr>
        <w:tabs>
          <w:tab w:val="num" w:pos="1440"/>
        </w:tabs>
        <w:ind w:left="1920" w:hanging="480"/>
      </w:pPr>
    </w:lvl>
    <w:lvl w:ilvl="3">
      <w:start w:val="37"/>
      <w:numFmt w:val="decimal"/>
      <w:lvlText w:val="%4."/>
      <w:lvlJc w:val="left"/>
      <w:pPr>
        <w:tabs>
          <w:tab w:val="num" w:pos="2160"/>
        </w:tabs>
        <w:ind w:left="2640" w:hanging="480"/>
      </w:pPr>
    </w:lvl>
    <w:lvl w:ilvl="4">
      <w:start w:val="37"/>
      <w:numFmt w:val="decimal"/>
      <w:lvlText w:val="%5."/>
      <w:lvlJc w:val="left"/>
      <w:pPr>
        <w:tabs>
          <w:tab w:val="num" w:pos="2880"/>
        </w:tabs>
        <w:ind w:left="3360" w:hanging="480"/>
      </w:pPr>
    </w:lvl>
    <w:lvl w:ilvl="5">
      <w:start w:val="37"/>
      <w:numFmt w:val="decimal"/>
      <w:lvlText w:val="%6."/>
      <w:lvlJc w:val="left"/>
      <w:pPr>
        <w:tabs>
          <w:tab w:val="num" w:pos="3600"/>
        </w:tabs>
        <w:ind w:left="4080" w:hanging="480"/>
      </w:pPr>
    </w:lvl>
    <w:lvl w:ilvl="6">
      <w:start w:val="37"/>
      <w:numFmt w:val="decimal"/>
      <w:lvlText w:val="%7."/>
      <w:lvlJc w:val="left"/>
      <w:pPr>
        <w:tabs>
          <w:tab w:val="num" w:pos="4320"/>
        </w:tabs>
        <w:ind w:left="4800" w:hanging="480"/>
      </w:pPr>
    </w:lvl>
    <w:lvl w:ilvl="7">
      <w:start w:val="37"/>
      <w:numFmt w:val="decimal"/>
      <w:lvlText w:val="%8."/>
      <w:lvlJc w:val="left"/>
      <w:pPr>
        <w:tabs>
          <w:tab w:val="num" w:pos="5040"/>
        </w:tabs>
        <w:ind w:left="5520" w:hanging="480"/>
      </w:pPr>
    </w:lvl>
    <w:lvl w:ilvl="8">
      <w:start w:val="37"/>
      <w:numFmt w:val="decimal"/>
      <w:lvlText w:val="%9."/>
      <w:lvlJc w:val="left"/>
      <w:pPr>
        <w:tabs>
          <w:tab w:val="num" w:pos="5760"/>
        </w:tabs>
        <w:ind w:left="6240" w:hanging="480"/>
      </w:pPr>
    </w:lvl>
  </w:abstractNum>
  <w:abstractNum w:abstractNumId="994122">
    <w:nsid w:val="f5f50f4f"/>
    <w:multiLevelType w:val="multilevel"/>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994138">
    <w:nsid w:val="69a63b9e"/>
    <w:multiLevelType w:val="multilevel"/>
    <w:lvl w:ilvl="0">
      <w:start w:val="38"/>
      <w:numFmt w:val="decimal"/>
      <w:lvlText w:val="%1."/>
      <w:lvlJc w:val="left"/>
      <w:pPr>
        <w:tabs>
          <w:tab w:val="num" w:pos="0"/>
        </w:tabs>
        <w:ind w:left="480" w:hanging="480"/>
      </w:pPr>
    </w:lvl>
    <w:lvl w:ilvl="1">
      <w:start w:val="38"/>
      <w:numFmt w:val="decimal"/>
      <w:lvlText w:val="%2."/>
      <w:lvlJc w:val="left"/>
      <w:pPr>
        <w:tabs>
          <w:tab w:val="num" w:pos="720"/>
        </w:tabs>
        <w:ind w:left="1200" w:hanging="480"/>
      </w:pPr>
    </w:lvl>
    <w:lvl w:ilvl="2">
      <w:start w:val="38"/>
      <w:numFmt w:val="decimal"/>
      <w:lvlText w:val="%3."/>
      <w:lvlJc w:val="left"/>
      <w:pPr>
        <w:tabs>
          <w:tab w:val="num" w:pos="1440"/>
        </w:tabs>
        <w:ind w:left="1920" w:hanging="480"/>
      </w:pPr>
    </w:lvl>
    <w:lvl w:ilvl="3">
      <w:start w:val="38"/>
      <w:numFmt w:val="decimal"/>
      <w:lvlText w:val="%4."/>
      <w:lvlJc w:val="left"/>
      <w:pPr>
        <w:tabs>
          <w:tab w:val="num" w:pos="2160"/>
        </w:tabs>
        <w:ind w:left="2640" w:hanging="480"/>
      </w:pPr>
    </w:lvl>
    <w:lvl w:ilvl="4">
      <w:start w:val="38"/>
      <w:numFmt w:val="decimal"/>
      <w:lvlText w:val="%5."/>
      <w:lvlJc w:val="left"/>
      <w:pPr>
        <w:tabs>
          <w:tab w:val="num" w:pos="2880"/>
        </w:tabs>
        <w:ind w:left="3360" w:hanging="480"/>
      </w:pPr>
    </w:lvl>
    <w:lvl w:ilvl="5">
      <w:start w:val="38"/>
      <w:numFmt w:val="decimal"/>
      <w:lvlText w:val="%6."/>
      <w:lvlJc w:val="left"/>
      <w:pPr>
        <w:tabs>
          <w:tab w:val="num" w:pos="3600"/>
        </w:tabs>
        <w:ind w:left="4080" w:hanging="480"/>
      </w:pPr>
    </w:lvl>
    <w:lvl w:ilvl="6">
      <w:start w:val="38"/>
      <w:numFmt w:val="decimal"/>
      <w:lvlText w:val="%7."/>
      <w:lvlJc w:val="left"/>
      <w:pPr>
        <w:tabs>
          <w:tab w:val="num" w:pos="4320"/>
        </w:tabs>
        <w:ind w:left="4800" w:hanging="480"/>
      </w:pPr>
    </w:lvl>
    <w:lvl w:ilvl="7">
      <w:start w:val="38"/>
      <w:numFmt w:val="decimal"/>
      <w:lvlText w:val="%8."/>
      <w:lvlJc w:val="left"/>
      <w:pPr>
        <w:tabs>
          <w:tab w:val="num" w:pos="5040"/>
        </w:tabs>
        <w:ind w:left="5520" w:hanging="480"/>
      </w:pPr>
    </w:lvl>
    <w:lvl w:ilvl="8">
      <w:start w:val="38"/>
      <w:numFmt w:val="decimal"/>
      <w:lvlText w:val="%9."/>
      <w:lvlJc w:val="left"/>
      <w:pPr>
        <w:tabs>
          <w:tab w:val="num" w:pos="5760"/>
        </w:tabs>
        <w:ind w:left="6240" w:hanging="480"/>
      </w:pPr>
    </w:lvl>
  </w:abstractNum>
  <w:abstractNum w:abstractNumId="994124">
    <w:nsid w:val="fb5c8216"/>
    <w:multiLevelType w:val="multilevel"/>
    <w:lvl w:ilvl="0">
      <w:start w:val="24"/>
      <w:numFmt w:val="decimal"/>
      <w:lvlText w:val="%1."/>
      <w:lvlJc w:val="left"/>
      <w:pPr>
        <w:tabs>
          <w:tab w:val="num" w:pos="0"/>
        </w:tabs>
        <w:ind w:left="480" w:hanging="480"/>
      </w:pPr>
    </w:lvl>
    <w:lvl w:ilvl="1">
      <w:start w:val="24"/>
      <w:numFmt w:val="decimal"/>
      <w:lvlText w:val="%2."/>
      <w:lvlJc w:val="left"/>
      <w:pPr>
        <w:tabs>
          <w:tab w:val="num" w:pos="720"/>
        </w:tabs>
        <w:ind w:left="1200" w:hanging="480"/>
      </w:pPr>
    </w:lvl>
    <w:lvl w:ilvl="2">
      <w:start w:val="24"/>
      <w:numFmt w:val="decimal"/>
      <w:lvlText w:val="%3."/>
      <w:lvlJc w:val="left"/>
      <w:pPr>
        <w:tabs>
          <w:tab w:val="num" w:pos="1440"/>
        </w:tabs>
        <w:ind w:left="1920" w:hanging="480"/>
      </w:pPr>
    </w:lvl>
    <w:lvl w:ilvl="3">
      <w:start w:val="24"/>
      <w:numFmt w:val="decimal"/>
      <w:lvlText w:val="%4."/>
      <w:lvlJc w:val="left"/>
      <w:pPr>
        <w:tabs>
          <w:tab w:val="num" w:pos="2160"/>
        </w:tabs>
        <w:ind w:left="2640" w:hanging="480"/>
      </w:pPr>
    </w:lvl>
    <w:lvl w:ilvl="4">
      <w:start w:val="24"/>
      <w:numFmt w:val="decimal"/>
      <w:lvlText w:val="%5."/>
      <w:lvlJc w:val="left"/>
      <w:pPr>
        <w:tabs>
          <w:tab w:val="num" w:pos="2880"/>
        </w:tabs>
        <w:ind w:left="3360" w:hanging="480"/>
      </w:pPr>
    </w:lvl>
    <w:lvl w:ilvl="5">
      <w:start w:val="24"/>
      <w:numFmt w:val="decimal"/>
      <w:lvlText w:val="%6."/>
      <w:lvlJc w:val="left"/>
      <w:pPr>
        <w:tabs>
          <w:tab w:val="num" w:pos="3600"/>
        </w:tabs>
        <w:ind w:left="4080" w:hanging="480"/>
      </w:pPr>
    </w:lvl>
    <w:lvl w:ilvl="6">
      <w:start w:val="24"/>
      <w:numFmt w:val="decimal"/>
      <w:lvlText w:val="%7."/>
      <w:lvlJc w:val="left"/>
      <w:pPr>
        <w:tabs>
          <w:tab w:val="num" w:pos="4320"/>
        </w:tabs>
        <w:ind w:left="4800" w:hanging="480"/>
      </w:pPr>
    </w:lvl>
    <w:lvl w:ilvl="7">
      <w:start w:val="24"/>
      <w:numFmt w:val="decimal"/>
      <w:lvlText w:val="%8."/>
      <w:lvlJc w:val="left"/>
      <w:pPr>
        <w:tabs>
          <w:tab w:val="num" w:pos="5040"/>
        </w:tabs>
        <w:ind w:left="5520" w:hanging="480"/>
      </w:pPr>
    </w:lvl>
    <w:lvl w:ilvl="8">
      <w:start w:val="24"/>
      <w:numFmt w:val="decimal"/>
      <w:lvlText w:val="%9."/>
      <w:lvlJc w:val="left"/>
      <w:pPr>
        <w:tabs>
          <w:tab w:val="num" w:pos="5760"/>
        </w:tabs>
        <w:ind w:left="6240" w:hanging="480"/>
      </w:pPr>
    </w:lvl>
  </w:abstractNum>
  <w:abstractNum w:abstractNumId="99419">
    <w:nsid w:val="8820b3b9"/>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0">
    <w:nsid w:val="2c232144"/>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25">
    <w:nsid w:val="2b45298e"/>
    <w:multiLevelType w:val="multilevel"/>
    <w:lvl w:ilvl="0">
      <w:start w:val="25"/>
      <w:numFmt w:val="decimal"/>
      <w:lvlText w:val="%1."/>
      <w:lvlJc w:val="left"/>
      <w:pPr>
        <w:tabs>
          <w:tab w:val="num" w:pos="0"/>
        </w:tabs>
        <w:ind w:left="480" w:hanging="480"/>
      </w:pPr>
    </w:lvl>
    <w:lvl w:ilvl="1">
      <w:start w:val="25"/>
      <w:numFmt w:val="decimal"/>
      <w:lvlText w:val="%2."/>
      <w:lvlJc w:val="left"/>
      <w:pPr>
        <w:tabs>
          <w:tab w:val="num" w:pos="720"/>
        </w:tabs>
        <w:ind w:left="1200" w:hanging="480"/>
      </w:pPr>
    </w:lvl>
    <w:lvl w:ilvl="2">
      <w:start w:val="25"/>
      <w:numFmt w:val="decimal"/>
      <w:lvlText w:val="%3."/>
      <w:lvlJc w:val="left"/>
      <w:pPr>
        <w:tabs>
          <w:tab w:val="num" w:pos="1440"/>
        </w:tabs>
        <w:ind w:left="1920" w:hanging="480"/>
      </w:pPr>
    </w:lvl>
    <w:lvl w:ilvl="3">
      <w:start w:val="25"/>
      <w:numFmt w:val="decimal"/>
      <w:lvlText w:val="%4."/>
      <w:lvlJc w:val="left"/>
      <w:pPr>
        <w:tabs>
          <w:tab w:val="num" w:pos="2160"/>
        </w:tabs>
        <w:ind w:left="2640" w:hanging="480"/>
      </w:pPr>
    </w:lvl>
    <w:lvl w:ilvl="4">
      <w:start w:val="25"/>
      <w:numFmt w:val="decimal"/>
      <w:lvlText w:val="%5."/>
      <w:lvlJc w:val="left"/>
      <w:pPr>
        <w:tabs>
          <w:tab w:val="num" w:pos="2880"/>
        </w:tabs>
        <w:ind w:left="3360" w:hanging="480"/>
      </w:pPr>
    </w:lvl>
    <w:lvl w:ilvl="5">
      <w:start w:val="25"/>
      <w:numFmt w:val="decimal"/>
      <w:lvlText w:val="%6."/>
      <w:lvlJc w:val="left"/>
      <w:pPr>
        <w:tabs>
          <w:tab w:val="num" w:pos="3600"/>
        </w:tabs>
        <w:ind w:left="4080" w:hanging="480"/>
      </w:pPr>
    </w:lvl>
    <w:lvl w:ilvl="6">
      <w:start w:val="25"/>
      <w:numFmt w:val="decimal"/>
      <w:lvlText w:val="%7."/>
      <w:lvlJc w:val="left"/>
      <w:pPr>
        <w:tabs>
          <w:tab w:val="num" w:pos="4320"/>
        </w:tabs>
        <w:ind w:left="4800" w:hanging="480"/>
      </w:pPr>
    </w:lvl>
    <w:lvl w:ilvl="7">
      <w:start w:val="25"/>
      <w:numFmt w:val="decimal"/>
      <w:lvlText w:val="%8."/>
      <w:lvlJc w:val="left"/>
      <w:pPr>
        <w:tabs>
          <w:tab w:val="num" w:pos="5040"/>
        </w:tabs>
        <w:ind w:left="5520" w:hanging="480"/>
      </w:pPr>
    </w:lvl>
    <w:lvl w:ilvl="8">
      <w:start w:val="25"/>
      <w:numFmt w:val="decimal"/>
      <w:lvlText w:val="%9."/>
      <w:lvlJc w:val="left"/>
      <w:pPr>
        <w:tabs>
          <w:tab w:val="num" w:pos="5760"/>
        </w:tabs>
        <w:ind w:left="6240" w:hanging="480"/>
      </w:pPr>
    </w:lvl>
  </w:abstractNum>
  <w:abstractNum w:abstractNumId="994111">
    <w:nsid w:val="59b0f1bf"/>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39">
    <w:nsid w:val="fea02bab"/>
    <w:multiLevelType w:val="multilevel"/>
    <w:lvl w:ilvl="0">
      <w:start w:val="39"/>
      <w:numFmt w:val="decimal"/>
      <w:lvlText w:val="%1."/>
      <w:lvlJc w:val="left"/>
      <w:pPr>
        <w:tabs>
          <w:tab w:val="num" w:pos="0"/>
        </w:tabs>
        <w:ind w:left="480" w:hanging="480"/>
      </w:pPr>
    </w:lvl>
    <w:lvl w:ilvl="1">
      <w:start w:val="39"/>
      <w:numFmt w:val="decimal"/>
      <w:lvlText w:val="%2."/>
      <w:lvlJc w:val="left"/>
      <w:pPr>
        <w:tabs>
          <w:tab w:val="num" w:pos="720"/>
        </w:tabs>
        <w:ind w:left="1200" w:hanging="480"/>
      </w:pPr>
    </w:lvl>
    <w:lvl w:ilvl="2">
      <w:start w:val="39"/>
      <w:numFmt w:val="decimal"/>
      <w:lvlText w:val="%3."/>
      <w:lvlJc w:val="left"/>
      <w:pPr>
        <w:tabs>
          <w:tab w:val="num" w:pos="1440"/>
        </w:tabs>
        <w:ind w:left="1920" w:hanging="480"/>
      </w:pPr>
    </w:lvl>
    <w:lvl w:ilvl="3">
      <w:start w:val="39"/>
      <w:numFmt w:val="decimal"/>
      <w:lvlText w:val="%4."/>
      <w:lvlJc w:val="left"/>
      <w:pPr>
        <w:tabs>
          <w:tab w:val="num" w:pos="2160"/>
        </w:tabs>
        <w:ind w:left="2640" w:hanging="480"/>
      </w:pPr>
    </w:lvl>
    <w:lvl w:ilvl="4">
      <w:start w:val="39"/>
      <w:numFmt w:val="decimal"/>
      <w:lvlText w:val="%5."/>
      <w:lvlJc w:val="left"/>
      <w:pPr>
        <w:tabs>
          <w:tab w:val="num" w:pos="2880"/>
        </w:tabs>
        <w:ind w:left="3360" w:hanging="480"/>
      </w:pPr>
    </w:lvl>
    <w:lvl w:ilvl="5">
      <w:start w:val="39"/>
      <w:numFmt w:val="decimal"/>
      <w:lvlText w:val="%6."/>
      <w:lvlJc w:val="left"/>
      <w:pPr>
        <w:tabs>
          <w:tab w:val="num" w:pos="3600"/>
        </w:tabs>
        <w:ind w:left="4080" w:hanging="480"/>
      </w:pPr>
    </w:lvl>
    <w:lvl w:ilvl="6">
      <w:start w:val="39"/>
      <w:numFmt w:val="decimal"/>
      <w:lvlText w:val="%7."/>
      <w:lvlJc w:val="left"/>
      <w:pPr>
        <w:tabs>
          <w:tab w:val="num" w:pos="4320"/>
        </w:tabs>
        <w:ind w:left="4800" w:hanging="480"/>
      </w:pPr>
    </w:lvl>
    <w:lvl w:ilvl="7">
      <w:start w:val="39"/>
      <w:numFmt w:val="decimal"/>
      <w:lvlText w:val="%8."/>
      <w:lvlJc w:val="left"/>
      <w:pPr>
        <w:tabs>
          <w:tab w:val="num" w:pos="5040"/>
        </w:tabs>
        <w:ind w:left="5520" w:hanging="480"/>
      </w:pPr>
    </w:lvl>
    <w:lvl w:ilvl="8">
      <w:start w:val="39"/>
      <w:numFmt w:val="decimal"/>
      <w:lvlText w:val="%9."/>
      <w:lvlJc w:val="left"/>
      <w:pPr>
        <w:tabs>
          <w:tab w:val="num" w:pos="5760"/>
        </w:tabs>
        <w:ind w:left="6240" w:hanging="480"/>
      </w:pPr>
    </w:lvl>
  </w:abstractNum>
  <w:abstractNum w:abstractNumId="994115">
    <w:nsid w:val="620d3bff"/>
    <w:multiLevelType w:val="multilevel"/>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abstractNum w:abstractNumId="994119">
    <w:nsid w:val="d9c62f89"/>
    <w:multiLevelType w:val="multilevel"/>
    <w:lvl w:ilvl="0">
      <w:start w:val="19"/>
      <w:numFmt w:val="decimal"/>
      <w:lvlText w:val="%1."/>
      <w:lvlJc w:val="left"/>
      <w:pPr>
        <w:tabs>
          <w:tab w:val="num" w:pos="0"/>
        </w:tabs>
        <w:ind w:left="480" w:hanging="480"/>
      </w:pPr>
    </w:lvl>
    <w:lvl w:ilvl="1">
      <w:start w:val="19"/>
      <w:numFmt w:val="decimal"/>
      <w:lvlText w:val="%2."/>
      <w:lvlJc w:val="left"/>
      <w:pPr>
        <w:tabs>
          <w:tab w:val="num" w:pos="720"/>
        </w:tabs>
        <w:ind w:left="1200" w:hanging="480"/>
      </w:pPr>
    </w:lvl>
    <w:lvl w:ilvl="2">
      <w:start w:val="19"/>
      <w:numFmt w:val="decimal"/>
      <w:lvlText w:val="%3."/>
      <w:lvlJc w:val="left"/>
      <w:pPr>
        <w:tabs>
          <w:tab w:val="num" w:pos="1440"/>
        </w:tabs>
        <w:ind w:left="1920" w:hanging="480"/>
      </w:pPr>
    </w:lvl>
    <w:lvl w:ilvl="3">
      <w:start w:val="19"/>
      <w:numFmt w:val="decimal"/>
      <w:lvlText w:val="%4."/>
      <w:lvlJc w:val="left"/>
      <w:pPr>
        <w:tabs>
          <w:tab w:val="num" w:pos="2160"/>
        </w:tabs>
        <w:ind w:left="2640" w:hanging="480"/>
      </w:pPr>
    </w:lvl>
    <w:lvl w:ilvl="4">
      <w:start w:val="19"/>
      <w:numFmt w:val="decimal"/>
      <w:lvlText w:val="%5."/>
      <w:lvlJc w:val="left"/>
      <w:pPr>
        <w:tabs>
          <w:tab w:val="num" w:pos="2880"/>
        </w:tabs>
        <w:ind w:left="3360" w:hanging="480"/>
      </w:pPr>
    </w:lvl>
    <w:lvl w:ilvl="5">
      <w:start w:val="19"/>
      <w:numFmt w:val="decimal"/>
      <w:lvlText w:val="%6."/>
      <w:lvlJc w:val="left"/>
      <w:pPr>
        <w:tabs>
          <w:tab w:val="num" w:pos="3600"/>
        </w:tabs>
        <w:ind w:left="4080" w:hanging="480"/>
      </w:pPr>
    </w:lvl>
    <w:lvl w:ilvl="6">
      <w:start w:val="19"/>
      <w:numFmt w:val="decimal"/>
      <w:lvlText w:val="%7."/>
      <w:lvlJc w:val="left"/>
      <w:pPr>
        <w:tabs>
          <w:tab w:val="num" w:pos="4320"/>
        </w:tabs>
        <w:ind w:left="4800" w:hanging="480"/>
      </w:pPr>
    </w:lvl>
    <w:lvl w:ilvl="7">
      <w:start w:val="19"/>
      <w:numFmt w:val="decimal"/>
      <w:lvlText w:val="%8."/>
      <w:lvlJc w:val="left"/>
      <w:pPr>
        <w:tabs>
          <w:tab w:val="num" w:pos="5040"/>
        </w:tabs>
        <w:ind w:left="5520" w:hanging="480"/>
      </w:pPr>
    </w:lvl>
    <w:lvl w:ilvl="8">
      <w:start w:val="19"/>
      <w:numFmt w:val="decimal"/>
      <w:lvlText w:val="%9."/>
      <w:lvlJc w:val="left"/>
      <w:pPr>
        <w:tabs>
          <w:tab w:val="num" w:pos="5760"/>
        </w:tabs>
        <w:ind w:left="6240" w:hanging="480"/>
      </w:pPr>
    </w:lvl>
  </w:abstractNum>
  <w:abstractNum w:abstractNumId="994120">
    <w:nsid w:val="afbf48b2"/>
    <w:multiLevelType w:val="multilevel"/>
    <w:lvl w:ilvl="0">
      <w:start w:val="20"/>
      <w:numFmt w:val="decimal"/>
      <w:lvlText w:val="%1."/>
      <w:lvlJc w:val="left"/>
      <w:pPr>
        <w:tabs>
          <w:tab w:val="num" w:pos="0"/>
        </w:tabs>
        <w:ind w:left="480" w:hanging="480"/>
      </w:pPr>
    </w:lvl>
    <w:lvl w:ilvl="1">
      <w:start w:val="20"/>
      <w:numFmt w:val="decimal"/>
      <w:lvlText w:val="%2."/>
      <w:lvlJc w:val="left"/>
      <w:pPr>
        <w:tabs>
          <w:tab w:val="num" w:pos="720"/>
        </w:tabs>
        <w:ind w:left="1200" w:hanging="480"/>
      </w:pPr>
    </w:lvl>
    <w:lvl w:ilvl="2">
      <w:start w:val="20"/>
      <w:numFmt w:val="decimal"/>
      <w:lvlText w:val="%3."/>
      <w:lvlJc w:val="left"/>
      <w:pPr>
        <w:tabs>
          <w:tab w:val="num" w:pos="1440"/>
        </w:tabs>
        <w:ind w:left="1920" w:hanging="480"/>
      </w:pPr>
    </w:lvl>
    <w:lvl w:ilvl="3">
      <w:start w:val="20"/>
      <w:numFmt w:val="decimal"/>
      <w:lvlText w:val="%4."/>
      <w:lvlJc w:val="left"/>
      <w:pPr>
        <w:tabs>
          <w:tab w:val="num" w:pos="2160"/>
        </w:tabs>
        <w:ind w:left="2640" w:hanging="480"/>
      </w:pPr>
    </w:lvl>
    <w:lvl w:ilvl="4">
      <w:start w:val="20"/>
      <w:numFmt w:val="decimal"/>
      <w:lvlText w:val="%5."/>
      <w:lvlJc w:val="left"/>
      <w:pPr>
        <w:tabs>
          <w:tab w:val="num" w:pos="2880"/>
        </w:tabs>
        <w:ind w:left="3360" w:hanging="480"/>
      </w:pPr>
    </w:lvl>
    <w:lvl w:ilvl="5">
      <w:start w:val="20"/>
      <w:numFmt w:val="decimal"/>
      <w:lvlText w:val="%6."/>
      <w:lvlJc w:val="left"/>
      <w:pPr>
        <w:tabs>
          <w:tab w:val="num" w:pos="3600"/>
        </w:tabs>
        <w:ind w:left="4080" w:hanging="480"/>
      </w:pPr>
    </w:lvl>
    <w:lvl w:ilvl="6">
      <w:start w:val="20"/>
      <w:numFmt w:val="decimal"/>
      <w:lvlText w:val="%7."/>
      <w:lvlJc w:val="left"/>
      <w:pPr>
        <w:tabs>
          <w:tab w:val="num" w:pos="4320"/>
        </w:tabs>
        <w:ind w:left="4800" w:hanging="480"/>
      </w:pPr>
    </w:lvl>
    <w:lvl w:ilvl="7">
      <w:start w:val="20"/>
      <w:numFmt w:val="decimal"/>
      <w:lvlText w:val="%8."/>
      <w:lvlJc w:val="left"/>
      <w:pPr>
        <w:tabs>
          <w:tab w:val="num" w:pos="5040"/>
        </w:tabs>
        <w:ind w:left="5520" w:hanging="480"/>
      </w:pPr>
    </w:lvl>
    <w:lvl w:ilvl="8">
      <w:start w:val="20"/>
      <w:numFmt w:val="decimal"/>
      <w:lvlText w:val="%9."/>
      <w:lvlJc w:val="left"/>
      <w:pPr>
        <w:tabs>
          <w:tab w:val="num" w:pos="5760"/>
        </w:tabs>
        <w:ind w:left="6240" w:hanging="480"/>
      </w:pPr>
    </w:lvl>
  </w:abstractNum>
  <w:abstractNum w:abstractNumId="994121">
    <w:nsid w:val="dec97073"/>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140">
    <w:nsid w:val="aa48b470"/>
    <w:multiLevelType w:val="multilevel"/>
    <w:lvl w:ilvl="0">
      <w:start w:val="40"/>
      <w:numFmt w:val="decimal"/>
      <w:lvlText w:val="%1."/>
      <w:lvlJc w:val="left"/>
      <w:pPr>
        <w:tabs>
          <w:tab w:val="num" w:pos="0"/>
        </w:tabs>
        <w:ind w:left="480" w:hanging="480"/>
      </w:pPr>
    </w:lvl>
    <w:lvl w:ilvl="1">
      <w:start w:val="40"/>
      <w:numFmt w:val="decimal"/>
      <w:lvlText w:val="%2."/>
      <w:lvlJc w:val="left"/>
      <w:pPr>
        <w:tabs>
          <w:tab w:val="num" w:pos="720"/>
        </w:tabs>
        <w:ind w:left="1200" w:hanging="480"/>
      </w:pPr>
    </w:lvl>
    <w:lvl w:ilvl="2">
      <w:start w:val="40"/>
      <w:numFmt w:val="decimal"/>
      <w:lvlText w:val="%3."/>
      <w:lvlJc w:val="left"/>
      <w:pPr>
        <w:tabs>
          <w:tab w:val="num" w:pos="1440"/>
        </w:tabs>
        <w:ind w:left="1920" w:hanging="480"/>
      </w:pPr>
    </w:lvl>
    <w:lvl w:ilvl="3">
      <w:start w:val="40"/>
      <w:numFmt w:val="decimal"/>
      <w:lvlText w:val="%4."/>
      <w:lvlJc w:val="left"/>
      <w:pPr>
        <w:tabs>
          <w:tab w:val="num" w:pos="2160"/>
        </w:tabs>
        <w:ind w:left="2640" w:hanging="480"/>
      </w:pPr>
    </w:lvl>
    <w:lvl w:ilvl="4">
      <w:start w:val="40"/>
      <w:numFmt w:val="decimal"/>
      <w:lvlText w:val="%5."/>
      <w:lvlJc w:val="left"/>
      <w:pPr>
        <w:tabs>
          <w:tab w:val="num" w:pos="2880"/>
        </w:tabs>
        <w:ind w:left="3360" w:hanging="480"/>
      </w:pPr>
    </w:lvl>
    <w:lvl w:ilvl="5">
      <w:start w:val="40"/>
      <w:numFmt w:val="decimal"/>
      <w:lvlText w:val="%6."/>
      <w:lvlJc w:val="left"/>
      <w:pPr>
        <w:tabs>
          <w:tab w:val="num" w:pos="3600"/>
        </w:tabs>
        <w:ind w:left="4080" w:hanging="480"/>
      </w:pPr>
    </w:lvl>
    <w:lvl w:ilvl="6">
      <w:start w:val="40"/>
      <w:numFmt w:val="decimal"/>
      <w:lvlText w:val="%7."/>
      <w:lvlJc w:val="left"/>
      <w:pPr>
        <w:tabs>
          <w:tab w:val="num" w:pos="4320"/>
        </w:tabs>
        <w:ind w:left="4800" w:hanging="480"/>
      </w:pPr>
    </w:lvl>
    <w:lvl w:ilvl="7">
      <w:start w:val="40"/>
      <w:numFmt w:val="decimal"/>
      <w:lvlText w:val="%8."/>
      <w:lvlJc w:val="left"/>
      <w:pPr>
        <w:tabs>
          <w:tab w:val="num" w:pos="5040"/>
        </w:tabs>
        <w:ind w:left="5520" w:hanging="480"/>
      </w:pPr>
    </w:lvl>
    <w:lvl w:ilvl="8">
      <w:start w:val="40"/>
      <w:numFmt w:val="decimal"/>
      <w:lvlText w:val="%9."/>
      <w:lvlJc w:val="left"/>
      <w:pPr>
        <w:tabs>
          <w:tab w:val="num" w:pos="5760"/>
        </w:tabs>
        <w:ind w:left="6240" w:hanging="480"/>
      </w:pPr>
    </w:lvl>
  </w:abstractNum>
  <w:abstractNum w:abstractNumId="994142">
    <w:nsid w:val="1c859790"/>
    <w:multiLevelType w:val="multilevel"/>
    <w:lvl w:ilvl="0">
      <w:start w:val="42"/>
      <w:numFmt w:val="decimal"/>
      <w:lvlText w:val="%1."/>
      <w:lvlJc w:val="left"/>
      <w:pPr>
        <w:tabs>
          <w:tab w:val="num" w:pos="0"/>
        </w:tabs>
        <w:ind w:left="480" w:hanging="480"/>
      </w:pPr>
    </w:lvl>
    <w:lvl w:ilvl="1">
      <w:start w:val="42"/>
      <w:numFmt w:val="decimal"/>
      <w:lvlText w:val="%2."/>
      <w:lvlJc w:val="left"/>
      <w:pPr>
        <w:tabs>
          <w:tab w:val="num" w:pos="720"/>
        </w:tabs>
        <w:ind w:left="1200" w:hanging="480"/>
      </w:pPr>
    </w:lvl>
    <w:lvl w:ilvl="2">
      <w:start w:val="42"/>
      <w:numFmt w:val="decimal"/>
      <w:lvlText w:val="%3."/>
      <w:lvlJc w:val="left"/>
      <w:pPr>
        <w:tabs>
          <w:tab w:val="num" w:pos="1440"/>
        </w:tabs>
        <w:ind w:left="1920" w:hanging="480"/>
      </w:pPr>
    </w:lvl>
    <w:lvl w:ilvl="3">
      <w:start w:val="42"/>
      <w:numFmt w:val="decimal"/>
      <w:lvlText w:val="%4."/>
      <w:lvlJc w:val="left"/>
      <w:pPr>
        <w:tabs>
          <w:tab w:val="num" w:pos="2160"/>
        </w:tabs>
        <w:ind w:left="2640" w:hanging="480"/>
      </w:pPr>
    </w:lvl>
    <w:lvl w:ilvl="4">
      <w:start w:val="42"/>
      <w:numFmt w:val="decimal"/>
      <w:lvlText w:val="%5."/>
      <w:lvlJc w:val="left"/>
      <w:pPr>
        <w:tabs>
          <w:tab w:val="num" w:pos="2880"/>
        </w:tabs>
        <w:ind w:left="3360" w:hanging="480"/>
      </w:pPr>
    </w:lvl>
    <w:lvl w:ilvl="5">
      <w:start w:val="42"/>
      <w:numFmt w:val="decimal"/>
      <w:lvlText w:val="%6."/>
      <w:lvlJc w:val="left"/>
      <w:pPr>
        <w:tabs>
          <w:tab w:val="num" w:pos="3600"/>
        </w:tabs>
        <w:ind w:left="4080" w:hanging="480"/>
      </w:pPr>
    </w:lvl>
    <w:lvl w:ilvl="6">
      <w:start w:val="42"/>
      <w:numFmt w:val="decimal"/>
      <w:lvlText w:val="%7."/>
      <w:lvlJc w:val="left"/>
      <w:pPr>
        <w:tabs>
          <w:tab w:val="num" w:pos="4320"/>
        </w:tabs>
        <w:ind w:left="4800" w:hanging="480"/>
      </w:pPr>
    </w:lvl>
    <w:lvl w:ilvl="7">
      <w:start w:val="42"/>
      <w:numFmt w:val="decimal"/>
      <w:lvlText w:val="%8."/>
      <w:lvlJc w:val="left"/>
      <w:pPr>
        <w:tabs>
          <w:tab w:val="num" w:pos="5040"/>
        </w:tabs>
        <w:ind w:left="5520" w:hanging="480"/>
      </w:pPr>
    </w:lvl>
    <w:lvl w:ilvl="8">
      <w:start w:val="42"/>
      <w:numFmt w:val="decimal"/>
      <w:lvlText w:val="%9."/>
      <w:lvlJc w:val="left"/>
      <w:pPr>
        <w:tabs>
          <w:tab w:val="num" w:pos="5760"/>
        </w:tabs>
        <w:ind w:left="6240" w:hanging="480"/>
      </w:pPr>
    </w:lvl>
  </w:abstractNum>
  <w:abstractNum w:abstractNumId="994145">
    <w:nsid w:val="8d2ae5ff"/>
    <w:multiLevelType w:val="multilevel"/>
    <w:lvl w:ilvl="0">
      <w:start w:val="45"/>
      <w:numFmt w:val="decimal"/>
      <w:lvlText w:val="%1."/>
      <w:lvlJc w:val="left"/>
      <w:pPr>
        <w:tabs>
          <w:tab w:val="num" w:pos="0"/>
        </w:tabs>
        <w:ind w:left="480" w:hanging="480"/>
      </w:pPr>
    </w:lvl>
    <w:lvl w:ilvl="1">
      <w:start w:val="45"/>
      <w:numFmt w:val="decimal"/>
      <w:lvlText w:val="%2."/>
      <w:lvlJc w:val="left"/>
      <w:pPr>
        <w:tabs>
          <w:tab w:val="num" w:pos="720"/>
        </w:tabs>
        <w:ind w:left="1200" w:hanging="480"/>
      </w:pPr>
    </w:lvl>
    <w:lvl w:ilvl="2">
      <w:start w:val="45"/>
      <w:numFmt w:val="decimal"/>
      <w:lvlText w:val="%3."/>
      <w:lvlJc w:val="left"/>
      <w:pPr>
        <w:tabs>
          <w:tab w:val="num" w:pos="1440"/>
        </w:tabs>
        <w:ind w:left="1920" w:hanging="480"/>
      </w:pPr>
    </w:lvl>
    <w:lvl w:ilvl="3">
      <w:start w:val="45"/>
      <w:numFmt w:val="decimal"/>
      <w:lvlText w:val="%4."/>
      <w:lvlJc w:val="left"/>
      <w:pPr>
        <w:tabs>
          <w:tab w:val="num" w:pos="2160"/>
        </w:tabs>
        <w:ind w:left="2640" w:hanging="480"/>
      </w:pPr>
    </w:lvl>
    <w:lvl w:ilvl="4">
      <w:start w:val="45"/>
      <w:numFmt w:val="decimal"/>
      <w:lvlText w:val="%5."/>
      <w:lvlJc w:val="left"/>
      <w:pPr>
        <w:tabs>
          <w:tab w:val="num" w:pos="2880"/>
        </w:tabs>
        <w:ind w:left="3360" w:hanging="480"/>
      </w:pPr>
    </w:lvl>
    <w:lvl w:ilvl="5">
      <w:start w:val="45"/>
      <w:numFmt w:val="decimal"/>
      <w:lvlText w:val="%6."/>
      <w:lvlJc w:val="left"/>
      <w:pPr>
        <w:tabs>
          <w:tab w:val="num" w:pos="3600"/>
        </w:tabs>
        <w:ind w:left="4080" w:hanging="480"/>
      </w:pPr>
    </w:lvl>
    <w:lvl w:ilvl="6">
      <w:start w:val="45"/>
      <w:numFmt w:val="decimal"/>
      <w:lvlText w:val="%7."/>
      <w:lvlJc w:val="left"/>
      <w:pPr>
        <w:tabs>
          <w:tab w:val="num" w:pos="4320"/>
        </w:tabs>
        <w:ind w:left="4800" w:hanging="480"/>
      </w:pPr>
    </w:lvl>
    <w:lvl w:ilvl="7">
      <w:start w:val="45"/>
      <w:numFmt w:val="decimal"/>
      <w:lvlText w:val="%8."/>
      <w:lvlJc w:val="left"/>
      <w:pPr>
        <w:tabs>
          <w:tab w:val="num" w:pos="5040"/>
        </w:tabs>
        <w:ind w:left="5520" w:hanging="480"/>
      </w:pPr>
    </w:lvl>
    <w:lvl w:ilvl="8">
      <w:start w:val="45"/>
      <w:numFmt w:val="decimal"/>
      <w:lvlText w:val="%9."/>
      <w:lvlJc w:val="left"/>
      <w:pPr>
        <w:tabs>
          <w:tab w:val="num" w:pos="5760"/>
        </w:tabs>
        <w:ind w:left="6240" w:hanging="480"/>
      </w:pPr>
    </w:lvl>
  </w:abstractNum>
  <w:abstractNum w:abstractNumId="994153">
    <w:nsid w:val="1992625e"/>
    <w:multiLevelType w:val="multilevel"/>
    <w:lvl w:ilvl="0">
      <w:start w:val="53"/>
      <w:numFmt w:val="decimal"/>
      <w:lvlText w:val="%1."/>
      <w:lvlJc w:val="left"/>
      <w:pPr>
        <w:tabs>
          <w:tab w:val="num" w:pos="0"/>
        </w:tabs>
        <w:ind w:left="480" w:hanging="480"/>
      </w:pPr>
    </w:lvl>
    <w:lvl w:ilvl="1">
      <w:start w:val="53"/>
      <w:numFmt w:val="decimal"/>
      <w:lvlText w:val="%2."/>
      <w:lvlJc w:val="left"/>
      <w:pPr>
        <w:tabs>
          <w:tab w:val="num" w:pos="720"/>
        </w:tabs>
        <w:ind w:left="1200" w:hanging="480"/>
      </w:pPr>
    </w:lvl>
    <w:lvl w:ilvl="2">
      <w:start w:val="53"/>
      <w:numFmt w:val="decimal"/>
      <w:lvlText w:val="%3."/>
      <w:lvlJc w:val="left"/>
      <w:pPr>
        <w:tabs>
          <w:tab w:val="num" w:pos="1440"/>
        </w:tabs>
        <w:ind w:left="1920" w:hanging="480"/>
      </w:pPr>
    </w:lvl>
    <w:lvl w:ilvl="3">
      <w:start w:val="53"/>
      <w:numFmt w:val="decimal"/>
      <w:lvlText w:val="%4."/>
      <w:lvlJc w:val="left"/>
      <w:pPr>
        <w:tabs>
          <w:tab w:val="num" w:pos="2160"/>
        </w:tabs>
        <w:ind w:left="2640" w:hanging="480"/>
      </w:pPr>
    </w:lvl>
    <w:lvl w:ilvl="4">
      <w:start w:val="53"/>
      <w:numFmt w:val="decimal"/>
      <w:lvlText w:val="%5."/>
      <w:lvlJc w:val="left"/>
      <w:pPr>
        <w:tabs>
          <w:tab w:val="num" w:pos="2880"/>
        </w:tabs>
        <w:ind w:left="3360" w:hanging="480"/>
      </w:pPr>
    </w:lvl>
    <w:lvl w:ilvl="5">
      <w:start w:val="53"/>
      <w:numFmt w:val="decimal"/>
      <w:lvlText w:val="%6."/>
      <w:lvlJc w:val="left"/>
      <w:pPr>
        <w:tabs>
          <w:tab w:val="num" w:pos="3600"/>
        </w:tabs>
        <w:ind w:left="4080" w:hanging="480"/>
      </w:pPr>
    </w:lvl>
    <w:lvl w:ilvl="6">
      <w:start w:val="53"/>
      <w:numFmt w:val="decimal"/>
      <w:lvlText w:val="%7."/>
      <w:lvlJc w:val="left"/>
      <w:pPr>
        <w:tabs>
          <w:tab w:val="num" w:pos="4320"/>
        </w:tabs>
        <w:ind w:left="4800" w:hanging="480"/>
      </w:pPr>
    </w:lvl>
    <w:lvl w:ilvl="7">
      <w:start w:val="53"/>
      <w:numFmt w:val="decimal"/>
      <w:lvlText w:val="%8."/>
      <w:lvlJc w:val="left"/>
      <w:pPr>
        <w:tabs>
          <w:tab w:val="num" w:pos="5040"/>
        </w:tabs>
        <w:ind w:left="5520" w:hanging="480"/>
      </w:pPr>
    </w:lvl>
    <w:lvl w:ilvl="8">
      <w:start w:val="53"/>
      <w:numFmt w:val="decimal"/>
      <w:lvlText w:val="%9."/>
      <w:lvlJc w:val="left"/>
      <w:pPr>
        <w:tabs>
          <w:tab w:val="num" w:pos="5760"/>
        </w:tabs>
        <w:ind w:left="6240" w:hanging="480"/>
      </w:pPr>
    </w:lvl>
  </w:abstractNum>
  <w:abstractNum w:abstractNumId="994155">
    <w:nsid w:val="9e9b2515"/>
    <w:multiLevelType w:val="multilevel"/>
    <w:lvl w:ilvl="0">
      <w:start w:val="55"/>
      <w:numFmt w:val="decimal"/>
      <w:lvlText w:val="%1."/>
      <w:lvlJc w:val="left"/>
      <w:pPr>
        <w:tabs>
          <w:tab w:val="num" w:pos="0"/>
        </w:tabs>
        <w:ind w:left="480" w:hanging="480"/>
      </w:pPr>
    </w:lvl>
    <w:lvl w:ilvl="1">
      <w:start w:val="55"/>
      <w:numFmt w:val="decimal"/>
      <w:lvlText w:val="%2."/>
      <w:lvlJc w:val="left"/>
      <w:pPr>
        <w:tabs>
          <w:tab w:val="num" w:pos="720"/>
        </w:tabs>
        <w:ind w:left="1200" w:hanging="480"/>
      </w:pPr>
    </w:lvl>
    <w:lvl w:ilvl="2">
      <w:start w:val="55"/>
      <w:numFmt w:val="decimal"/>
      <w:lvlText w:val="%3."/>
      <w:lvlJc w:val="left"/>
      <w:pPr>
        <w:tabs>
          <w:tab w:val="num" w:pos="1440"/>
        </w:tabs>
        <w:ind w:left="1920" w:hanging="480"/>
      </w:pPr>
    </w:lvl>
    <w:lvl w:ilvl="3">
      <w:start w:val="55"/>
      <w:numFmt w:val="decimal"/>
      <w:lvlText w:val="%4."/>
      <w:lvlJc w:val="left"/>
      <w:pPr>
        <w:tabs>
          <w:tab w:val="num" w:pos="2160"/>
        </w:tabs>
        <w:ind w:left="2640" w:hanging="480"/>
      </w:pPr>
    </w:lvl>
    <w:lvl w:ilvl="4">
      <w:start w:val="55"/>
      <w:numFmt w:val="decimal"/>
      <w:lvlText w:val="%5."/>
      <w:lvlJc w:val="left"/>
      <w:pPr>
        <w:tabs>
          <w:tab w:val="num" w:pos="2880"/>
        </w:tabs>
        <w:ind w:left="3360" w:hanging="480"/>
      </w:pPr>
    </w:lvl>
    <w:lvl w:ilvl="5">
      <w:start w:val="55"/>
      <w:numFmt w:val="decimal"/>
      <w:lvlText w:val="%6."/>
      <w:lvlJc w:val="left"/>
      <w:pPr>
        <w:tabs>
          <w:tab w:val="num" w:pos="3600"/>
        </w:tabs>
        <w:ind w:left="4080" w:hanging="480"/>
      </w:pPr>
    </w:lvl>
    <w:lvl w:ilvl="6">
      <w:start w:val="55"/>
      <w:numFmt w:val="decimal"/>
      <w:lvlText w:val="%7."/>
      <w:lvlJc w:val="left"/>
      <w:pPr>
        <w:tabs>
          <w:tab w:val="num" w:pos="4320"/>
        </w:tabs>
        <w:ind w:left="4800" w:hanging="480"/>
      </w:pPr>
    </w:lvl>
    <w:lvl w:ilvl="7">
      <w:start w:val="55"/>
      <w:numFmt w:val="decimal"/>
      <w:lvlText w:val="%8."/>
      <w:lvlJc w:val="left"/>
      <w:pPr>
        <w:tabs>
          <w:tab w:val="num" w:pos="5040"/>
        </w:tabs>
        <w:ind w:left="5520" w:hanging="480"/>
      </w:pPr>
    </w:lvl>
    <w:lvl w:ilvl="8">
      <w:start w:val="55"/>
      <w:numFmt w:val="decimal"/>
      <w:lvlText w:val="%9."/>
      <w:lvlJc w:val="left"/>
      <w:pPr>
        <w:tabs>
          <w:tab w:val="num" w:pos="5760"/>
        </w:tabs>
        <w:ind w:left="6240" w:hanging="480"/>
      </w:pPr>
    </w:lvl>
  </w:abstractNum>
  <w:abstractNum w:abstractNumId="994159">
    <w:nsid w:val="a12cdf0f"/>
    <w:multiLevelType w:val="multilevel"/>
    <w:lvl w:ilvl="0">
      <w:start w:val="59"/>
      <w:numFmt w:val="decimal"/>
      <w:lvlText w:val="%1."/>
      <w:lvlJc w:val="left"/>
      <w:pPr>
        <w:tabs>
          <w:tab w:val="num" w:pos="0"/>
        </w:tabs>
        <w:ind w:left="480" w:hanging="480"/>
      </w:pPr>
    </w:lvl>
    <w:lvl w:ilvl="1">
      <w:start w:val="59"/>
      <w:numFmt w:val="decimal"/>
      <w:lvlText w:val="%2."/>
      <w:lvlJc w:val="left"/>
      <w:pPr>
        <w:tabs>
          <w:tab w:val="num" w:pos="720"/>
        </w:tabs>
        <w:ind w:left="1200" w:hanging="480"/>
      </w:pPr>
    </w:lvl>
    <w:lvl w:ilvl="2">
      <w:start w:val="59"/>
      <w:numFmt w:val="decimal"/>
      <w:lvlText w:val="%3."/>
      <w:lvlJc w:val="left"/>
      <w:pPr>
        <w:tabs>
          <w:tab w:val="num" w:pos="1440"/>
        </w:tabs>
        <w:ind w:left="1920" w:hanging="480"/>
      </w:pPr>
    </w:lvl>
    <w:lvl w:ilvl="3">
      <w:start w:val="59"/>
      <w:numFmt w:val="decimal"/>
      <w:lvlText w:val="%4."/>
      <w:lvlJc w:val="left"/>
      <w:pPr>
        <w:tabs>
          <w:tab w:val="num" w:pos="2160"/>
        </w:tabs>
        <w:ind w:left="2640" w:hanging="480"/>
      </w:pPr>
    </w:lvl>
    <w:lvl w:ilvl="4">
      <w:start w:val="59"/>
      <w:numFmt w:val="decimal"/>
      <w:lvlText w:val="%5."/>
      <w:lvlJc w:val="left"/>
      <w:pPr>
        <w:tabs>
          <w:tab w:val="num" w:pos="2880"/>
        </w:tabs>
        <w:ind w:left="3360" w:hanging="480"/>
      </w:pPr>
    </w:lvl>
    <w:lvl w:ilvl="5">
      <w:start w:val="59"/>
      <w:numFmt w:val="decimal"/>
      <w:lvlText w:val="%6."/>
      <w:lvlJc w:val="left"/>
      <w:pPr>
        <w:tabs>
          <w:tab w:val="num" w:pos="3600"/>
        </w:tabs>
        <w:ind w:left="4080" w:hanging="480"/>
      </w:pPr>
    </w:lvl>
    <w:lvl w:ilvl="6">
      <w:start w:val="59"/>
      <w:numFmt w:val="decimal"/>
      <w:lvlText w:val="%7."/>
      <w:lvlJc w:val="left"/>
      <w:pPr>
        <w:tabs>
          <w:tab w:val="num" w:pos="4320"/>
        </w:tabs>
        <w:ind w:left="4800" w:hanging="480"/>
      </w:pPr>
    </w:lvl>
    <w:lvl w:ilvl="7">
      <w:start w:val="59"/>
      <w:numFmt w:val="decimal"/>
      <w:lvlText w:val="%8."/>
      <w:lvlJc w:val="left"/>
      <w:pPr>
        <w:tabs>
          <w:tab w:val="num" w:pos="5040"/>
        </w:tabs>
        <w:ind w:left="5520" w:hanging="480"/>
      </w:pPr>
    </w:lvl>
    <w:lvl w:ilvl="8">
      <w:start w:val="59"/>
      <w:numFmt w:val="decimal"/>
      <w:lvlText w:val="%9."/>
      <w:lvlJc w:val="left"/>
      <w:pPr>
        <w:tabs>
          <w:tab w:val="num" w:pos="5760"/>
        </w:tabs>
        <w:ind w:left="6240" w:hanging="480"/>
      </w:pPr>
    </w:lvl>
  </w:abstractNum>
  <w:abstractNum w:abstractNumId="994131">
    <w:nsid w:val="ed2a4a89"/>
    <w:multiLevelType w:val="multilevel"/>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num w:numId="1">
    <w:abstractNumId w:val="4"/>
  </w:num>
  <w:num w:numId="2">
    <w:abstractNumId w:val="3"/>
  </w:num>
  <w:num w:numId="3">
    <w:abstractNumId w:val="16"/>
  </w:num>
  <w:num w:numId="4">
    <w:abstractNumId w:val="15"/>
  </w:num>
  <w:num w:numId="5">
    <w:abstractNumId w:val="19"/>
  </w:num>
  <w:num w:numId="6">
    <w:abstractNumId w:val="12"/>
  </w:num>
  <w:num w:numId="7">
    <w:abstractNumId w:val="10"/>
  </w:num>
  <w:num w:numId="8">
    <w:abstractNumId w:val="24"/>
  </w:num>
  <w:num w:numId="9">
    <w:abstractNumId w:val="20"/>
  </w:num>
  <w:num w:numId="10">
    <w:abstractNumId w:val="8"/>
  </w:num>
  <w:num w:numId="11">
    <w:abstractNumId w:val="6"/>
  </w:num>
  <w:num w:numId="12">
    <w:abstractNumId w:val="21"/>
  </w:num>
  <w:num w:numId="13">
    <w:abstractNumId w:val="22"/>
  </w:num>
  <w:num w:numId="14">
    <w:abstractNumId w:val="11"/>
  </w:num>
  <w:num w:numId="15">
    <w:abstractNumId w:val="18"/>
  </w:num>
  <w:num w:numId="16">
    <w:abstractNumId w:val="17"/>
  </w:num>
  <w:num w:numId="17">
    <w:abstractNumId w:val="7"/>
  </w:num>
  <w:num w:numId="18">
    <w:abstractNumId w:val="14"/>
  </w:num>
  <w:num w:numId="19">
    <w:abstractNumId w:val="9"/>
  </w:num>
  <w:num w:numId="20">
    <w:abstractNumId w:val="0"/>
  </w:num>
  <w:num w:numId="21">
    <w:abstractNumId w:val="34"/>
  </w:num>
  <w:num w:numId="22">
    <w:abstractNumId w:val="2"/>
  </w:num>
  <w:num w:numId="23">
    <w:abstractNumId w:val="27"/>
  </w:num>
  <w:num w:numId="24">
    <w:abstractNumId w:val="1"/>
  </w:num>
  <w:num w:numId="25">
    <w:abstractNumId w:val="28"/>
  </w:num>
  <w:num w:numId="26">
    <w:abstractNumId w:val="25"/>
  </w:num>
  <w:num w:numId="27">
    <w:abstractNumId w:val="26"/>
  </w:num>
  <w:num w:numId="28">
    <w:abstractNumId w:val="33"/>
  </w:num>
  <w:num w:numId="29">
    <w:abstractNumId w:val="32"/>
  </w:num>
  <w:num w:numId="30">
    <w:abstractNumId w:val="30"/>
  </w:num>
  <w:num w:numId="31">
    <w:abstractNumId w:val="31"/>
  </w:num>
  <w:num w:numId="32">
    <w:abstractNumId w:val="5"/>
  </w:num>
  <w:num w:numId="33">
    <w:abstractNumId w:val="23"/>
  </w:num>
  <w:num w:numId="34">
    <w:abstractNumId w:val="29"/>
  </w:num>
  <w:num w:numId="35">
    <w:abstractNumId w:val="13"/>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1"/>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8">
    <w:abstractNumId w:val="991"/>
  </w:num>
  <w:num w:numId="103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4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4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45">
    <w:abstractNumId w:val="991"/>
  </w:num>
  <w:num w:numId="1046">
    <w:abstractNumId w:val="991"/>
  </w:num>
  <w:num w:numId="104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4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50">
    <w:abstractNumId w:val="991"/>
  </w:num>
  <w:num w:numId="105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52">
    <w:abstractNumId w:val="991"/>
  </w:num>
  <w:num w:numId="1053">
    <w:abstractNumId w:val="991"/>
  </w:num>
  <w:num w:numId="1054">
    <w:abstractNumId w:val="991"/>
  </w:num>
  <w:num w:numId="1055">
    <w:abstractNumId w:val="991"/>
  </w:num>
  <w:num w:numId="105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5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8">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6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70">
    <w:abstractNumId w:val="991"/>
  </w:num>
  <w:num w:numId="1071">
    <w:abstractNumId w:val="991"/>
  </w:num>
  <w:num w:numId="1072">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7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7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5">
    <w:abstractNumId w:val="991"/>
  </w:num>
  <w:num w:numId="1076">
    <w:abstractNumId w:val="991"/>
  </w:num>
  <w:num w:numId="107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8">
    <w:abstractNumId w:val="991"/>
  </w:num>
  <w:num w:numId="107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80">
    <w:abstractNumId w:val="991"/>
  </w:num>
  <w:num w:numId="108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8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83">
    <w:abstractNumId w:val="991"/>
  </w:num>
  <w:num w:numId="108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85">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8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8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88">
    <w:abstractNumId w:val="991"/>
  </w:num>
  <w:num w:numId="108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9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9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9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9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9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9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9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9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9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99">
    <w:abstractNumId w:val="991"/>
  </w:num>
  <w:num w:numId="110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01">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102">
    <w:abstractNumId w:val="991"/>
  </w:num>
  <w:num w:numId="11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04">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105">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10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14">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115">
    <w:abstractNumId w:val="991"/>
  </w:num>
  <w:num w:numId="1116">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117">
    <w:abstractNumId w:val="991"/>
  </w:num>
  <w:num w:numId="1118">
    <w:abstractNumId w:val="991"/>
  </w:num>
  <w:num w:numId="1119">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2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ru-RU" w:eastAsia="en-US" w:bidi="ar-SA"/>
    </w:rPr>
  </w:style>
  <w:style w:type="paragraph" w:styleId="2">
    <w:name w:val="heading 1"/>
    <w:basedOn w:val="1"/>
    <w:qFormat/>
    <w:uiPriority w:val="9"/>
    <w:pPr>
      <w:spacing w:before="90"/>
      <w:ind w:left="1163" w:hanging="482"/>
      <w:outlineLvl w:val="0"/>
    </w:pPr>
    <w:rPr>
      <w:b/>
      <w:bCs/>
      <w:sz w:val="24"/>
      <w:szCs w:val="24"/>
    </w:rPr>
  </w:style>
  <w:style w:type="paragraph" w:styleId="3">
    <w:name w:val="heading 2"/>
    <w:basedOn w:val="1"/>
    <w:unhideWhenUsed/>
    <w:qFormat/>
    <w:uiPriority w:val="9"/>
    <w:pPr>
      <w:spacing w:before="120"/>
      <w:ind w:left="1417" w:hanging="566"/>
      <w:jc w:val="both"/>
      <w:outlineLvl w:val="1"/>
    </w:pPr>
    <w:rPr>
      <w:b/>
      <w:bCs/>
      <w:sz w:val="24"/>
      <w:szCs w:val="24"/>
    </w:rPr>
  </w:style>
  <w:style w:type="paragraph" w:styleId="4">
    <w:name w:val="heading 3"/>
    <w:basedOn w:val="1"/>
    <w:unhideWhenUsed/>
    <w:qFormat/>
    <w:uiPriority w:val="9"/>
    <w:pPr>
      <w:spacing w:before="120"/>
      <w:ind w:left="646"/>
      <w:outlineLvl w:val="2"/>
    </w:pPr>
    <w:rPr>
      <w:b/>
      <w:bCs/>
      <w:i/>
      <w:iCs/>
      <w:sz w:val="24"/>
      <w:szCs w:val="24"/>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spacing w:before="120"/>
      <w:ind w:left="285" w:firstLine="395"/>
      <w:jc w:val="both"/>
    </w:pPr>
    <w:rPr>
      <w:sz w:val="24"/>
      <w:szCs w:val="24"/>
    </w:rPr>
  </w:style>
  <w:style w:type="character" w:styleId="8">
    <w:name w:val="footnote reference"/>
    <w:basedOn w:val="5"/>
    <w:unhideWhenUsed/>
    <w:qFormat/>
    <w:uiPriority w:val="99"/>
    <w:rPr>
      <w:vertAlign w:val="superscript"/>
    </w:rPr>
  </w:style>
  <w:style w:type="paragraph" w:styleId="9">
    <w:name w:val="footnote text"/>
    <w:basedOn w:val="1"/>
    <w:unhideWhenUsed/>
    <w:qFormat/>
    <w:uiPriority w:val="99"/>
    <w:rPr>
      <w:rFonts w:eastAsiaTheme="minorHAnsi" w:cstheme="minorBidi"/>
      <w:sz w:val="20"/>
      <w:szCs w:val="20"/>
    </w:rPr>
  </w:style>
  <w:style w:type="paragraph" w:styleId="10">
    <w:name w:val="header"/>
    <w:basedOn w:val="1"/>
    <w:unhideWhenUsed/>
    <w:qFormat/>
    <w:uiPriority w:val="99"/>
    <w:pPr>
      <w:tabs>
        <w:tab w:val="center" w:pos="4677"/>
        <w:tab w:val="right" w:pos="9355"/>
      </w:tabs>
      <w:spacing w:after="0"/>
    </w:pPr>
  </w:style>
  <w:style w:type="character" w:styleId="11">
    <w:name w:val="Hyperlink"/>
    <w:basedOn w:val="5"/>
    <w:unhideWhenUsed/>
    <w:qFormat/>
    <w:uiPriority w:val="99"/>
    <w:rPr>
      <w:color w:val="0000FF"/>
      <w:u w:val="single"/>
    </w:rPr>
  </w:style>
  <w:style w:type="table" w:styleId="12">
    <w:name w:val="Table Grid"/>
    <w:basedOn w:val="6"/>
    <w:qFormat/>
    <w:uiPriority w:val="59"/>
    <w:pPr>
      <w:spacing w:after="0" w:line="240" w:lineRule="auto"/>
    </w:pPr>
    <w:rPr>
      <w:rFonts w:ascii="Calibri" w:hAnsi="Calibri" w:eastAsia="Times New Roman" w:cs="Times New Roman"/>
      <w:kern w:val="0"/>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qFormat/>
    <w:uiPriority w:val="10"/>
    <w:pPr>
      <w:spacing w:before="82"/>
      <w:ind w:left="3474" w:right="1604" w:hanging="2012"/>
    </w:pPr>
    <w:rPr>
      <w:b/>
      <w:bCs/>
      <w:sz w:val="28"/>
      <w:szCs w:val="28"/>
    </w:rPr>
  </w:style>
  <w:style w:type="paragraph" w:styleId="14">
    <w:name w:val="toc 1"/>
    <w:basedOn w:val="1"/>
    <w:qFormat/>
    <w:uiPriority w:val="1"/>
    <w:pPr>
      <w:spacing w:before="60"/>
      <w:ind w:left="622" w:hanging="479"/>
    </w:pPr>
    <w:rPr>
      <w:sz w:val="24"/>
      <w:szCs w:val="24"/>
    </w:rPr>
  </w:style>
  <w:style w:type="paragraph" w:styleId="15">
    <w:name w:val="toc 2"/>
    <w:basedOn w:val="1"/>
    <w:qFormat/>
    <w:uiPriority w:val="1"/>
    <w:pPr>
      <w:spacing w:before="60"/>
      <w:ind w:left="1222" w:hanging="720"/>
    </w:pPr>
    <w:rPr>
      <w:sz w:val="24"/>
      <w:szCs w:val="24"/>
    </w:rPr>
  </w:style>
  <w:style w:type="paragraph" w:styleId="16">
    <w:name w:val="toc 3"/>
    <w:basedOn w:val="1"/>
    <w:qFormat/>
    <w:uiPriority w:val="1"/>
    <w:pPr>
      <w:spacing w:before="60"/>
      <w:ind w:left="1822" w:hanging="960"/>
    </w:pPr>
    <w:rPr>
      <w:sz w:val="24"/>
      <w:szCs w:val="24"/>
    </w:rPr>
  </w:style>
  <w:style w:type="table" w:customStyle="1" w:styleId="17">
    <w:name w:val="Table Normal1"/>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pPr>
      <w:ind w:left="1000" w:hanging="360"/>
    </w:pPr>
  </w:style>
  <w:style w:type="paragraph" w:customStyle="1" w:styleId="19">
    <w:name w:val="Table Paragraph"/>
    <w:basedOn w:val="1"/>
    <w:qFormat/>
    <w:uiPriority w:val="1"/>
  </w:style>
  <w:style w:type="character" w:customStyle="1" w:styleId="20">
    <w:name w:val="long_text"/>
    <w:qFormat/>
    <w:uiPriority w:val="0"/>
  </w:style>
  <w:style w:type="paragraph" w:customStyle="1" w:styleId="21">
    <w:name w:val="Paragraph"/>
    <w:qFormat/>
    <w:uiPriority w:val="0"/>
    <w:pPr>
      <w:spacing w:after="240" w:line="240" w:lineRule="auto"/>
    </w:pPr>
    <w:rPr>
      <w:rFonts w:ascii="Times New Roman" w:hAnsi="Times New Roman" w:eastAsia="Times New Roman" w:cs="Times New Roman"/>
      <w:kern w:val="0"/>
      <w:sz w:val="24"/>
      <w:szCs w:val="24"/>
      <w:lang w:val="en-US" w:eastAsia="en-US" w:bidi="ar-SA"/>
    </w:rPr>
  </w:style>
  <w:style w:type="paragraph" w:customStyle="1" w:styleId="22">
    <w:name w:val="Стиль Arial Красный По ширине Междустр.интервал:  множитель 12 ..."/>
    <w:basedOn w:val="1"/>
    <w:qFormat/>
    <w:uiPriority w:val="0"/>
    <w:pPr>
      <w:ind w:firstLine="397"/>
    </w:pPr>
    <w:rPr>
      <w:szCs w:val="24"/>
      <w:lang w:eastAsia="ru-RU"/>
    </w:rPr>
  </w:style>
  <w:style w:type="paragraph" w:customStyle="1" w:styleId="23">
    <w:name w:val="SD_Text"/>
    <w:basedOn w:val="1"/>
    <w:link w:val="24"/>
    <w:qFormat/>
    <w:uiPriority w:val="0"/>
    <w:pPr>
      <w:spacing w:after="160" w:line="276" w:lineRule="auto"/>
      <w:ind w:firstLine="0"/>
    </w:pPr>
    <w:rPr>
      <w:rFonts w:eastAsiaTheme="minorHAnsi" w:cstheme="minorBidi"/>
      <w:color w:val="345A8A"/>
      <w:szCs w:val="32"/>
    </w:rPr>
  </w:style>
  <w:style w:type="character" w:customStyle="1" w:styleId="24">
    <w:name w:val="SD_Text Знак"/>
    <w:basedOn w:val="5"/>
    <w:link w:val="23"/>
    <w:qFormat/>
    <w:uiPriority w:val="0"/>
    <w:rPr>
      <w:rFonts w:eastAsiaTheme="minorHAnsi" w:cstheme="minorBidi"/>
      <w:color w:val="345A8A"/>
      <w:szCs w:val="32"/>
    </w:rPr>
  </w:style>
  <w:style w:type="paragraph" w:customStyle="1" w:styleId="25">
    <w:name w:val="Table Left"/>
    <w:qFormat/>
    <w:uiPriority w:val="0"/>
    <w:pPr>
      <w:spacing w:after="60" w:line="240" w:lineRule="auto"/>
    </w:pPr>
    <w:rPr>
      <w:rFonts w:ascii="Times New Roman" w:hAnsi="Times New Roman" w:eastAsia="Times New Roman" w:cs="Times New Roman"/>
      <w:kern w:val="0"/>
      <w:sz w:val="24"/>
      <w:szCs w:val="20"/>
      <w:lang w:val="en-US" w:eastAsia="en-US" w:bidi="ar-SA"/>
    </w:rPr>
  </w:style>
  <w:style w:type="table" w:customStyle="1" w:styleId="26">
    <w:name w:val="Сетка таблицы56"/>
    <w:basedOn w:val="6"/>
    <w:qFormat/>
    <w:uiPriority w:val="59"/>
    <w:pPr>
      <w:spacing w:after="0" w:line="240" w:lineRule="auto"/>
    </w:pPr>
    <w:rPr>
      <w:rFonts w:ascii="Times New Roman" w:hAnsi="Times New Roman" w:eastAsia="Times New Roman" w:cs="Times New Roman"/>
      <w:kern w:val="0"/>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Сетка таблицы57"/>
    <w:basedOn w:val="6"/>
    <w:qFormat/>
    <w:uiPriority w:val="59"/>
    <w:pPr>
      <w:spacing w:after="0" w:line="240" w:lineRule="auto"/>
    </w:pPr>
    <w:rPr>
      <w:rFonts w:ascii="Times New Roman" w:hAnsi="Times New Roman" w:eastAsia="Times New Roman" w:cs="Times New Roman"/>
      <w:kern w:val="0"/>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WPSOffice手动目录 2"/>
    <w:uiPriority w:val="0"/>
    <w:pPr>
      <w:ind w:leftChars="200"/>
    </w:pPr>
    <w:rPr>
      <w:sz w:val="20"/>
      <w:szCs w:val="20"/>
    </w:rPr>
  </w:style>
  <w:style w:type="paragraph" w:customStyle="1" w:styleId="29">
    <w:name w:val="WPSOffice手动目录 1"/>
    <w:uiPriority w:val="0"/>
    <w:pPr>
      <w:ind w:leftChars="0"/>
    </w:pPr>
    <w:rPr>
      <w:sz w:val="20"/>
      <w:szCs w:val="20"/>
    </w:rPr>
  </w:style>
  <w:style w:type="paragraph" w:customStyle="1" w:styleId="30">
    <w:name w:val="WPSOffice手动目录 3"/>
    <w:uiPriority w:val="0"/>
    <w:pPr>
      <w:ind w:leftChars="400"/>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3.xml" /><Relationship Id="rId10" Type="http://schemas.openxmlformats.org/officeDocument/2006/relationships/header" Target="header2.xml" /><Relationship Id="rId11" Type="http://schemas.openxmlformats.org/officeDocument/2006/relationships/header" Target="header1.xml" /><Relationship Id="rId12" Type="http://schemas.openxmlformats.org/officeDocument/2006/relationships/header" Target="header4.xml" /><Relationship Id="rId13" Type="http://schemas.openxmlformats.org/officeDocument/2006/relationships/footer" Target="footer3.xml" /><Relationship Id="rId14" Type="http://schemas.openxmlformats.org/officeDocument/2006/relationships/footer" Target="footer2.xml" /><Relationship Id="rId15" Type="http://schemas.openxmlformats.org/officeDocument/2006/relationships/footer" Target="footer1.xml" /><Relationship Id="rId16" Type="http://schemas.openxmlformats.org/officeDocument/2006/relationships/footer" Target="footer4.xml" /><Relationship Type="http://schemas.openxmlformats.org/officeDocument/2006/relationships/hyperlink" Id="rId20" Target="\l" TargetMode="External" /></Relationships>
</file>

<file path=word/_rels/footnotes.xml.rels><?xml version="1.0" encoding="UTF-8"?>
<Relationships xmlns="http://schemas.openxmlformats.org/package/2006/relationships"><Relationship Type="http://schemas.openxmlformats.org/officeDocument/2006/relationships/hyperlink" Id="rId20" Target="\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96</Pages>
  <Words>33841</Words>
  <Characters>192900</Characters>
  <Lines>1607</Lines>
  <Paragraphs>452</Paragraphs>
  <TotalTime>2</TotalTime>
  <ScaleCrop>false</ScaleCrop>
  <LinksUpToDate>false</LinksUpToDate>
  <CharactersWithSpaces>226289</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2026-02-04T07:48:15Z</dcterms:created>
  <dcterms:modified xsi:type="dcterms:W3CDTF">2026-02-04T07:48:15Z</dcterms:modified>
</cp:coreProperties>
</file>

<file path=docProps/custom.xml><?xml version="1.0" encoding="utf-8"?>
<Properties xmlns="http://schemas.openxmlformats.org/officeDocument/2006/custom-properties" xmlns:vt="http://schemas.openxmlformats.org/officeDocument/2006/docPropsVTypes"/>
</file>