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8CDB65" w14:textId="55973B4F" w:rsidR="008A0A0E" w:rsidRPr="00511FC5" w:rsidRDefault="008A0A0E" w:rsidP="007B6503">
      <w:pPr>
        <w:pStyle w:val="Title"/>
        <w:jc w:val="center"/>
        <w:rPr>
          <w:b/>
          <w:bCs/>
          <w:sz w:val="32"/>
          <w:szCs w:val="32"/>
          <w:lang w:val="en-US"/>
        </w:rPr>
      </w:pPr>
      <w:r w:rsidRPr="00511FC5">
        <w:rPr>
          <w:b/>
          <w:bCs/>
          <w:sz w:val="32"/>
          <w:szCs w:val="32"/>
          <w:lang w:val="en-US"/>
        </w:rPr>
        <w:t>Supplementary materials for</w:t>
      </w:r>
    </w:p>
    <w:p w14:paraId="25CB1619" w14:textId="77777777" w:rsidR="007B6503" w:rsidRPr="00511FC5" w:rsidRDefault="007B6503" w:rsidP="007B6503">
      <w:pPr>
        <w:rPr>
          <w:sz w:val="28"/>
          <w:szCs w:val="28"/>
          <w:lang w:val="en-US"/>
        </w:rPr>
      </w:pPr>
    </w:p>
    <w:p w14:paraId="1231B5AD" w14:textId="77777777" w:rsidR="00431031" w:rsidRPr="00511FC5" w:rsidRDefault="00431031" w:rsidP="00511FC5">
      <w:pPr>
        <w:jc w:val="center"/>
        <w:rPr>
          <w:rFonts w:asciiTheme="majorHAnsi" w:eastAsiaTheme="majorEastAsia" w:hAnsiTheme="majorHAnsi" w:cstheme="majorBidi"/>
          <w:b/>
          <w:bCs/>
          <w:spacing w:val="-10"/>
          <w:kern w:val="28"/>
          <w:sz w:val="32"/>
          <w:szCs w:val="32"/>
          <w:lang w:val="en-US"/>
        </w:rPr>
      </w:pPr>
      <w:r w:rsidRPr="00511FC5">
        <w:rPr>
          <w:rFonts w:asciiTheme="majorHAnsi" w:eastAsiaTheme="majorEastAsia" w:hAnsiTheme="majorHAnsi" w:cstheme="majorBidi"/>
          <w:b/>
          <w:bCs/>
          <w:spacing w:val="-10"/>
          <w:kern w:val="28"/>
          <w:sz w:val="32"/>
          <w:szCs w:val="32"/>
          <w:lang w:val="en-US"/>
        </w:rPr>
        <w:t>Cascading dynamics of emerging infectious diseases and agricultural pests in social-ecological systems</w:t>
      </w:r>
    </w:p>
    <w:p w14:paraId="1892312C" w14:textId="3B753456" w:rsidR="008A0A0E" w:rsidRDefault="008A0A0E" w:rsidP="008A0A0E">
      <w:pPr>
        <w:rPr>
          <w:lang w:val="en-US"/>
        </w:rPr>
      </w:pPr>
    </w:p>
    <w:p w14:paraId="5896F004" w14:textId="5008FE73" w:rsidR="008A0A0E" w:rsidRDefault="000A54B1" w:rsidP="008E4A6C">
      <w:pPr>
        <w:pStyle w:val="Heading1"/>
      </w:pPr>
      <w:r>
        <w:t>1</w:t>
      </w:r>
      <w:r w:rsidR="008A0A0E">
        <w:t>. Methods for Fig</w:t>
      </w:r>
      <w:r w:rsidR="00286558">
        <w:t>ure</w:t>
      </w:r>
      <w:r w:rsidR="008A0A0E">
        <w:t xml:space="preserve"> </w:t>
      </w:r>
      <w:r w:rsidR="00461D68">
        <w:t>2</w:t>
      </w:r>
    </w:p>
    <w:p w14:paraId="51F845ED" w14:textId="0D060524" w:rsidR="008A0A0E" w:rsidRDefault="008E4A6C" w:rsidP="008A0A0E">
      <w:pPr>
        <w:rPr>
          <w:lang w:val="en-US"/>
        </w:rPr>
      </w:pPr>
      <w:r>
        <w:rPr>
          <w:lang w:val="en-US"/>
        </w:rPr>
        <w:t>The drivers and impacts of major outbreaks of EPPs in the past three decades were investigated through review of the recent literature. Groups included EPPs affecting humans, livestock</w:t>
      </w:r>
      <w:r w:rsidR="002A0E19">
        <w:rPr>
          <w:lang w:val="en-US"/>
        </w:rPr>
        <w:t>,</w:t>
      </w:r>
      <w:r>
        <w:rPr>
          <w:lang w:val="en-US"/>
        </w:rPr>
        <w:t xml:space="preserve"> and crops</w:t>
      </w:r>
      <w:r w:rsidR="002A0E19">
        <w:rPr>
          <w:lang w:val="en-US"/>
        </w:rPr>
        <w:t>.</w:t>
      </w:r>
      <w:r>
        <w:rPr>
          <w:lang w:val="en-US"/>
        </w:rPr>
        <w:t xml:space="preserve"> Focus was on social and environmental drivers and impacts and not on estimate of yield loss, morbidity</w:t>
      </w:r>
      <w:r w:rsidR="002A0E19">
        <w:rPr>
          <w:lang w:val="en-US"/>
        </w:rPr>
        <w:t>,</w:t>
      </w:r>
      <w:r>
        <w:rPr>
          <w:lang w:val="en-US"/>
        </w:rPr>
        <w:t xml:space="preserve"> or mortality. Drivers and impacts are not exhaustive lists, but illustrative examples.</w:t>
      </w:r>
    </w:p>
    <w:p w14:paraId="354F6B6D" w14:textId="71B2CEF3" w:rsidR="0023493A" w:rsidRDefault="00C3024F" w:rsidP="008A0A0E">
      <w:pPr>
        <w:rPr>
          <w:lang w:val="en-US"/>
        </w:rPr>
      </w:pPr>
      <w:r>
        <w:rPr>
          <w:lang w:val="en-US"/>
        </w:rPr>
        <w:t xml:space="preserve">Information used for producing </w:t>
      </w:r>
      <w:r w:rsidR="000A54B1">
        <w:rPr>
          <w:lang w:val="en-US"/>
        </w:rPr>
        <w:t>F</w:t>
      </w:r>
      <w:r>
        <w:rPr>
          <w:lang w:val="en-US"/>
        </w:rPr>
        <w:t xml:space="preserve">igure </w:t>
      </w:r>
      <w:r w:rsidR="000A54B1">
        <w:rPr>
          <w:lang w:val="en-US"/>
        </w:rPr>
        <w:t>2</w:t>
      </w:r>
      <w:r>
        <w:rPr>
          <w:lang w:val="en-US"/>
        </w:rPr>
        <w:t xml:space="preserve"> are summarized in </w:t>
      </w:r>
      <w:r w:rsidR="000A54B1">
        <w:rPr>
          <w:b/>
          <w:bCs/>
          <w:lang w:val="en-US"/>
        </w:rPr>
        <w:t>T</w:t>
      </w:r>
      <w:r w:rsidRPr="00C3024F">
        <w:rPr>
          <w:b/>
          <w:bCs/>
          <w:lang w:val="en-US"/>
        </w:rPr>
        <w:t>able S1</w:t>
      </w:r>
      <w:r w:rsidR="000A54B1">
        <w:rPr>
          <w:b/>
          <w:bCs/>
          <w:lang w:val="en-US"/>
        </w:rPr>
        <w:t xml:space="preserve"> </w:t>
      </w:r>
      <w:r w:rsidR="000A54B1">
        <w:rPr>
          <w:lang w:val="en-US"/>
        </w:rPr>
        <w:t>below</w:t>
      </w:r>
      <w:r>
        <w:rPr>
          <w:lang w:val="en-US"/>
        </w:rPr>
        <w:t>.</w:t>
      </w:r>
    </w:p>
    <w:p w14:paraId="7CA89C55" w14:textId="5CEACA24" w:rsidR="000A54B1" w:rsidRDefault="000A54B1" w:rsidP="000A54B1">
      <w:pPr>
        <w:pStyle w:val="Heading1"/>
      </w:pPr>
      <w:r>
        <w:t>2</w:t>
      </w:r>
      <w:r>
        <w:t>. Methods for Figure 4</w:t>
      </w:r>
    </w:p>
    <w:p w14:paraId="6B8253F3" w14:textId="77777777" w:rsidR="000A54B1" w:rsidRDefault="000A54B1" w:rsidP="000A54B1">
      <w:pPr>
        <w:rPr>
          <w:lang w:val="en-US"/>
        </w:rPr>
      </w:pPr>
      <w:r>
        <w:rPr>
          <w:lang w:val="en-US"/>
        </w:rPr>
        <w:t xml:space="preserve">Data for figure 4a are from </w:t>
      </w:r>
      <w:r>
        <w:rPr>
          <w:lang w:val="en-US"/>
        </w:rPr>
        <w:fldChar w:fldCharType="begin"/>
      </w:r>
      <w:r>
        <w:rPr>
          <w:lang w:val="en-US"/>
        </w:rPr>
        <w:instrText xml:space="preserve"> ADDIN ZOTERO_ITEM CSL_CITATION {"citationID":"pa5TYiQI","properties":{"formattedCitation":"[1]","plainCitation":"[1]","noteIndex":0},"citationItems":[{"id":43104,"uris":["http://zotero.org/users/9771363/items/V3Z6ZIKM"],"itemData":{"id":43104,"type":"article-journal","abstract":"Present estimates suggest there are over 1 million virus species found in mammals alone, with about half a million posing a possible threat to human health. Although previous estimates assume linear scaling between host and virus diversity, we show that ecological network theory predicts a non-linear relationship, produced by patterns of host sharing among virus species. To account for host sharing, we fit a power law scaling relationship for host–virus species interaction networks. We estimate that there are about 40,000 virus species in mammals (including ~10,000 viruses with zoonotic potential), a reduction of two orders of magnitude from present projections of viral diversity. We expect that the increasing availability of host–virus association data will improve the precision of these estimates and their use in the sampling and surveillance of pathogens with pandemic potential. We suggest host sharing should be more widely included in macroecological approaches to estimating biodiversity.","container-title":"Nature Ecology &amp; Evolution","DOI":"10.1038/s41559-019-0910-6","ISSN":"2397-334X","issue":"7","journalAbbreviation":"Nat Ecol Evol","language":"en","license":"2019 The Author(s), under exclusive licence to Springer Nature Limited","note":"number: 7\npublisher: Nature Publishing Group","page":"1070-1075","source":"www-nature-com.ezp.sub.su.se","title":"Global estimates of mammalian viral diversity accounting for host sharing","volume":"3","author":[{"family":"Carlson","given":"Colin J."},{"family":"Zipfel","given":"Casey M."},{"family":"Garnier","given":"Romain"},{"family":"Bansal","given":"Shweta"}],"issued":{"date-parts":[["2019",7]]},"citation-key":"carlsonGlobalEstimatesMammalian2019"}}],"schema":"https://github.com/citation-style-language/schema/raw/master/csl-citation.json"} </w:instrText>
      </w:r>
      <w:r>
        <w:rPr>
          <w:lang w:val="en-US"/>
        </w:rPr>
        <w:fldChar w:fldCharType="separate"/>
      </w:r>
      <w:r w:rsidRPr="005620D3">
        <w:rPr>
          <w:rFonts w:ascii="Calibri" w:hAnsi="Calibri" w:cs="Calibri"/>
          <w:lang w:val="en-GB"/>
        </w:rPr>
        <w:t>[1]</w:t>
      </w:r>
      <w:r>
        <w:rPr>
          <w:lang w:val="en-US"/>
        </w:rPr>
        <w:fldChar w:fldCharType="end"/>
      </w:r>
      <w:r>
        <w:rPr>
          <w:lang w:val="en-US"/>
        </w:rPr>
        <w:t xml:space="preserve"> and the Emerging Infectious Disease Repository (EIDR) and World Animal Health Information System (WAHIS). Figure 4b includes data on kingdom and phylum for a subset of 2885 of 3237 potential Emerging Pests and Pathogens in crop agriculture included in the Arthropod Resistance Database (ARDB, n=617), European Plant Protection Organization (EPPO, n=2646) and the Fungicide Resistance Action Committee (FRAC, n=287). Figure 4c includes data from </w:t>
      </w:r>
      <w:proofErr w:type="gramStart"/>
      <w:r>
        <w:rPr>
          <w:lang w:val="en-US"/>
        </w:rPr>
        <w:t>aforementioned databases</w:t>
      </w:r>
      <w:proofErr w:type="gramEnd"/>
      <w:r>
        <w:rPr>
          <w:lang w:val="en-US"/>
        </w:rPr>
        <w:t xml:space="preserve"> as well as The International Herbicide Resistance Database (IHRD). Figure 4d shows the main emergence types monitored by the listed databases. These are based on descriptions </w:t>
      </w:r>
    </w:p>
    <w:p w14:paraId="3C3FF50C" w14:textId="77777777" w:rsidR="000A54B1" w:rsidRDefault="000A54B1" w:rsidP="008A0A0E">
      <w:pPr>
        <w:rPr>
          <w:lang w:val="en-US"/>
        </w:rPr>
      </w:pPr>
    </w:p>
    <w:p w14:paraId="4D1DAA67" w14:textId="77777777" w:rsidR="0023493A" w:rsidRDefault="0023493A">
      <w:pPr>
        <w:rPr>
          <w:lang w:val="en-US"/>
        </w:rPr>
      </w:pPr>
      <w:r>
        <w:rPr>
          <w:lang w:val="en-US"/>
        </w:rPr>
        <w:br w:type="page"/>
      </w:r>
    </w:p>
    <w:p w14:paraId="77B06A71" w14:textId="77777777" w:rsidR="0023493A" w:rsidRDefault="0023493A">
      <w:pPr>
        <w:rPr>
          <w:rStyle w:val="Strong"/>
          <w:rFonts w:cstheme="minorHAnsi"/>
          <w:color w:val="000000"/>
          <w:shd w:val="clear" w:color="auto" w:fill="FFFFFF"/>
          <w:lang w:val="en-GB"/>
        </w:rPr>
        <w:sectPr w:rsidR="0023493A" w:rsidSect="005F4604">
          <w:footerReference w:type="default" r:id="rId8"/>
          <w:pgSz w:w="11906" w:h="16838"/>
          <w:pgMar w:top="1440" w:right="1440" w:bottom="1440" w:left="1440" w:header="708" w:footer="708" w:gutter="0"/>
          <w:cols w:space="708"/>
          <w:docGrid w:linePitch="360"/>
        </w:sectPr>
      </w:pPr>
    </w:p>
    <w:p w14:paraId="4B9C4011" w14:textId="239E145E" w:rsidR="004102AE" w:rsidRPr="003F58D4" w:rsidRDefault="002B679D">
      <w:pPr>
        <w:rPr>
          <w:rStyle w:val="Strong"/>
          <w:rFonts w:cstheme="minorHAnsi"/>
          <w:b w:val="0"/>
          <w:bCs w:val="0"/>
          <w:color w:val="000000"/>
          <w:shd w:val="clear" w:color="auto" w:fill="FFFFFF"/>
          <w:lang w:val="en-GB"/>
        </w:rPr>
      </w:pPr>
      <w:r w:rsidRPr="003F58D4">
        <w:rPr>
          <w:rStyle w:val="Strong"/>
          <w:rFonts w:cstheme="minorHAnsi"/>
          <w:color w:val="000000"/>
          <w:shd w:val="clear" w:color="auto" w:fill="FFFFFF"/>
          <w:lang w:val="en-GB"/>
        </w:rPr>
        <w:lastRenderedPageBreak/>
        <w:t xml:space="preserve">Table S1. Examples of drivers and cascading </w:t>
      </w:r>
      <w:r w:rsidR="009A6EF2" w:rsidRPr="003F58D4">
        <w:rPr>
          <w:rStyle w:val="Strong"/>
          <w:rFonts w:cstheme="minorHAnsi"/>
          <w:color w:val="000000"/>
          <w:shd w:val="clear" w:color="auto" w:fill="FFFFFF"/>
          <w:lang w:val="en-GB"/>
        </w:rPr>
        <w:t xml:space="preserve">impacts of EPPs in the past 30 years. </w:t>
      </w:r>
      <w:r w:rsidR="009A6EF2" w:rsidRPr="003F58D4">
        <w:rPr>
          <w:rStyle w:val="Strong"/>
          <w:rFonts w:cstheme="minorHAnsi"/>
          <w:b w:val="0"/>
          <w:bCs w:val="0"/>
          <w:color w:val="000000"/>
          <w:shd w:val="clear" w:color="auto" w:fill="FFFFFF"/>
          <w:lang w:val="en-GB"/>
        </w:rPr>
        <w:t>The table species the</w:t>
      </w:r>
      <w:r w:rsidR="009A6EF2" w:rsidRPr="003F58D4">
        <w:rPr>
          <w:rStyle w:val="Strong"/>
          <w:rFonts w:cstheme="minorHAnsi"/>
          <w:color w:val="000000"/>
          <w:shd w:val="clear" w:color="auto" w:fill="FFFFFF"/>
          <w:lang w:val="en-GB"/>
        </w:rPr>
        <w:t xml:space="preserve"> </w:t>
      </w:r>
      <w:r w:rsidR="009A6EF2" w:rsidRPr="003F58D4">
        <w:rPr>
          <w:rStyle w:val="Strong"/>
          <w:rFonts w:cstheme="minorHAnsi"/>
          <w:b w:val="0"/>
          <w:bCs w:val="0"/>
          <w:color w:val="000000"/>
          <w:shd w:val="clear" w:color="auto" w:fill="FFFFFF"/>
          <w:lang w:val="en-GB"/>
        </w:rPr>
        <w:t>n</w:t>
      </w:r>
      <w:r w:rsidRPr="003F58D4">
        <w:rPr>
          <w:rStyle w:val="Strong"/>
          <w:rFonts w:cstheme="minorHAnsi"/>
          <w:b w:val="0"/>
          <w:bCs w:val="0"/>
          <w:color w:val="000000"/>
          <w:shd w:val="clear" w:color="auto" w:fill="FFFFFF"/>
          <w:lang w:val="en-GB"/>
        </w:rPr>
        <w:t xml:space="preserve">ame of </w:t>
      </w:r>
      <w:r w:rsidR="009A6EF2" w:rsidRPr="003F58D4">
        <w:rPr>
          <w:rStyle w:val="Strong"/>
          <w:rFonts w:cstheme="minorHAnsi"/>
          <w:b w:val="0"/>
          <w:bCs w:val="0"/>
          <w:color w:val="000000"/>
          <w:shd w:val="clear" w:color="auto" w:fill="FFFFFF"/>
          <w:lang w:val="en-GB"/>
        </w:rPr>
        <w:t>the EPP</w:t>
      </w:r>
      <w:r w:rsidRPr="003F58D4">
        <w:rPr>
          <w:rStyle w:val="Strong"/>
          <w:rFonts w:cstheme="minorHAnsi"/>
          <w:b w:val="0"/>
          <w:bCs w:val="0"/>
          <w:color w:val="000000"/>
          <w:shd w:val="clear" w:color="auto" w:fill="FFFFFF"/>
          <w:lang w:val="en-GB"/>
        </w:rPr>
        <w:t xml:space="preserve">, </w:t>
      </w:r>
      <w:r w:rsidR="009A6EF2" w:rsidRPr="003F58D4">
        <w:rPr>
          <w:rStyle w:val="Strong"/>
          <w:rFonts w:cstheme="minorHAnsi"/>
          <w:b w:val="0"/>
          <w:bCs w:val="0"/>
          <w:color w:val="000000"/>
          <w:shd w:val="clear" w:color="auto" w:fill="FFFFFF"/>
          <w:lang w:val="en-GB"/>
        </w:rPr>
        <w:t xml:space="preserve">the </w:t>
      </w:r>
      <w:r w:rsidRPr="003F58D4">
        <w:rPr>
          <w:rStyle w:val="Strong"/>
          <w:rFonts w:cstheme="minorHAnsi"/>
          <w:b w:val="0"/>
          <w:bCs w:val="0"/>
          <w:color w:val="000000"/>
          <w:shd w:val="clear" w:color="auto" w:fill="FFFFFF"/>
          <w:lang w:val="en-GB"/>
        </w:rPr>
        <w:t xml:space="preserve">description of </w:t>
      </w:r>
      <w:r w:rsidR="009A6EF2" w:rsidRPr="003F58D4">
        <w:rPr>
          <w:rStyle w:val="Strong"/>
          <w:rFonts w:cstheme="minorHAnsi"/>
          <w:b w:val="0"/>
          <w:bCs w:val="0"/>
          <w:color w:val="000000"/>
          <w:shd w:val="clear" w:color="auto" w:fill="FFFFFF"/>
          <w:lang w:val="en-GB"/>
        </w:rPr>
        <w:t xml:space="preserve">its </w:t>
      </w:r>
      <w:r w:rsidRPr="003F58D4">
        <w:rPr>
          <w:rStyle w:val="Strong"/>
          <w:rFonts w:cstheme="minorHAnsi"/>
          <w:b w:val="0"/>
          <w:bCs w:val="0"/>
          <w:color w:val="000000"/>
          <w:shd w:val="clear" w:color="auto" w:fill="FFFFFF"/>
          <w:lang w:val="en-GB"/>
        </w:rPr>
        <w:t>emergence and region</w:t>
      </w:r>
      <w:r w:rsidR="009A6EF2" w:rsidRPr="003F58D4">
        <w:rPr>
          <w:rStyle w:val="Strong"/>
          <w:rFonts w:cstheme="minorHAnsi"/>
          <w:b w:val="0"/>
          <w:bCs w:val="0"/>
          <w:color w:val="000000"/>
          <w:shd w:val="clear" w:color="auto" w:fill="FFFFFF"/>
          <w:lang w:val="en-GB"/>
        </w:rPr>
        <w:t>s</w:t>
      </w:r>
      <w:r w:rsidRPr="003F58D4">
        <w:rPr>
          <w:rStyle w:val="Strong"/>
          <w:rFonts w:cstheme="minorHAnsi"/>
          <w:b w:val="0"/>
          <w:bCs w:val="0"/>
          <w:color w:val="000000"/>
          <w:shd w:val="clear" w:color="auto" w:fill="FFFFFF"/>
          <w:lang w:val="en-GB"/>
        </w:rPr>
        <w:t>, drivers and impacts of EPP and references supporting the summaries in the table.</w:t>
      </w:r>
    </w:p>
    <w:tbl>
      <w:tblPr>
        <w:tblStyle w:val="TableGrid"/>
        <w:tblW w:w="13887" w:type="dxa"/>
        <w:tblLayout w:type="fixed"/>
        <w:tblLook w:val="04A0" w:firstRow="1" w:lastRow="0" w:firstColumn="1" w:lastColumn="0" w:noHBand="0" w:noVBand="1"/>
      </w:tblPr>
      <w:tblGrid>
        <w:gridCol w:w="1413"/>
        <w:gridCol w:w="1984"/>
        <w:gridCol w:w="3969"/>
        <w:gridCol w:w="4678"/>
        <w:gridCol w:w="1843"/>
      </w:tblGrid>
      <w:tr w:rsidR="00E346AB" w14:paraId="609B32A8" w14:textId="77777777" w:rsidTr="00511FC5">
        <w:trPr>
          <w:tblHeader/>
        </w:trPr>
        <w:tc>
          <w:tcPr>
            <w:tcW w:w="1413" w:type="dxa"/>
          </w:tcPr>
          <w:p w14:paraId="4452A078" w14:textId="2C7A75F1" w:rsidR="004102AE" w:rsidRPr="000A36E6" w:rsidRDefault="004102AE" w:rsidP="006E334B">
            <w:pPr>
              <w:rPr>
                <w:b/>
                <w:bCs/>
                <w:lang w:val="en-GB"/>
              </w:rPr>
            </w:pPr>
            <w:r w:rsidRPr="000A36E6">
              <w:rPr>
                <w:b/>
                <w:bCs/>
                <w:lang w:val="en-GB"/>
              </w:rPr>
              <w:t>Name</w:t>
            </w:r>
          </w:p>
        </w:tc>
        <w:tc>
          <w:tcPr>
            <w:tcW w:w="1984" w:type="dxa"/>
          </w:tcPr>
          <w:p w14:paraId="30E302B2" w14:textId="0080C676" w:rsidR="004102AE" w:rsidRPr="000A36E6" w:rsidRDefault="004102AE" w:rsidP="006E334B">
            <w:pPr>
              <w:rPr>
                <w:b/>
                <w:bCs/>
                <w:lang w:val="en-GB"/>
              </w:rPr>
            </w:pPr>
            <w:r w:rsidRPr="000A36E6">
              <w:rPr>
                <w:b/>
                <w:bCs/>
                <w:lang w:val="en-GB"/>
              </w:rPr>
              <w:t>Emergence</w:t>
            </w:r>
            <w:r w:rsidR="002B679D">
              <w:rPr>
                <w:b/>
                <w:bCs/>
                <w:lang w:val="en-GB"/>
              </w:rPr>
              <w:t xml:space="preserve"> and </w:t>
            </w:r>
            <w:r w:rsidRPr="000A36E6">
              <w:rPr>
                <w:b/>
                <w:bCs/>
                <w:lang w:val="en-GB"/>
              </w:rPr>
              <w:t>region</w:t>
            </w:r>
          </w:p>
        </w:tc>
        <w:tc>
          <w:tcPr>
            <w:tcW w:w="3969" w:type="dxa"/>
          </w:tcPr>
          <w:p w14:paraId="0FEB3E1C" w14:textId="7E19AB80" w:rsidR="004102AE" w:rsidRPr="000A36E6" w:rsidRDefault="004102AE" w:rsidP="006E334B">
            <w:pPr>
              <w:rPr>
                <w:b/>
                <w:bCs/>
                <w:lang w:val="en-GB"/>
              </w:rPr>
            </w:pPr>
            <w:r w:rsidRPr="000A36E6">
              <w:rPr>
                <w:b/>
                <w:bCs/>
                <w:lang w:val="en-GB"/>
              </w:rPr>
              <w:t>Drivers</w:t>
            </w:r>
          </w:p>
        </w:tc>
        <w:tc>
          <w:tcPr>
            <w:tcW w:w="4678" w:type="dxa"/>
          </w:tcPr>
          <w:p w14:paraId="6E088058" w14:textId="3260F3D6" w:rsidR="004102AE" w:rsidRPr="000A36E6" w:rsidRDefault="004102AE" w:rsidP="006E334B">
            <w:pPr>
              <w:rPr>
                <w:b/>
                <w:bCs/>
                <w:lang w:val="en-GB"/>
              </w:rPr>
            </w:pPr>
            <w:r w:rsidRPr="000A36E6">
              <w:rPr>
                <w:b/>
                <w:bCs/>
                <w:lang w:val="en-GB"/>
              </w:rPr>
              <w:t>Impact</w:t>
            </w:r>
          </w:p>
        </w:tc>
        <w:tc>
          <w:tcPr>
            <w:tcW w:w="1843" w:type="dxa"/>
          </w:tcPr>
          <w:p w14:paraId="4EBA6AAC" w14:textId="57809DD7" w:rsidR="004102AE" w:rsidRPr="000A36E6" w:rsidRDefault="004102AE" w:rsidP="004675E9">
            <w:pPr>
              <w:ind w:left="36" w:right="477"/>
              <w:rPr>
                <w:b/>
                <w:bCs/>
                <w:lang w:val="en-GB"/>
              </w:rPr>
            </w:pPr>
            <w:proofErr w:type="spellStart"/>
            <w:r w:rsidRPr="000A36E6">
              <w:rPr>
                <w:b/>
                <w:bCs/>
                <w:lang w:val="en-GB"/>
              </w:rPr>
              <w:t>Ref</w:t>
            </w:r>
            <w:r w:rsidR="002B679D">
              <w:rPr>
                <w:b/>
                <w:bCs/>
                <w:lang w:val="en-GB"/>
              </w:rPr>
              <w:t>e</w:t>
            </w:r>
            <w:r w:rsidR="002B679D">
              <w:rPr>
                <w:b/>
                <w:bCs/>
              </w:rPr>
              <w:t>rences</w:t>
            </w:r>
            <w:proofErr w:type="spellEnd"/>
          </w:p>
        </w:tc>
      </w:tr>
      <w:tr w:rsidR="00E346AB" w:rsidRPr="000A54B1" w14:paraId="7B724AB5" w14:textId="77777777" w:rsidTr="00511FC5">
        <w:tc>
          <w:tcPr>
            <w:tcW w:w="1413" w:type="dxa"/>
          </w:tcPr>
          <w:p w14:paraId="408C8D37" w14:textId="466A1679" w:rsidR="002E785F" w:rsidRDefault="002E785F" w:rsidP="006E334B">
            <w:pPr>
              <w:rPr>
                <w:lang w:val="en-GB"/>
              </w:rPr>
            </w:pPr>
            <w:r>
              <w:rPr>
                <w:lang w:val="en-GB"/>
              </w:rPr>
              <w:t>HIV</w:t>
            </w:r>
            <w:r w:rsidR="00A31825">
              <w:rPr>
                <w:lang w:val="en-GB"/>
              </w:rPr>
              <w:t>-1M strai</w:t>
            </w:r>
            <w:r w:rsidR="002B679D">
              <w:rPr>
                <w:lang w:val="en-GB"/>
              </w:rPr>
              <w:t>n</w:t>
            </w:r>
          </w:p>
        </w:tc>
        <w:tc>
          <w:tcPr>
            <w:tcW w:w="1984" w:type="dxa"/>
          </w:tcPr>
          <w:p w14:paraId="1DC5A72B" w14:textId="0F1E58E7" w:rsidR="00EC608A" w:rsidRDefault="00EC608A" w:rsidP="006E334B">
            <w:pPr>
              <w:rPr>
                <w:lang w:val="en-GB"/>
              </w:rPr>
            </w:pPr>
            <w:r>
              <w:rPr>
                <w:lang w:val="en-GB"/>
              </w:rPr>
              <w:t>Ongoing pandemic;</w:t>
            </w:r>
          </w:p>
          <w:p w14:paraId="6B125670" w14:textId="665BCB14" w:rsidR="002E785F" w:rsidRDefault="00EC608A" w:rsidP="006E334B">
            <w:pPr>
              <w:rPr>
                <w:lang w:val="en-GB"/>
              </w:rPr>
            </w:pPr>
            <w:r>
              <w:rPr>
                <w:lang w:val="en-GB"/>
              </w:rPr>
              <w:t xml:space="preserve">emergence in DR </w:t>
            </w:r>
            <w:r w:rsidR="002E785F">
              <w:rPr>
                <w:lang w:val="en-GB"/>
              </w:rPr>
              <w:t>Congo</w:t>
            </w:r>
            <w:r>
              <w:rPr>
                <w:lang w:val="en-GB"/>
              </w:rPr>
              <w:t xml:space="preserve"> in</w:t>
            </w:r>
            <w:r w:rsidR="00A31825">
              <w:rPr>
                <w:lang w:val="en-GB"/>
              </w:rPr>
              <w:t xml:space="preserve"> early 20</w:t>
            </w:r>
            <w:r w:rsidR="00A31825" w:rsidRPr="00A31825">
              <w:rPr>
                <w:vertAlign w:val="superscript"/>
                <w:lang w:val="en-GB"/>
              </w:rPr>
              <w:t>th</w:t>
            </w:r>
            <w:r w:rsidR="00A31825">
              <w:rPr>
                <w:lang w:val="en-GB"/>
              </w:rPr>
              <w:t xml:space="preserve"> century</w:t>
            </w:r>
            <w:r w:rsidR="007B6503">
              <w:rPr>
                <w:lang w:val="en-GB"/>
              </w:rPr>
              <w:t xml:space="preserve"> and subsequent global spread.</w:t>
            </w:r>
          </w:p>
        </w:tc>
        <w:tc>
          <w:tcPr>
            <w:tcW w:w="3969" w:type="dxa"/>
          </w:tcPr>
          <w:p w14:paraId="398AF043" w14:textId="0D2AF30C" w:rsidR="002E785F" w:rsidRPr="006E2F1C" w:rsidRDefault="00EE219D" w:rsidP="006E334B">
            <w:pPr>
              <w:rPr>
                <w:lang w:val="en-US"/>
              </w:rPr>
            </w:pPr>
            <w:r>
              <w:rPr>
                <w:lang w:val="en-US"/>
              </w:rPr>
              <w:t>Urbanization associated with colonialism in the early 20</w:t>
            </w:r>
            <w:r w:rsidRPr="00EE219D">
              <w:rPr>
                <w:vertAlign w:val="superscript"/>
                <w:lang w:val="en-US"/>
              </w:rPr>
              <w:t>th</w:t>
            </w:r>
            <w:r>
              <w:rPr>
                <w:lang w:val="en-US"/>
              </w:rPr>
              <w:t xml:space="preserve"> century is thought to have </w:t>
            </w:r>
            <w:r w:rsidR="006E2F1C">
              <w:rPr>
                <w:lang w:val="en-US"/>
              </w:rPr>
              <w:t xml:space="preserve">created population densities under which SIV infections – </w:t>
            </w:r>
            <w:proofErr w:type="gramStart"/>
            <w:r w:rsidR="006E2F1C">
              <w:rPr>
                <w:lang w:val="en-US"/>
              </w:rPr>
              <w:t>e.g.</w:t>
            </w:r>
            <w:proofErr w:type="gramEnd"/>
            <w:r w:rsidR="006E2F1C">
              <w:rPr>
                <w:lang w:val="en-US"/>
              </w:rPr>
              <w:t xml:space="preserve"> from bushmeat hunting - could adapt to human populations. During the 20</w:t>
            </w:r>
            <w:r w:rsidR="006E2F1C" w:rsidRPr="006E2F1C">
              <w:rPr>
                <w:vertAlign w:val="superscript"/>
                <w:lang w:val="en-US"/>
              </w:rPr>
              <w:t>th</w:t>
            </w:r>
            <w:r w:rsidR="006E2F1C">
              <w:rPr>
                <w:lang w:val="en-US"/>
              </w:rPr>
              <w:t xml:space="preserve"> century, change in sexual </w:t>
            </w:r>
            <w:proofErr w:type="spellStart"/>
            <w:r w:rsidR="006E2F1C">
              <w:rPr>
                <w:lang w:val="en-US"/>
              </w:rPr>
              <w:t>behaviour</w:t>
            </w:r>
            <w:proofErr w:type="spellEnd"/>
            <w:r w:rsidR="006E2F1C">
              <w:rPr>
                <w:lang w:val="en-US"/>
              </w:rPr>
              <w:t>, unsterile injections and genital ulcers have all been proposed to have aided this process. Later, the stigma of HIV/AIDS and gender inequalities in societies have all contributed as drivers</w:t>
            </w:r>
            <w:r w:rsidR="002A0E19">
              <w:rPr>
                <w:lang w:val="en-US"/>
              </w:rPr>
              <w:t xml:space="preserve"> of</w:t>
            </w:r>
            <w:r w:rsidR="006E2F1C">
              <w:rPr>
                <w:lang w:val="en-US"/>
              </w:rPr>
              <w:t xml:space="preserve"> further spread and impact of HIV.</w:t>
            </w:r>
          </w:p>
        </w:tc>
        <w:tc>
          <w:tcPr>
            <w:tcW w:w="4678" w:type="dxa"/>
          </w:tcPr>
          <w:p w14:paraId="14436A5B" w14:textId="60253127" w:rsidR="006E2F1C" w:rsidRDefault="006E2F1C" w:rsidP="006E334B">
            <w:pPr>
              <w:rPr>
                <w:lang w:val="en-US"/>
              </w:rPr>
            </w:pPr>
            <w:r>
              <w:rPr>
                <w:lang w:val="en-US"/>
              </w:rPr>
              <w:t>The mortality of HIV ha</w:t>
            </w:r>
            <w:r w:rsidR="00CF6BEA">
              <w:rPr>
                <w:lang w:val="en-US"/>
              </w:rPr>
              <w:t>s</w:t>
            </w:r>
            <w:r>
              <w:rPr>
                <w:lang w:val="en-US"/>
              </w:rPr>
              <w:t xml:space="preserve"> changed demographic</w:t>
            </w:r>
            <w:r w:rsidR="00CF6BEA">
              <w:rPr>
                <w:lang w:val="en-US"/>
              </w:rPr>
              <w:t xml:space="preserve"> composition of households and nationwide in several countries</w:t>
            </w:r>
            <w:r w:rsidR="00B146F0">
              <w:rPr>
                <w:lang w:val="en-US"/>
              </w:rPr>
              <w:t>, including larger number of female heads of households</w:t>
            </w:r>
            <w:r w:rsidR="009979D0">
              <w:rPr>
                <w:lang w:val="en-US"/>
              </w:rPr>
              <w:t xml:space="preserve"> and a large population of orphaned children and adolescents</w:t>
            </w:r>
            <w:r w:rsidR="00CF6BEA">
              <w:rPr>
                <w:lang w:val="en-US"/>
              </w:rPr>
              <w:t>.</w:t>
            </w:r>
          </w:p>
          <w:p w14:paraId="752A828D" w14:textId="7ADF4FBC" w:rsidR="00B146F0" w:rsidRDefault="00B146F0" w:rsidP="006E334B">
            <w:pPr>
              <w:rPr>
                <w:lang w:val="en-US"/>
              </w:rPr>
            </w:pPr>
          </w:p>
          <w:p w14:paraId="6402E172" w14:textId="07D02CED" w:rsidR="00B146F0" w:rsidRDefault="00B146F0" w:rsidP="006E334B">
            <w:pPr>
              <w:rPr>
                <w:lang w:val="en-US"/>
              </w:rPr>
            </w:pPr>
            <w:r>
              <w:rPr>
                <w:lang w:val="en-US"/>
              </w:rPr>
              <w:t>Local demographic impacts of HIV have often resulted in unsustainable local natural resource use, such as extraction from protected areas.</w:t>
            </w:r>
          </w:p>
          <w:p w14:paraId="182F31A7" w14:textId="65908139" w:rsidR="008B6DA5" w:rsidRDefault="008B6DA5" w:rsidP="006E334B">
            <w:pPr>
              <w:rPr>
                <w:lang w:val="en-US"/>
              </w:rPr>
            </w:pPr>
          </w:p>
          <w:p w14:paraId="73BA5254" w14:textId="701F0772" w:rsidR="008B6DA5" w:rsidRDefault="008B6DA5" w:rsidP="006E334B">
            <w:pPr>
              <w:rPr>
                <w:lang w:val="en-US"/>
              </w:rPr>
            </w:pPr>
            <w:r>
              <w:rPr>
                <w:lang w:val="en-US"/>
              </w:rPr>
              <w:t xml:space="preserve">Changes in </w:t>
            </w:r>
            <w:r w:rsidR="00C84D65">
              <w:rPr>
                <w:lang w:val="en-US"/>
              </w:rPr>
              <w:t xml:space="preserve">sexual </w:t>
            </w:r>
            <w:proofErr w:type="spellStart"/>
            <w:r w:rsidR="00C84D65">
              <w:rPr>
                <w:lang w:val="en-US"/>
              </w:rPr>
              <w:t>behaviour</w:t>
            </w:r>
            <w:proofErr w:type="spellEnd"/>
            <w:r w:rsidR="00C84D65">
              <w:rPr>
                <w:lang w:val="en-US"/>
              </w:rPr>
              <w:t>, including increasing global</w:t>
            </w:r>
            <w:r w:rsidR="0082163A">
              <w:rPr>
                <w:lang w:val="en-US"/>
              </w:rPr>
              <w:t xml:space="preserve"> promotion and</w:t>
            </w:r>
            <w:r w:rsidR="00C84D65">
              <w:rPr>
                <w:lang w:val="en-US"/>
              </w:rPr>
              <w:t xml:space="preserve"> use of condoms.</w:t>
            </w:r>
          </w:p>
          <w:p w14:paraId="70ECEAF7" w14:textId="77777777" w:rsidR="008B6DA5" w:rsidRDefault="008B6DA5" w:rsidP="006E334B">
            <w:pPr>
              <w:rPr>
                <w:lang w:val="en-US"/>
              </w:rPr>
            </w:pPr>
          </w:p>
          <w:p w14:paraId="699218E0" w14:textId="09B05284" w:rsidR="00CF6BEA" w:rsidRDefault="004A7CF3" w:rsidP="006E334B">
            <w:pPr>
              <w:rPr>
                <w:lang w:val="en-US"/>
              </w:rPr>
            </w:pPr>
            <w:r>
              <w:rPr>
                <w:lang w:val="en-US"/>
              </w:rPr>
              <w:t xml:space="preserve">Depending on country and time, </w:t>
            </w:r>
            <w:r w:rsidR="00CF6BEA">
              <w:rPr>
                <w:lang w:val="en-US"/>
              </w:rPr>
              <w:t xml:space="preserve">HIV has </w:t>
            </w:r>
            <w:r>
              <w:rPr>
                <w:lang w:val="en-US"/>
              </w:rPr>
              <w:t>l</w:t>
            </w:r>
            <w:r w:rsidR="00CF6BEA">
              <w:rPr>
                <w:lang w:val="en-US"/>
              </w:rPr>
              <w:t>ed to</w:t>
            </w:r>
            <w:r>
              <w:rPr>
                <w:lang w:val="en-US"/>
              </w:rPr>
              <w:t xml:space="preserve"> both</w:t>
            </w:r>
            <w:r w:rsidR="00CF6BEA">
              <w:rPr>
                <w:lang w:val="en-US"/>
              </w:rPr>
              <w:t xml:space="preserve"> further stigmatization and to </w:t>
            </w:r>
            <w:r>
              <w:rPr>
                <w:lang w:val="en-US"/>
              </w:rPr>
              <w:t>increased integration of homosexuals, women, and sex workers by increasing</w:t>
            </w:r>
            <w:r w:rsidR="0082163A">
              <w:rPr>
                <w:lang w:val="en-US"/>
              </w:rPr>
              <w:t xml:space="preserve"> or reducing</w:t>
            </w:r>
            <w:r>
              <w:rPr>
                <w:lang w:val="en-US"/>
              </w:rPr>
              <w:t xml:space="preserve"> their rights in society.</w:t>
            </w:r>
          </w:p>
          <w:p w14:paraId="0DDEDE40" w14:textId="3A01087B" w:rsidR="008B6DA5" w:rsidRDefault="008B6DA5" w:rsidP="006E334B">
            <w:pPr>
              <w:rPr>
                <w:lang w:val="en-US"/>
              </w:rPr>
            </w:pPr>
          </w:p>
          <w:p w14:paraId="223011A2" w14:textId="532D8D49" w:rsidR="002E785F" w:rsidRPr="008B6DA5" w:rsidRDefault="002E785F" w:rsidP="008B6DA5">
            <w:pPr>
              <w:rPr>
                <w:lang w:val="en-US"/>
              </w:rPr>
            </w:pPr>
          </w:p>
        </w:tc>
        <w:tc>
          <w:tcPr>
            <w:tcW w:w="1843" w:type="dxa"/>
          </w:tcPr>
          <w:p w14:paraId="29213EC8" w14:textId="6AC46A66" w:rsidR="009F122C" w:rsidRDefault="00E32236" w:rsidP="0008408A">
            <w:pPr>
              <w:ind w:left="36" w:right="477"/>
              <w:rPr>
                <w:lang w:val="en-GB"/>
              </w:rPr>
            </w:pPr>
            <w:r>
              <w:rPr>
                <w:lang w:val="en-GB"/>
              </w:rPr>
              <w:fldChar w:fldCharType="begin"/>
            </w:r>
            <w:r w:rsidR="005620D3">
              <w:rPr>
                <w:lang w:val="en-GB"/>
              </w:rPr>
              <w:instrText xml:space="preserve"> ADDIN ZOTERO_ITEM CSL_CITATION {"citationID":"UNTygQEZ","properties":{"formattedCitation":"[2\\uc0\\u8211{}13]","plainCitation":"[2–13]","noteIndex":0},"citationItems":[{"id":38088,"uris":["http://zotero.org/users/9771363/items/PBE6YCQJ"],"itemData":{"id":38088,"type":"article-journal","abstract":"Despite a history of championing HIV/AIDS as a human rights issue, and a rhetorical commitment to health as a human right, European states and institutions have shifted from a rights-based response to a risk management approach to HIV/AIDS since the economic recession of 2008. An interdisciplinary perspective is applied to analyze health policy changes at the national, regional, and global levels by drawing on data from key informant interviews, and institutional and civil society documents. It is demonstrated that, in the context of austerity measures, member states such as the UK and Greece reduced commitments to rights associated with HIV/AIDS; at the regional level, the EU failed to develop rights-based approaches to address the vulnerabilities and health care needs of key populations affected by HIV/AIDS, particularly migrants and sex workers; and at the global level, the EU backtracked on commitments to global health and is prioritizing the intellectual property rights of pharmaceutical companies over the human rights of people living with HIV/AIDS. The focus within and from the EU is on containment, efficiency, and cost reduction. The rights of those most affected are no longer prioritized.","container-title":"Health and Human Rights","ISSN":"10790969","issue":"2","note":"PMID: 28559682","page":"145-156","title":"Europe’s shifting response to HIV/AIDS: From human rights to risk management","volume":"18","author":[{"family":"Smith","given":"Julia"}],"issued":{"date-parts":[["2016"]]},"citation-key":"smithEuropeShiftingResponse2016"}},{"id":37478,"uris":["http://zotero.org/users/9771363/items/RXGV88H3"],"itemData":{"id":37478,"type":"article-journal","abstract":"This article reviews 22 studies that test a variety of interventions to decrease AIDS stigma in developed and developing countries. This article assesses published studies that met stringent evaluation criteria in order to draw lessons for future development of interventions to combat stigma. The target group, setting, type of intervention, measures, and scale of these studies varied tremendously. The majority (14) of the studies aimed to increase tolerance of persons living with HIV/AIDS (PLHA) among the general population. The remaining studies tested interventions to increase willingness to treat PLHA among health care providers or improve coping strategies for dealing with AIDS stigma among PLHA or at-risk groups. Results suggest some stigma reduction interventions appear to work, at least on a small scale and in the short term, but many gaps remain especially in relation to scale and duration of impact and in terms of gendered impact of stigma reduction interventions.","container-title":"AIDS Education and Prevention","DOI":"10.1521/aeap.15.1.49.23844","ISSN":"08999546","issue":"1","note":"PMID: 12627743\nCitation Key: Brown2003","page":"49-69","title":"Interventions to reduce HIV/AIDS stigma: What have we learned?","volume":"15","author":[{"family":"Brown","given":"Lisanne"},{"family":"Macintyre","given":"Kate"},{"family":"Trujillo","given":"Lea"}],"issued":{"date-parts":[["2003"]]},"citation-key":"Brown2003"}},{"id":41555,"uris":["http://zotero.org/users/9771363/items/H3ZV9YKW"],"itemData":{"id":41555,"type":"article-journal","abstract":"Background\nHIV is contracted most frequently at birth and during early adulthood. The epidemic may thus impact the demographic structure and the household structure of affected populations.\n\nMethods\nThis paper reviews earlier evidence of such an impact, uses demographic theory to anticipate its changes over time, and reviews the most recent evidence for indications of these changes.\n\nResults\nModest increases in the male : female ratio are beginning to show within certain age groups only (approximately 15% among 25–34 year olds). Similarly sized increases in the proportion of 15–29 year olds relative to 30–54 year olds are observed in some age pyramids. These ‘youth bulges’ are expected to fade out, whereas an aging effect phases in with the fertility impact of the epidemic. In the longer run, the size of all age groups will be reduced, but relatively less so for middle-aged adults. Proportions of orphans and widows have increased in the most affected countries. Fewer remarriage probabilities for widows were observed. Resulting increases in the proportion of female-headed households should only be temporary, as female mortality is catching up with male mortality. The number of double orphans is beginning to increase, but overall, orphans continue to live predominantly with a family member, most often the grandparents if not with the surviving parent.\n\nConclusion\nTo date, the epidemic’s impact on the population and household structure has been limited by demographic (aging) and social (adaptive movements of kin across households) processes that contribute to diffuse the epidemic throughout the entire population and all households.","container-title":"AIDS (London, England)","ISSN":"0269-9370","issue":"0 2","journalAbbreviation":"AIDS","note":"PMID: 15319743\nPMCID: PMC3929185","page":"S45-S53","source":"PubMed Central","title":"Impact of the HIV epidemic on population and household structure: the dynamics and evidence to date","title-short":"Impact of the HIV epidemic on population and household structure","volume":"18","author":[{"family":"Heuveline","given":"Patrick"}],"issued":{"date-parts":[["2004",6]]},"citation-key":"heuvelineImpactHIVEpidemic2004"}},{"id":41407,"uris":["http://zotero.org/users/9771363/items/BY9N78T2"],"itemData":{"id":41407,"type":"article-journal","abstract":"Background In Uganda, the HIV epidemic is now mature and generalized. Recently, there have been reports of resurgence in the incidence of HIV after several years of successful control. The causes for this resurgence are not clear but suspected to be driven by structural factors that influence large groups of people rather than individuals. The aim of this study was to describe the structural drivers of the HIV epidemic in high prevalence regions and inform the next generation of interventions. Methodology We conducted a total of 35 focus group discussions in 11 districts in Uganda. Due to their high HIV prevalence, the districts had been selected to implement a donor supported program to scale up HIV prevention, care and treatment. Focus groups consisted of men and women including opinion leaders, civil servants including teachers, police officers, religious, political leaders, shop keepers, local residents and other ordinary persons from all walks of life. The qualitative data were transcribed and analyzed manually. Texts were coded using a coding scheme which was prepared ahead of time but emerging themes and codes were also allowed. Results Our data indicated there is persistence of several structural drivers and factors for HIV in rural Uganda. The structural drivers of HIV were divided into three categories: Gender issues, socio-cultural, and economic drivers. The specific drivers included several gender issues, stigma surrounding illness, traditional medical practices, urbanization, alcohol and substance abuse and poverty. New drivers arising from urbanization, easy access to mobile phone, internet and technological advancement have emerged. These drivers are intertwined within an existing culture, lifestyle and the mixture is influenced by modernization. Conclusion The traditional structural drivers of HIV have persisted since the emergence of the HIV epidemic in Uganda and new ones have emerged. All these drivers may require combined structural interventions that are culturally and locally adapted in order to tackle the resurgence in incidence of HIV in Uganda.","container-title":"PLOS ONE","DOI":"10.1371/journal.pone.0211084","ISSN":"1932-6203","issue":"11","journalAbbreviation":"PLOS ONE","language":"en","note":"publisher: Public Library of Science","page":"e0211084","source":"PLoS Journals","title":"Persistence of traditional and emergence of new structural drivers and factors for the HIV epidemic in rural Uganda; A qualitative study","volume":"14","author":[{"family":"Bajunirwe","given":"Francis"},{"family":"Akakimpa","given":"Denis"},{"family":"Tumwebaze","given":"Flora P."},{"family":"Abongomera","given":"George"},{"family":"Mugyenyi","given":"Peter N."},{"family":"Kityo","given":"Cissy M."}],"issued":{"date-parts":[["2019",11,6]]},"citation-key":"bajunirwePersistenceTraditionalEmergence2019"}},{"id":16928,"uris":["http://zotero.org/users/9771363/items/EF6HIVFZ"],"itemData":{"id":16928,"type":"article-journal","container-title":"Science","DOI":"10.1126/science.1256739","ISSN":"0036-8075","issue":"6205","page":"56-61","title":"The early spread and epidemic ignition of HIV-1 in human populations","volume":"346","author":[{"family":"Faria","given":"N. R."},{"family":"Rambaut","given":"a."},{"family":"Suchard","given":"M.","dropping-particle":"a."},{"family":"Baele","given":"G."},{"family":"Bedford","given":"T."},{"family":"Ward","given":"M. J."},{"family":"Tatem","given":"a. J."},{"family":"Sousa","given":"J. D."},{"family":"Arinaminpathy","given":"N."},{"family":"Pepin","given":"J."},{"family":"Posada","given":"D."},{"family":"Peeters","given":"M."},{"family":"Pybus","given":"O. G."},{"family":"Lemey","given":"P."}],"issued":{"date-parts":[["2014",10,2]]},"citation-key":"fariaEarlySpreadEpidemic2014a"}},{"id":17486,"uris":["http://zotero.org/users/9771363/items/G4L7MLRD"],"itemData":{"id":17486,"type":"article-journal","abstract":"Antiretroviral therapy (ART) reduces the infectiousness of HIV-infected persons, but only after testing, linkage to care, and successful viral suppression. Thus, a large proportion of HIV transmission during a period of high infectiousness in the first few months after infection (\"early transmission\") is perceived as a threat to the impact of HIV \"treatment-as-prevention\" strategies. We created a mathematical model of a heterosexual HIV epidemic to investigate how the proportion of early transmission affects the impact of ART on reducing HIV incidence. The model includes stages of HIV infection, flexible sexual mixing, and changes in risk behavior over the epidemic. The model was calibrated to HIV prevalence data from South Africa using a Bayesian framework. Immediately after ART was introduced, more early transmission was associated with a smaller reduction in HIV incidence rate-consistent with the concern that a large amount of early transmission reduces the impact of treatment on incidence. However, the proportion of early transmission was not strongly related to the long-term reduction in incidence. This was because more early transmission resulted in a shorter generation time, in which case lower values for the basic reproductive number (R0) are consistent with observed epidemic growth, and R0 was negatively correlated with long-term intervention impact. The fraction of early transmission depends on biological factors, behavioral patterns, and epidemic stage and alone does not predict long-term intervention impacts. However, early transmission may be an important determinant in the outcome of short-term trials and evaluation of programs.","container-title":"Proceedings of the National Academy of Sciences of the United States of America","DOI":"10.1073/pnas.1323007111","ISSN":"1091-6490","issue":"45","note":"PMID: 25313068","page":"16202-7","title":"Why the proportion of transmission during early-stage HIV infection does not predict the long-term impact of treatment on HIV incidence.","volume":"111","author":[{"family":"Eaton","given":"Jeffrey W"},{"family":"Hallett","given":"Timothy B"}],"issued":{"date-parts":[["2014",11,11]]},"citation-key":"eatonWhyProportionTransmission2014"}},{"id":41416,"uris":["http://zotero.org/users/9771363/items/VX2QWAR9"],"itemData":{"id":41416,"type":"article-journal","container-title":"Cold Spring Harbor Perspectives in Medicine","DOI":"10.1101/cshperspect.a006841","ISSN":"2157-1422","issue":"1","journalAbbreviation":"Cold Spring Harbor Perspectives in Medicine","language":"en","page":"a006841-a006841","source":"DOI.org (Crossref)","title":"Origins of HIV and the AIDS Pandemic","volume":"1","author":[{"family":"Sharp","given":"P. M."},{"family":"Hahn","given":"B. H."}],"issued":{"date-parts":[["2011",9,1]]},"citation-key":"sharpOriginsHIVAIDS2011"}},{"id":41423,"uris":["http://zotero.org/users/9771363/items/52NFIXFV"],"itemData":{"id":41423,"type":"article-journal","abstract":"In the absence of direct evidence, an imagined ''cut hunter'' stands in for the index patient of pandemic HIV/AIDS. During the early years of colonial rule, this explanation goes, a hunter was cut or injured from hunting or butchering a chimpanzee infected with simian immunodeficiency virus, resulting in the first sustained human infection with the virus that would emerge as HIV-1M. We argue here that the ''cut hunter'' relies on a historical misunderstanding and ecological oversimplification of human-chimpanzee (Pan Tro-glodytes troglodytes) interactions that facilitated pathogenic transmission. This initial host shift cannot explain the beginnings of the HIV/AIDS pandemic. Instead, we must understand the processes by which the virus became transmissible, possibly between Sangha basin inhabitants and ultimately reached Kinshasa. A historical epidemiology of the late nineteenth and twentieth centuries, provides a much-needed corrective to the major shortcomings of the cut hunter. Based on 62 oral historical interviews conducted in southeastern Cameroon and archival research, we show that HIV emerged from ecological, economic, and socio-political transformations of the late nineteenth and twentieth centuries. The gradual imposition of colonial rule built on and reoriented ecologies and economies, and altered older patterns of mobility and sociality. Certain changes may have contributed to the initial viral host shift, but more importantly, facilitated the adaptation of HIV-1M to human-to-human transmission. Our evidence suggests that the most critical changes occurred after 1920. This argument has important implications for public health policy, underscoring recent work emphasizing alternative pathways for zoonotic spillovers into human beings.","container-title":"EcoHealth","DOI":"10.1007/s10393-016-1189-6","issue":"4","note":"publisher: Springer Verlag","page":"661-671","source":"HAL Archives Ouvertes","title":"Beyond the Cut Hunter: A Historical Epidemiology of HIV Beginnings in Central Africa","title-short":"Beyond the Cut Hunter","volume":"13","author":[{"family":"Rupp","given":"Stephanie"},{"family":"Ambata","given":"Philippe"},{"family":"Narat","given":"Victor"},{"family":"Giles-Vernick","given":"Tamara"}],"issued":{"date-parts":[["2016"]]},"citation-key":"ruppCutHunterHistorical2016"}},{"id":41596,"uris":["http://zotero.org/users/9771363/items/Y96I3CJ5"],"itemData":{"id":41596,"type":"article-journal","abstract":"&lt;p&gt;&lt;i&gt;Are essential and effective, but additional methods are also needed&lt;/i&gt;&lt;/p&gt;","container-title":"BMJ","DOI":"10.1136/bmj.329.7459.185","ISSN":"0959-8138, 1468-5833","issue":"7459","journalAbbreviation":"BMJ","language":"en","license":"© 2004 BMJ Publishing Group Ltd.","note":"publisher: British Medical Journal Publishing Group\nsection: Editorial\nPMID: 15271806","page":"185-186","source":"www.bmj.com","title":"Condoms and prevention of HIV","volume":"329","author":[{"family":"Foss","given":"Anna M."},{"family":"Watts","given":"Charlotte H."},{"family":"Vickerman","given":"Peter"},{"family":"Heise","given":"Lori"}],"issued":{"date-parts":[["2004",7,22]]},"citation-key":"fossCondomsPreventionHIV2004"}},{"id":41583,"uris":["http://zotero.org/users/9771363/items/WYL8ZDKW"],"itemData":{"id":41583,"type":"article-journal","abstract":"The Human Immunodeficiency Virus/Acquired Immunodeficiency Syndrome (HIV/AIDS) pandemic has caused far-reaching effects in sub-Saharan Africa. The pandemic has effectively diminished the workforce, increased poverty rates, reduced agricultural productivity, and transformed the structure of many rural households. HIV/AIDS further strains the already fragile relationship between livelihood and the natural and social environments of these regions. Therefore, the objective of this review is to characterize the impact of HIV/AIDS on the environment and the social infrastructure of rural sub-Saharan Africa. There are many aspects of rural life that contribute to disease transmission of HIV/AIDS and that pose unique challenges to the population dynamics in sub-Saharan Africa. Widespread AIDS-related mortality has caused a decrease in population growth for many African countries. In turn, these alterations in population dynamics have resulted in a decrease in the percentage of prime-age working adults, as well as a gender disparity, whereby, females carry a growing burden of household responsibilities. There is a rising proportion of older adults, often females, who assume the role of provider and caretaker for other dependent family members. These changing dynamics have caused many to exploit their natural surroundings, adopting less sustainable land use practices and utilizing protected resources as a primary means of generating revenue.","container-title":"International Journal of Environmental Research and Public Health","DOI":"10.3390/ijerph8072967","ISSN":"1660-4601","issue":"7","language":"en","license":"http://creativecommons.org/licenses/by/3.0/","note":"number: 7\npublisher: Molecular Diversity Preservation International","page":"2967-2979","source":"www.mdpi.com","title":"The Environmental and Social Influences of HIV/AIDS in Sub-Saharan Africa: A Focus on Rural Communities","title-short":"The Environmental and Social Influences of HIV/AIDS in Sub-Saharan Africa","volume":"8","author":[{"family":"Oramasionwu","given":"Christine U."},{"family":"Daniels","given":"Kelly R."},{"family":"Labreche","given":"Matthew J."},{"family":"Frei","given":"Christopher R."}],"issued":{"date-parts":[["2011",7]]},"citation-key":"oramasionwuEnvironmentalSocialInfluences2011"}},{"id":43176,"uris":["http://zotero.org/users/9771363/items/BRHF9S38"],"itemData":{"id":43176,"type":"article-journal","abstract":"EnglishThe dramatic increase in the number of children made vulnerable by AIDS in sub-Saharan Africa has necessitated research in treatment and prevention. We contribute to the current discussion on the orphan crisis by proposing a multifaceted approach utilizing institutional characteristics, with greater potential to strengthen community capacity and empower vulnerable children.FrenchL'accroissement phénoménal des enfants vulnérabilisés par le SIDA en Afrique sub-saharienne a eu pour effet de stimuler la recherche en matière de traitements et de prévention. Cette étude s'inscrit dans la réflexion courante sur la crise des orphelinats et propose une approche multidimensionnelle qui tire parti des caractéristiques institutionnelles tout en renforçant les capacités des communautés et en redonnant davantage du pouvoir aux enfants vulnérables.SpanishEl dramático incremento en el número de niños que se han hecho vulnerables por el SIDA, en el ?frica Subsahariana, ha hecho necesaria la investigación en tratamiento y prevención. Nosotros aportamos a la discusión actual sobre la crisis de huérfanos, proponiendo un acercamiento multifacético, utilizando las características institucionales con mayor potencial para fortalecer la capacidad comunitaria y empoderar a los niños vulnerables.","container-title":"International Social Work","DOI":"10.1177/0020872808093345","ISSN":"0020-8728","issue":"5","language":"en","note":"publisher: SAGE Publications Ltd","page":"682-698","source":"SAGE Journals","title":"Sub-Saharan Africa's orphan crisis: Challenges and opportunities","title-short":"Sub-Saharan Africa's orphan crisis","volume":"51","author":[{"family":"Lombe","given":"Margaret"},{"family":"Ochumbo","given":"Alex"}],"issued":{"date-parts":[["2008",9,1]]},"citation-key":"lombeSubSaharanAfricaOrphan2008"}},{"id":43178,"uris":["http://zotero.org/users/9771363/items/KRKLD5E7"],"itemData":{"id":43178,"type":"article-journal","abstract":"The  HIV  epidemic  raging  across Africa  is  a  tragedy  of  epic  proportions, one that  is altering the  region's demographic future. lt  is reducing life expectancy, raising mortality, lowering fertility,  creating  an  excess of  men\nover  women, and leaving millions of orphans in  its wake. This  year  began with  24 million Africans infected with\nthe virus. ln the absence of a medical miracle, nearly  all  will  die  before 2010. Each day, 6,000 Africans die from  AIDS.  Each day, an  additional 11,000 are infected.The epidemic has\nproceeded much faster in some countries than in others. In Botswana. 36 percent  of  the  adult  population  is HIV-positive.  In  Zimbabwe  and Swaziland, the  infection  rate  is  25 percent. Lesotho is at  24  percent. In Namibia, South  Africa,  and  Zambia, the  figure is 20  percent. In  none of\nthese countries has the spread of the virus been checked.\n\n\nResearch in Nine and a Half Minutes\nTo  the  Editor:  One  of  the  tasks that  loom  over  the  heads of  anyone involved in post-graduate education is\nthe  \"dreaded\"  research project. The terms  are confusing, the  statistics are frightening and the  reading is  overwhelming. By  the  time  you  have decided what  to  research, written  a protocol,  constructed  a  questionnaire, drawn  up  a  budget, got  the approval of  the  ethics  committee, conducted the  survey, analyzed the data and written  it  all up, your  wife  is threatening to  divorce you, your  kids are  questioning you  sanity and  the dog no longer even wags his tail when you come home. ls it any wonder that\nmany give up before even beginning?","container-title":"South African Family Practice","ISSN":"2078-6204","issue":"1","language":"en","source":"safpj.redbricklibrary.co.za","title":"HIV Epidemic Restructuring Africa's Population: A missing generation - a population of orphans - a shortage of women","title-short":"HIV Epidemic Restructuring Africa's Population","URL":"http://safpj.redbricklibrary.co.za/index.php/safpj/article/view/2076","volume":"25","author":[{"family":"Brown","given":"Lester R."},{"family":"Cameron","given":"David"}],"accessed":{"date-parts":[["2023",1,23]]},"issued":{"date-parts":[["2002"]]},"citation-key":"brownHIVEpidemicRestructuring2002"}}],"schema":"https://github.com/citation-style-language/schema/raw/master/csl-citation.json"} </w:instrText>
            </w:r>
            <w:r>
              <w:rPr>
                <w:lang w:val="en-GB"/>
              </w:rPr>
              <w:fldChar w:fldCharType="separate"/>
            </w:r>
            <w:r w:rsidR="005620D3" w:rsidRPr="005620D3">
              <w:rPr>
                <w:rFonts w:ascii="Calibri" w:hAnsi="Calibri" w:cs="Calibri"/>
                <w:szCs w:val="24"/>
                <w:lang w:val="en-GB"/>
              </w:rPr>
              <w:t>[2–13]</w:t>
            </w:r>
            <w:r>
              <w:rPr>
                <w:lang w:val="en-GB"/>
              </w:rPr>
              <w:fldChar w:fldCharType="end"/>
            </w:r>
          </w:p>
        </w:tc>
      </w:tr>
      <w:tr w:rsidR="00E346AB" w:rsidRPr="000A54B1" w14:paraId="5D4D57C9" w14:textId="77777777" w:rsidTr="00511FC5">
        <w:tc>
          <w:tcPr>
            <w:tcW w:w="1413" w:type="dxa"/>
          </w:tcPr>
          <w:p w14:paraId="0C2F5E69" w14:textId="52BE142E" w:rsidR="002215CD" w:rsidRPr="00A32A4A" w:rsidRDefault="002215CD" w:rsidP="002215CD">
            <w:pPr>
              <w:rPr>
                <w:i/>
                <w:iCs/>
                <w:lang w:val="en-GB"/>
              </w:rPr>
            </w:pPr>
            <w:proofErr w:type="spellStart"/>
            <w:r w:rsidRPr="00A32A4A">
              <w:rPr>
                <w:i/>
                <w:iCs/>
                <w:lang w:val="en-GB"/>
              </w:rPr>
              <w:t>C</w:t>
            </w:r>
            <w:r w:rsidR="00A32A4A" w:rsidRPr="00A32A4A">
              <w:rPr>
                <w:i/>
                <w:iCs/>
                <w:lang w:val="en-GB"/>
              </w:rPr>
              <w:t>lostridioides</w:t>
            </w:r>
            <w:proofErr w:type="spellEnd"/>
            <w:r w:rsidRPr="00A32A4A">
              <w:rPr>
                <w:i/>
                <w:iCs/>
                <w:lang w:val="en-GB"/>
              </w:rPr>
              <w:t xml:space="preserve"> difficile</w:t>
            </w:r>
          </w:p>
          <w:p w14:paraId="0972118C" w14:textId="41C0D92A" w:rsidR="00B146F0" w:rsidRDefault="00B146F0" w:rsidP="002215CD">
            <w:pPr>
              <w:rPr>
                <w:lang w:val="en-GB"/>
              </w:rPr>
            </w:pPr>
            <w:proofErr w:type="spellStart"/>
            <w:r>
              <w:rPr>
                <w:lang w:val="en-GB"/>
              </w:rPr>
              <w:t>Ribotypes</w:t>
            </w:r>
            <w:proofErr w:type="spellEnd"/>
            <w:r>
              <w:rPr>
                <w:lang w:val="en-GB"/>
              </w:rPr>
              <w:t xml:space="preserve"> 027 &amp; 078</w:t>
            </w:r>
          </w:p>
        </w:tc>
        <w:tc>
          <w:tcPr>
            <w:tcW w:w="1984" w:type="dxa"/>
          </w:tcPr>
          <w:p w14:paraId="677F8D82" w14:textId="77777777" w:rsidR="002215CD" w:rsidRDefault="002215CD" w:rsidP="002215CD">
            <w:pPr>
              <w:rPr>
                <w:lang w:val="en-GB"/>
              </w:rPr>
            </w:pPr>
            <w:r>
              <w:rPr>
                <w:lang w:val="en-GB"/>
              </w:rPr>
              <w:t>Emergence of virulent and resistant strain</w:t>
            </w:r>
          </w:p>
          <w:p w14:paraId="7817DA22" w14:textId="1D649BB0" w:rsidR="002215CD" w:rsidRDefault="002215CD" w:rsidP="002215CD">
            <w:pPr>
              <w:rPr>
                <w:lang w:val="en-GB"/>
              </w:rPr>
            </w:pPr>
            <w:r>
              <w:rPr>
                <w:lang w:val="en-GB"/>
              </w:rPr>
              <w:t>1980-2022</w:t>
            </w:r>
          </w:p>
        </w:tc>
        <w:tc>
          <w:tcPr>
            <w:tcW w:w="3969" w:type="dxa"/>
          </w:tcPr>
          <w:p w14:paraId="3C0DF87C" w14:textId="77777777" w:rsidR="002215CD" w:rsidRDefault="00830BCF" w:rsidP="002215CD">
            <w:pPr>
              <w:rPr>
                <w:lang w:val="en-GB"/>
              </w:rPr>
            </w:pPr>
            <w:r>
              <w:rPr>
                <w:lang w:val="en-GB"/>
              </w:rPr>
              <w:t xml:space="preserve">Use of antimicrobials have been implicated in the </w:t>
            </w:r>
            <w:proofErr w:type="spellStart"/>
            <w:r>
              <w:rPr>
                <w:lang w:val="en-GB"/>
              </w:rPr>
              <w:t>to</w:t>
            </w:r>
            <w:proofErr w:type="spellEnd"/>
            <w:r>
              <w:rPr>
                <w:lang w:val="en-GB"/>
              </w:rPr>
              <w:t xml:space="preserve"> emergence of multi-resistant and virulent forms of C. difficile.</w:t>
            </w:r>
          </w:p>
          <w:p w14:paraId="461845FC" w14:textId="614AA156" w:rsidR="00830BCF" w:rsidRDefault="00830BCF" w:rsidP="002215CD">
            <w:pPr>
              <w:rPr>
                <w:lang w:val="en-GB"/>
              </w:rPr>
            </w:pPr>
            <w:r>
              <w:rPr>
                <w:lang w:val="en-GB"/>
              </w:rPr>
              <w:t xml:space="preserve">In addition, the introduction of a food additive, </w:t>
            </w:r>
            <w:proofErr w:type="spellStart"/>
            <w:r>
              <w:rPr>
                <w:lang w:val="en-GB"/>
              </w:rPr>
              <w:t>Treaholose</w:t>
            </w:r>
            <w:proofErr w:type="spellEnd"/>
            <w:r>
              <w:rPr>
                <w:lang w:val="en-GB"/>
              </w:rPr>
              <w:t>, has recently been implicated in the emergence and spread of these strains.</w:t>
            </w:r>
          </w:p>
        </w:tc>
        <w:tc>
          <w:tcPr>
            <w:tcW w:w="4678" w:type="dxa"/>
          </w:tcPr>
          <w:p w14:paraId="2C41A34C" w14:textId="08591EF3" w:rsidR="002215CD" w:rsidRDefault="002215CD" w:rsidP="002215CD">
            <w:pPr>
              <w:rPr>
                <w:lang w:val="en-GB"/>
              </w:rPr>
            </w:pPr>
            <w:r>
              <w:rPr>
                <w:lang w:val="en-GB"/>
              </w:rPr>
              <w:t xml:space="preserve">Led to the </w:t>
            </w:r>
            <w:r w:rsidR="00A31825">
              <w:rPr>
                <w:lang w:val="en-GB"/>
              </w:rPr>
              <w:t xml:space="preserve">modern </w:t>
            </w:r>
            <w:r>
              <w:rPr>
                <w:lang w:val="en-GB"/>
              </w:rPr>
              <w:t>use of faecal microbial transplants potentially also contributing to increased understanding of ecological restoration approaches to health and appreciation of the positive contribution of human and environmental microbiomes.</w:t>
            </w:r>
          </w:p>
        </w:tc>
        <w:tc>
          <w:tcPr>
            <w:tcW w:w="1843" w:type="dxa"/>
          </w:tcPr>
          <w:p w14:paraId="6D2270C6" w14:textId="3ECFBF06" w:rsidR="00EC608A" w:rsidRDefault="00EC608A" w:rsidP="004675E9">
            <w:pPr>
              <w:ind w:left="36" w:right="477"/>
              <w:rPr>
                <w:lang w:val="en-GB"/>
              </w:rPr>
            </w:pPr>
            <w:r>
              <w:rPr>
                <w:lang w:val="en-GB"/>
              </w:rPr>
              <w:fldChar w:fldCharType="begin"/>
            </w:r>
            <w:r w:rsidR="005620D3">
              <w:rPr>
                <w:lang w:val="en-GB"/>
              </w:rPr>
              <w:instrText xml:space="preserve"> ADDIN ZOTERO_ITEM CSL_CITATION {"citationID":"o6MMAShi","properties":{"formattedCitation":"[14\\uc0\\u8211{}21]","plainCitation":"[14–21]","noteIndex":0},"citationItems":[{"id":30282,"uris":["http://zotero.org/users/9771363/items/5NZYKT58"],"itemData":{"id":30282,"type":"article-journal","abstract":"Whole-genome sequencing analysis of C. difficile ribotype 027 (RT027) strains demonstrated that two independent lineages emerged in North America from 2000 to 2003 (ref. 1). Comparison with historic, pre-epidemic, RT027 strains showed that both epidemic lineages acquired a mutation in the gyrA gene, leading to increased resistance to fluo-roquinolone antibiotics. While the development of fluoroquinolone resistance has almost certainly played a role in the spread of RT027 strains, fluoroquinolone resistance has also been observed in non-epidemic C. difficile ribotypes and identified in strains dating back to the mid-1980s 2,3 . Thus, other factors probably contributed to the emergence of epidemic RT027 strains. The prevalence of a second C. difficile ribotype, RT078, increased tenfold in hospitals and clinics from 1995 to 2007 and was associated with increased disease severity 4 . However, the mechanisms respon-sible for increased virulence remain unknown 5–8 . It is noteworthy that RT027 and RT078 lineages are phylogenetically distant from one another (Extended Data Fig. 1), indicating that the evolutionary changes leading to concurrent increases in epidemics and disease sever-ity might have emerged by independent mechanisms 9 . RT027 and RT078 strains grow on low trehalose Ribotype 027 strains exhibit a competitive advantage over non-RT027 strains in vitro and in mouse models of C. difficile infection 10 . To inves-tigate potential mechanisms for increased fitness, we examined carbon source utilization in an epidemic RT027 isolate (CD2015) using Biolog 96-well Phenotype MicroArray carbon source plates (see Methods and Extended Data Table 1). Out of several carbon sources identified that supported CD2015 growth, we found the disaccharide trehalose increased the growth yield of CD2015 by approximately fivefold com-pared with a non-RT027 strain. To examine the specificity of enhanced growth on trehalose across C. difficile lineages, 21 strains encompassing 9 ribotypes were grown on a defined minimal medium (DMM) sup-plemented with glucose or trehalose as the sole carbon source. All C. difficile strains grew robustly with 20 mM glucose; however, only epidemic RT027 (n = 8) and RT078 (n = 3) strains exhibited enhanced growth on an equivalent trehalose concentration (10 mM; Fig. 1). Increasing the trehalose concentration to 50 mM enabled growth in most ribotypes (Extended Data Fig. 2a).","container-title":"Nature","DOI":"10.1038/nature25178","ISSN":"14764687","issue":"7688","note":"PMID: 29310122\npublisher: Nature Publishing Group","page":"291-294","title":"Dietary trehalose enhances virulence of epidemic Clostridium difficile","volume":"553","author":[{"family":"Collins","given":"J."},{"family":"Robinson","given":"C."},{"family":"Danhof","given":"H."},{"family":"Knetsch","given":"C. W."},{"family":"Van Leeuwen","given":"H. C."},{"family":"Lawley","given":"T. D."},{"family":"Auchtung","given":"J. M."},{"family":"Britton","given":"R. A."}],"issued":{"date-parts":[["2018"]]},"citation-key":"collinsDietaryTrehaloseEnhances2018"}},{"id":29822,"uris":["http://zotero.org/users/9771363/items/QBHPTWEJ"],"itemData":{"id":29822,"type":"article-journal","abstract":"The emergence ofClostridium difficileas a significant human diarrheal pathogen is associated with the production of highly transmissible spores and the acquisition of antimicrobial resistance genes (ARGs) and virulence factors. Unlike the hospital-associatedC. difficileRT027 lineage, the community-associatedC. difficileRT078 lineage is isolated from both humans and farm animals; however, the geographical population structure and transmission networks remain unknown. Here, we applied whole-genome phylogenetic analysis of 248C. difficileRT078 strains from 22 countries. Our results demonstrate limited geographical clustering forC. difficileRT078 and extensive coclustering of human and animal strains, thereby revealing a highly linked intercontinental transmission network between humans and animals. Comparative whole-genome analysis reveals indistinguishable accessory genomes between human and animal strains and a variety of antimicrobial resistance genes in the pangenome ofC. difficileRT078. Thus, bidirectional spread ofC. difficileRT078 between farm animals and humans may represent an unappreciated route disseminating antimicrobial resistance genes between humans and animals. These results highlight the importance of the \"One Health\" concept to monitor infectious disease emergence and the dissemination of antimicrobial resistance genes.","container-title":"Journal of clinical microbiology","DOI":"10.1128/JCM.01384-17","ISSN":"1098-660X","issue":"3","note":"PMID: 29237792","page":"JCM.01384-17","title":"Zoonotic Transfer of Clostridium difficile Harboring Antimicrobial Resistance between Farm Animals and Humans.","volume":"56","author":[{"family":"Knetsch","given":"C W"},{"family":"Kumar","given":"N"},{"family":"Forster","given":"S C"},{"family":"Connor","given":"T R"},{"family":"Browne","given":"H P"},{"family":"Harmanus","given":"C"},{"family":"Sanders","given":"I M"},{"family":"Harris","given":"S R"},{"family":"Turner","given":"L"},{"family":"Morris","given":"T"},{"family":"Perry","given":"M"},{"family":"Miyajima","given":"F"},{"family":"Roberts","given":"P"},{"family":"Pirmohamed","given":"M"},{"family":"Songer","given":"J G"},{"family":"Weese","given":"J S"},{"family":"Indra","given":"A"},{"family":"Corver","given":"J"},{"family":"Rupnik","given":"M"},{"family":"Wren","given":"B W"},{"family":"Riley","given":"T V"},{"family":"Kuijper","given":"E J"},{"family":"Lawley","given":"T D"}],"issued":{"date-parts":[["2018"]]},"citation-key":"knetschZoonoticTransferClostridium2018"}},{"id":8386,"uris":["http://zotero.org/users/9771363/items/LSTXMXDL"],"itemData":{"id":8386,"type":"article-journal","abstract":"Clostridium difficile has rapidly emerged as the leading cause of antibiotic-associated diarrheal disease, with the transcontinental spread of various PCR ribotypes, including 001, 017, 027 and 078. However, the genetic basis for the emergence of C. difficile as a human pathogen is unclear. Whole genome sequencing was used to analyze genetic variation and virulence of a diverse collection of thirty C. difficile isolates, to determine both macro and microevolution of the species. Horizontal gene transfer and large-scale recombination of core genes has shaped the C. difficile genome over both short and long time scales. Phylogenetic analysis demonstrates C. difficile is a genetically diverse species, which has evolved within the last 1.1-85 million years. By contrast, the disease-causing isolates have arisen from multiple lineages, suggesting that virulence evolved independently in the highly epidemic lineages.","container-title":"Proceedings of the National Academy of Sciences of the United States of America","DOI":"10.1073/pnas.0914322107","issue":"16","note":"Citation Key: He2010a\nISBN: 0027-8424","page":"7527-7532","title":"Evolutionary dynamics of Clostridium difficile over short and long time scales","volume":"107","author":[{"family":"He","given":"Miao"},{"family":"Sebaihia","given":"Mohammed"},{"family":"Lawley","given":"Trevor D"},{"family":"Stabler","given":"Richard A"},{"family":"Dawson","given":"Lisa F"},{"family":"Martin","given":"Melissa J"},{"family":"Holt","given":"Kathryn E"},{"family":"Seth-Smith","given":"Helena M B"},{"family":"Quail","given":"Michael A"},{"family":"Rance","given":"Richard"},{"family":"Brooks","given":"Karen"},{"family":"Churcher","given":"Carol"},{"family":"Harris","given":"David"},{"family":"Bentley","given":"Stephen D"},{"family":"Burrows","given":"Christine"},{"family":"Clark","given":"Louise"},{"family":"Corton","given":"Craig"},{"family":"Murray","given":"Vicky"},{"family":"Rose","given":"Graham"},{"family":"Thurston","given":"Scott"},{"family":"Tonder","given":"Andries","non-dropping-particle":"van"},{"family":"Walker","given":"Danielle"},{"family":"Wren","given":"Brendan W"},{"family":"Dougan","given":"Gordon"},{"family":"Parkhill","given":"Julian"}],"issued":{"date-parts":[["2010"]]},"citation-key":"He2010a"}},{"id":29808,"uris":["http://zotero.org/users/9771363/items/MAS7AZ5X"],"itemData":{"id":29808,"type":"article-journal","abstract":"In contrast to the significant resources invested in the diagnosis and prevention of Clostridium difficile infection (CDI) in resource-rich settings, in resource- limited settings patients with community- and hospital-acquired diarrhea may not routinely be tested for CDI. Is CDI actually less frequent or severe in resource-limited settings, or might we be missing an important opportunity to prevent CDI-related morbidity and mortality (and to promote antibiotic stewardship) in these settings? Here, we review the literature to assess the overall burden of CDI in low- and middle-income countries.","container-title":"Journal of Clinical Microbiology","issue":"3","page":"e01747-17","title":"Assessing the Burden of Clostridium difficile Infection in Low- and Middle-Income Countries","volume":"56","author":[{"family":"Roldan","given":"G. A."},{"family":"Cui","given":"A. X."},{"family":"Pollock","given":"N. R."}],"issued":{"date-parts":[["2018"]]},"citation-key":"roldanAssessingBurdenClostridium2018"}},{"id":28028,"uris":["http://zotero.org/users/9771363/items/QP974K7G"],"itemData":{"id":28028,"type":"article-journal","abstract":"BACKGROUND RecurrentClostridium difficileinfection (RCDI) is associated with repeated antibiotic treatment and the enhanced growth of antibiotic-resistant microbes. This study tested the hypothesis that patients with RCDI would harbor large numbers of antibiotic-resistant microbes and that fecal microbial transplantation (FMT) would reduce the number of antibiotic-resistant genes. METHODS In a single center study, patients with RCDI (n=20) received FMT from universal donors via colonoscopy. Stool samples were collected from donors (n=3) and patients prior to and following FMT. DNA was extracted and shotgun metagenomics performed. Results as well as assembled libraries from a healthy cohort (n=87) obtained from the Human Microbiome Project (HMP) were aligned against the NCBI bacterial taxonomy database and the Comprehensive Antibiotic Resistance Database (CARD). Results were corroborated through a DNA microarray containing 354 antibiotic resistance (ABR) genes. RESULTS RCDI patients had a greater number and diversity of ABR genes compared with donors and healthy controls. Beta-lactam, multidrug efflux pumps, fluoroquinolone, and antibiotic inactivation ABR genes were increased in RCDI patients while donors primarily had tetracycline resistance. RCDI patients were dominated by Proteobacteria withEscherichia coliandKlebsiellamost prevalent. FMT resulted in a resolution of symptoms which correlated directly with a decreased number and diversity of ABR genes and increased Bacteroidetes and Firmicutes with reduced Proteobacteria. ABR gene profiles were maintained in recipients for up to a year following FMT. CONCLUSION RCDI patients have increased numbers of antibiotic-resistant organisms. FMT is effective in the eradication of pathogenic antibiotic-resistant organisms and elimination of antibiotic-resistance genes.","container-title":"Clinical Infectious Diseases","DOI":"10.1093/cid/ciw185","ISSN":"15376591","issue":"12","note":"PMID: 27025836\nISBN: 6047072534","page":"1479-1486","title":"Fecal Microbial Transplants Reduce Antibiotic-resistant Genes in Patients with Recurrent Clostridium difficile Infection","volume":"62","author":[{"family":"Millan","given":"Braden"},{"family":"Park","given":"Heekuk"},{"family":"Hotte","given":"Naomi"},{"family":"Mathieu","given":"Olivier"},{"family":"Burguiere","given":"Pierre"},{"family":"Tompkins","given":"Thomas A."},{"family":"Kao","given":"Dina"},{"family":"Madsen","given":"Karen L."}],"issued":{"date-parts":[["2016"]]},"citation-key":"millanFecalMicrobialTransplants2016"}},{"id":27045,"uris":["http://zotero.org/users/9771363/items/JZY6TMVL"],"itemData":{"id":27045,"type":"article-journal","abstract":"BACKGROUND: Fecal bacteriotherapy ('stool transplant') can be effective in treating recurrent Clostridium difficile infection, but concerns of donor infection transmission and patient acceptance limit its use. Here we describe the use of a stool substitute preparation, made from purified intestinal bacterial cultures derived from a single healthy donor, to treat recurrent C. difficile infection that had failed repeated standard antibiotics. Thirty-three isolates were recovered from a healthy donor stool sample. Two patients who had failed at least three courses of metronidazole or vancomycin underwent colonoscopy and the mixture was infused throughout the right and mid colon. Pre-treatment and post-treatment stool samples were analyzed by 16 S rRNA gene sequencing using the Ion Torrent platform.\\n\\nRESULTS: Both patients were infected with the hyper virulent C. difficile strain, ribotype 078. Following stool substitute treatment, each patient reverted to their normal bowel pattern within 2 to 3 days and remained symptom-free at 6 months. The analysis demonstrated that rRNA sequences found in the stool substitute were rare in the pre-treatment stool samples but constituted over 25% of the sequences up to 6 months after treatment.\\n\\nCONCLUSION: This proof-of-principle study demonstrates that a stool substitute mixture comprising a multi-species community of bacteria is capable of curing antibiotic-resistant C. difficile colitis. This benefit correlates with major changes in stool microbial profile and these changes reflect isolates from the synthetic mixture.\\n\\nTRIAL REGISTRATION: \\n\\nCLINICAL TRIAL REGISTRATION NUMBER: CinicalTrials.gov NCT01372943.","container-title":"Microbiome","DOI":"10.1186/2049-2618-1-3","ISSN":"2049-2618","issue":"1","note":"PMID: 24467987\nISBN: 2049-2618 (Electronic)\\n2049-2618 (Linking)","page":"3","title":"Stool substitute transplant therapy for the eradication of Clostridium difficile infection: 'RePOOPulating' the gut.","volume":"1","author":[{"family":"Petrof","given":"Elaine O."},{"family":"Gloor","given":"Gregory B."},{"family":"Vanner","given":"Stephen J."},{"family":"Weese","given":"Scott J."},{"family":"Carter","given":"David."},{"family":"Daigneault","given":"Michelle C."},{"family":"Brown","given":"Eric M."},{"family":"Schroeter","given":"Kathleen"},{"family":"Allen-Vercoe","given":"Emma"}],"issued":{"date-parts":[["2013"]]},"citation-key":"petrofStoolSubstituteTransplant2013"}},{"id":36115,"uris":["http://zotero.org/users/9771363/items/SLJQH27P"],"itemData":{"id":36115,"type":"article-journal","abstract":"Development of new biocides has dominated human responses to evolution of antibiotic and pesticide resistance. Increasing and uniform biocide use, the spread of resistance genes, and the lack of new classes of compounds indicate the importance of navigating toward more sustainable coevolutionary dynamics between human culture and species that evolve resistance. To inform this challenge, we introduce the concept of coevolutionary governance and propose three priorities for its implementation: (i) new norms and mental models for lowering use, (ii) diversifying practices to reduce directional selection, and (iii) investment in collective action institutions to govern connectivity. We highlight the availability of solutions that facilitate broader sustainable development, which for antibiotic resistance include improved sanitation and hygiene, strong health systems, and decreased meat consumption.","container-title":"Trends in Ecology and Evolution","DOI":"10.1016/j.tree.2020.01.011","ISSN":"01695347","issue":"6","note":"publisher: The Authors","page":"484-494","title":"Coevolutionary Governance of Antibiotic and Pesticide Resistance","volume":"35","author":[{"family":"Søgaard Jørgensen","given":"Peter"},{"family":"Folke","given":"Carl"},{"family":"Henriksson","given":"Patrik J.G."},{"family":"Malmros","given":"Karin"},{"family":"Troell","given":"Max"},{"family":"Zorzet","given":"Anna"},{"family":"Living with Resistance project","given":""}],"issued":{"date-parts":[["2020"]]},"citation-key":"sogaardjorgensenCoevolutionaryGovernanceAntibiotic2020"}},{"id":37765,"uris":["http://zotero.org/users/9771363/items/9RBQIESD"],"itemData":{"id":37765,"type":"article-journal","container-title":"Current Opinion in Environmental Sustainability","DOI":"10.1016/j.cosust.2017.07.008","ISSN":"18773435","note":"publisher: Elsevier B.V.\nCitation Key: Jørgensen2017\nISBN: 9891438988","page":"66-76","title":"Changing antibiotic resistance: Sustainability transformation to a pro-microbial planet Antimicrobial","volume":"25","author":[{"family":"Jørgensen","given":"Peter Søgaard"},{"family":"Wernli","given":"Didier"},{"family":"Folke","given":"Carl"},{"family":"Carroll","given":"Scott P."},{"family":"Jørgensen","given":"Peter"},{"family":"Wernli","given":"Didier"},{"family":"Folke","given":"Carl"},{"family":"Carroll","given":"Scott P."}],"issued":{"date-parts":[["2017"]]},"citation-key":"Jørgensen2017"}}],"schema":"https://github.com/citation-style-language/schema/raw/master/csl-citation.json"} </w:instrText>
            </w:r>
            <w:r>
              <w:rPr>
                <w:lang w:val="en-GB"/>
              </w:rPr>
              <w:fldChar w:fldCharType="separate"/>
            </w:r>
            <w:r w:rsidR="005620D3" w:rsidRPr="005620D3">
              <w:rPr>
                <w:rFonts w:ascii="Calibri" w:hAnsi="Calibri" w:cs="Calibri"/>
                <w:szCs w:val="24"/>
                <w:lang w:val="en-GB"/>
              </w:rPr>
              <w:t>[14–21]</w:t>
            </w:r>
            <w:r>
              <w:rPr>
                <w:lang w:val="en-GB"/>
              </w:rPr>
              <w:fldChar w:fldCharType="end"/>
            </w:r>
          </w:p>
        </w:tc>
      </w:tr>
      <w:tr w:rsidR="00E346AB" w14:paraId="44391918" w14:textId="77777777" w:rsidTr="00511FC5">
        <w:tc>
          <w:tcPr>
            <w:tcW w:w="1413" w:type="dxa"/>
          </w:tcPr>
          <w:p w14:paraId="6EA7546F" w14:textId="77777777" w:rsidR="005E3E08" w:rsidRDefault="002215CD" w:rsidP="002215CD">
            <w:pPr>
              <w:rPr>
                <w:lang w:val="en-GB"/>
              </w:rPr>
            </w:pPr>
            <w:r>
              <w:rPr>
                <w:lang w:val="en-GB"/>
              </w:rPr>
              <w:lastRenderedPageBreak/>
              <w:t>Glyphosate resistan</w:t>
            </w:r>
            <w:r w:rsidR="005E3E08">
              <w:rPr>
                <w:lang w:val="en-GB"/>
              </w:rPr>
              <w:t>t</w:t>
            </w:r>
          </w:p>
          <w:p w14:paraId="1D1B8EBD" w14:textId="48EFDDA9" w:rsidR="005E3E08" w:rsidRDefault="003F58D4" w:rsidP="002215CD">
            <w:pPr>
              <w:rPr>
                <w:lang w:val="en-GB"/>
              </w:rPr>
            </w:pPr>
            <w:r>
              <w:rPr>
                <w:lang w:val="en-GB"/>
              </w:rPr>
              <w:t xml:space="preserve">plant </w:t>
            </w:r>
            <w:r w:rsidR="005E3E08">
              <w:rPr>
                <w:lang w:val="en-GB"/>
              </w:rPr>
              <w:t>weeds</w:t>
            </w:r>
          </w:p>
        </w:tc>
        <w:tc>
          <w:tcPr>
            <w:tcW w:w="1984" w:type="dxa"/>
          </w:tcPr>
          <w:p w14:paraId="453F99AA" w14:textId="4E42E7DF" w:rsidR="002215CD" w:rsidRDefault="002215CD" w:rsidP="002215CD">
            <w:pPr>
              <w:rPr>
                <w:lang w:val="en-GB"/>
              </w:rPr>
            </w:pPr>
            <w:r>
              <w:rPr>
                <w:lang w:val="en-GB"/>
              </w:rPr>
              <w:t xml:space="preserve">First </w:t>
            </w:r>
            <w:r w:rsidR="005E3E08">
              <w:rPr>
                <w:lang w:val="en-GB"/>
              </w:rPr>
              <w:t xml:space="preserve">record in </w:t>
            </w:r>
            <w:r>
              <w:rPr>
                <w:lang w:val="en-GB"/>
              </w:rPr>
              <w:t>1996 Lolium</w:t>
            </w:r>
            <w:r w:rsidR="005E3E08">
              <w:rPr>
                <w:lang w:val="en-GB"/>
              </w:rPr>
              <w:t>. Now more than 30 weeds</w:t>
            </w:r>
            <w:r w:rsidR="00A664AB">
              <w:rPr>
                <w:lang w:val="en-GB"/>
              </w:rPr>
              <w:t xml:space="preserve"> on all continents except Antarctica</w:t>
            </w:r>
          </w:p>
        </w:tc>
        <w:tc>
          <w:tcPr>
            <w:tcW w:w="3969" w:type="dxa"/>
          </w:tcPr>
          <w:p w14:paraId="65C3F18F" w14:textId="273BAC4C" w:rsidR="00830BCF" w:rsidRDefault="00830BCF" w:rsidP="002215CD">
            <w:pPr>
              <w:rPr>
                <w:lang w:val="en-GB"/>
              </w:rPr>
            </w:pPr>
            <w:r>
              <w:rPr>
                <w:lang w:val="en-GB"/>
              </w:rPr>
              <w:t>The introduction of glyphosate-resistant transgenic crops was a major contributor to increasing global glyphosate use. At the same time, a generic-use market for glyphosate emerged, promoting its use inf gardening etc.</w:t>
            </w:r>
          </w:p>
          <w:p w14:paraId="33F6E0A8" w14:textId="1F65A21C" w:rsidR="005E3E08" w:rsidRDefault="0085307C" w:rsidP="0085307C">
            <w:pPr>
              <w:rPr>
                <w:lang w:val="en-GB"/>
              </w:rPr>
            </w:pPr>
            <w:r>
              <w:rPr>
                <w:lang w:val="en-GB"/>
              </w:rPr>
              <w:t>Weak public monitoring and strong market concentration of the herbicide market further contributed to unregulated glyphosate use.</w:t>
            </w:r>
          </w:p>
        </w:tc>
        <w:tc>
          <w:tcPr>
            <w:tcW w:w="4678" w:type="dxa"/>
          </w:tcPr>
          <w:p w14:paraId="353EA409" w14:textId="77777777" w:rsidR="00A664AB" w:rsidRDefault="0085307C" w:rsidP="0085307C">
            <w:pPr>
              <w:rPr>
                <w:lang w:val="en-GB"/>
              </w:rPr>
            </w:pPr>
            <w:r>
              <w:rPr>
                <w:lang w:val="en-GB"/>
              </w:rPr>
              <w:t>Increasing glyphosate resistance has led to the need of using larger doses as well as to using other more-toxic forms of herbicide. Human cancers resulting from routine use of glyphosate.</w:t>
            </w:r>
          </w:p>
          <w:p w14:paraId="1D2C5288" w14:textId="77777777" w:rsidR="00A664AB" w:rsidRDefault="00A664AB" w:rsidP="0085307C">
            <w:pPr>
              <w:rPr>
                <w:lang w:val="en-GB"/>
              </w:rPr>
            </w:pPr>
            <w:r>
              <w:rPr>
                <w:lang w:val="en-GB"/>
              </w:rPr>
              <w:t xml:space="preserve">The industry has recently agreed large settlements of cancer legal cases. </w:t>
            </w:r>
          </w:p>
          <w:p w14:paraId="6F88A561" w14:textId="735EF6BB" w:rsidR="002215CD" w:rsidRDefault="0085307C" w:rsidP="0085307C">
            <w:pPr>
              <w:rPr>
                <w:lang w:val="en-GB"/>
              </w:rPr>
            </w:pPr>
            <w:r>
              <w:rPr>
                <w:lang w:val="en-GB"/>
              </w:rPr>
              <w:t>The EU is now seriously discussing phasing out the herbicide (next decision in Dec. 2022).</w:t>
            </w:r>
          </w:p>
          <w:p w14:paraId="211554F7" w14:textId="3DD35FBE" w:rsidR="002215CD" w:rsidRDefault="0085307C" w:rsidP="0085307C">
            <w:pPr>
              <w:rPr>
                <w:lang w:val="en-GB"/>
              </w:rPr>
            </w:pPr>
            <w:r>
              <w:rPr>
                <w:lang w:val="en-GB"/>
              </w:rPr>
              <w:t>The impacts on wildlife resulting from the global growth in glyphosate use are still relatively poorly understood.</w:t>
            </w:r>
            <w:r w:rsidR="002215CD">
              <w:rPr>
                <w:lang w:val="en-GB"/>
              </w:rPr>
              <w:t xml:space="preserve"> </w:t>
            </w:r>
          </w:p>
        </w:tc>
        <w:tc>
          <w:tcPr>
            <w:tcW w:w="1843" w:type="dxa"/>
          </w:tcPr>
          <w:p w14:paraId="4A694998" w14:textId="31ECA008" w:rsidR="005C2BDB" w:rsidRDefault="005C2BDB" w:rsidP="004675E9">
            <w:pPr>
              <w:ind w:left="36" w:right="477"/>
              <w:rPr>
                <w:lang w:val="en-GB"/>
              </w:rPr>
            </w:pPr>
            <w:r>
              <w:rPr>
                <w:lang w:val="en-GB"/>
              </w:rPr>
              <w:fldChar w:fldCharType="begin"/>
            </w:r>
            <w:r w:rsidR="005620D3">
              <w:rPr>
                <w:lang w:val="en-GB"/>
              </w:rPr>
              <w:instrText xml:space="preserve"> ADDIN ZOTERO_ITEM CSL_CITATION {"citationID":"bh820gfu","properties":{"formattedCitation":"[22,23]","plainCitation":"[22,23]","noteIndex":0},"citationItems":[{"id":40079,"uris":["http://zotero.org/users/9771363/items/S36ISLMT"],"itemData":{"id":40079,"type":"article-journal","container-title":"Global Environmental Change","DOI":"10.1016/j.gloenvcha.2021.102239","ISSN":"0959-3780","issue":"January","note":"publisher: Elsevier Ltd","page":"102239","title":"Explaining Growing Glyphosate Use : The Political Economy of Herbicide-Dependent Agriculture","volume":"67","author":[{"family":"Clapp","given":"Jennifer"}],"issued":{"date-parts":[["2021"]]},"citation-key":"clappExplainingGrowingGlyphosate2021"},"locator":"2021"},{"id":28890,"uris":["http://zotero.org/users/9771363/items/3KLXM5RX"],"itemData":{"id":28890,"type":"article-journal","abstract":"Glyphosate is the most widely used and successful herbicide discovered to date, but its utility is now threatened by the occurrence of several glyphosate-resistant weed species. Glyphosate resistance first appeared in Lolium rigidum in an apple orchard in Australia in 1996, ironically the year that the first glyphosate-resistant crop (soybean) was introduced in the USA. Thirty-eight weed species have now evolved resistance to glyphosate, distributed across 37 countries and in 34 different crops and six non-crop situations. Although glyphosate-resistant weeds have been identified in orchards, vineyards, plantations, cereals, fallow and non-crop situations, it is the glyphosate-resistant weeds in glyphosate-resistant crop systems that dominate the area infested and growing economic impact. Glyphosate-resistant weeds present the greatest threat to sustained weed control in major agronomic crops because this herbicide is used to control weeds with resistance to herbicides with other sites of action, and no new herbicide sites of action have been introduced for over 30 years. Industry has responded by developing herbicide resistance traits in major crops that allow existing herbicides to be used in a new way. However, over reliance on these traits will result in multiple-resistance in weeds. Weed control in major crops is at a precarious point, where we must maintain the utility of the herbicides we have until we can transition to new weed management technologies.; This article is protected by copyright. All rights reserved.","container-title":"Pest Management Science","DOI":"10.1002/ps.4760","ISSN":"1526-4998","issue":"5","page":"1040-1049","title":"Overview of Glyphosate-Resistant Weeds Worldwide.","volume":"74","author":[{"family":"Heap","given":"Ian"},{"family":"Duke","given":"Stephen O"}],"issued":{"date-parts":[["2018"]]},"citation-key":"heapOverviewGlyphosateResistantWeeds2018"}}],"schema":"https://github.com/citation-style-language/schema/raw/master/csl-citation.json"} </w:instrText>
            </w:r>
            <w:r>
              <w:rPr>
                <w:lang w:val="en-GB"/>
              </w:rPr>
              <w:fldChar w:fldCharType="separate"/>
            </w:r>
            <w:r w:rsidR="005620D3" w:rsidRPr="005620D3">
              <w:rPr>
                <w:rFonts w:ascii="Calibri" w:hAnsi="Calibri" w:cs="Calibri"/>
              </w:rPr>
              <w:t>[22,23]</w:t>
            </w:r>
            <w:r>
              <w:rPr>
                <w:lang w:val="en-GB"/>
              </w:rPr>
              <w:fldChar w:fldCharType="end"/>
            </w:r>
          </w:p>
        </w:tc>
      </w:tr>
      <w:tr w:rsidR="00D34DC7" w:rsidRPr="000A54B1" w14:paraId="2A6B8A08" w14:textId="77777777" w:rsidTr="00511FC5">
        <w:tc>
          <w:tcPr>
            <w:tcW w:w="1413" w:type="dxa"/>
          </w:tcPr>
          <w:p w14:paraId="3904CB6A" w14:textId="765742EF" w:rsidR="00D34DC7" w:rsidRDefault="00F800AA" w:rsidP="00D34DC7">
            <w:pPr>
              <w:rPr>
                <w:lang w:val="en-GB"/>
              </w:rPr>
            </w:pPr>
            <w:r>
              <w:rPr>
                <w:lang w:val="en-GB"/>
              </w:rPr>
              <w:t xml:space="preserve">Extensive and </w:t>
            </w:r>
            <w:proofErr w:type="spellStart"/>
            <w:r w:rsidR="00D34DC7">
              <w:rPr>
                <w:lang w:val="en-GB"/>
              </w:rPr>
              <w:t>Pandrug</w:t>
            </w:r>
            <w:proofErr w:type="spellEnd"/>
            <w:r w:rsidR="00D34DC7">
              <w:rPr>
                <w:lang w:val="en-GB"/>
              </w:rPr>
              <w:t xml:space="preserve"> resistant</w:t>
            </w:r>
            <w:r w:rsidR="009A6EF2">
              <w:rPr>
                <w:lang w:val="en-GB"/>
              </w:rPr>
              <w:t xml:space="preserve"> </w:t>
            </w:r>
            <w:r w:rsidR="009A6EF2" w:rsidRPr="009A6EF2">
              <w:rPr>
                <w:lang w:val="en-GB"/>
              </w:rPr>
              <w:t>bacterial</w:t>
            </w:r>
            <w:r w:rsidR="00D34DC7">
              <w:rPr>
                <w:lang w:val="en-GB"/>
              </w:rPr>
              <w:t xml:space="preserve"> infections</w:t>
            </w:r>
          </w:p>
          <w:p w14:paraId="3C624765" w14:textId="5C72BE8B" w:rsidR="00D34DC7" w:rsidRDefault="00D34DC7" w:rsidP="00D34DC7">
            <w:pPr>
              <w:rPr>
                <w:lang w:val="en-GB"/>
              </w:rPr>
            </w:pPr>
          </w:p>
        </w:tc>
        <w:tc>
          <w:tcPr>
            <w:tcW w:w="1984" w:type="dxa"/>
          </w:tcPr>
          <w:p w14:paraId="2159B10E" w14:textId="6286130D" w:rsidR="00D34DC7" w:rsidRDefault="00D34DC7" w:rsidP="00D34DC7">
            <w:pPr>
              <w:rPr>
                <w:lang w:val="en-GB"/>
              </w:rPr>
            </w:pPr>
            <w:r>
              <w:rPr>
                <w:lang w:val="en-GB"/>
              </w:rPr>
              <w:t>Strains of common infections untreatable by any antibiotics</w:t>
            </w:r>
            <w:r w:rsidR="00F800AA">
              <w:rPr>
                <w:lang w:val="en-GB"/>
              </w:rPr>
              <w:t xml:space="preserve"> with first cases of </w:t>
            </w:r>
            <w:proofErr w:type="spellStart"/>
            <w:r w:rsidR="00F800AA">
              <w:rPr>
                <w:lang w:val="en-GB"/>
              </w:rPr>
              <w:t>pandrug</w:t>
            </w:r>
            <w:proofErr w:type="spellEnd"/>
            <w:r w:rsidR="00F800AA">
              <w:rPr>
                <w:lang w:val="en-GB"/>
              </w:rPr>
              <w:t xml:space="preserve"> resistance </w:t>
            </w:r>
            <w:r>
              <w:rPr>
                <w:lang w:val="en-GB"/>
              </w:rPr>
              <w:t>emerging around the beginning of the 2</w:t>
            </w:r>
            <w:r w:rsidR="00F800AA">
              <w:rPr>
                <w:lang w:val="en-GB"/>
              </w:rPr>
              <w:t>1</w:t>
            </w:r>
            <w:r w:rsidRPr="00A664AB">
              <w:rPr>
                <w:vertAlign w:val="superscript"/>
                <w:lang w:val="en-GB"/>
              </w:rPr>
              <w:t>th</w:t>
            </w:r>
            <w:r>
              <w:rPr>
                <w:lang w:val="en-GB"/>
              </w:rPr>
              <w:t xml:space="preserve"> century </w:t>
            </w:r>
            <w:r w:rsidR="00F800AA">
              <w:rPr>
                <w:lang w:val="en-GB"/>
              </w:rPr>
              <w:t xml:space="preserve">(ca. 2000) </w:t>
            </w:r>
            <w:r>
              <w:rPr>
                <w:lang w:val="en-GB"/>
              </w:rPr>
              <w:t>and increasing rapidly in several species</w:t>
            </w:r>
            <w:r w:rsidR="00F800AA">
              <w:rPr>
                <w:lang w:val="en-GB"/>
              </w:rPr>
              <w:t xml:space="preserve"> (</w:t>
            </w:r>
            <w:r w:rsidR="00F800AA">
              <w:rPr>
                <w:lang w:val="es-ES"/>
              </w:rPr>
              <w:t xml:space="preserve">Gram-Negative </w:t>
            </w:r>
            <w:proofErr w:type="spellStart"/>
            <w:r w:rsidR="00F800AA">
              <w:rPr>
                <w:lang w:val="es-ES"/>
              </w:rPr>
              <w:t>healthcare-associated</w:t>
            </w:r>
            <w:proofErr w:type="spellEnd"/>
            <w:r w:rsidR="00F800AA">
              <w:rPr>
                <w:lang w:val="es-ES"/>
              </w:rPr>
              <w:t xml:space="preserve"> </w:t>
            </w:r>
            <w:proofErr w:type="spellStart"/>
            <w:r w:rsidR="00F800AA">
              <w:rPr>
                <w:lang w:val="es-ES"/>
              </w:rPr>
              <w:t>infections</w:t>
            </w:r>
            <w:proofErr w:type="spellEnd"/>
            <w:r w:rsidR="00F800AA">
              <w:rPr>
                <w:lang w:val="es-ES"/>
              </w:rPr>
              <w:t xml:space="preserve"> </w:t>
            </w:r>
            <w:proofErr w:type="spellStart"/>
            <w:r w:rsidR="00F800AA">
              <w:rPr>
                <w:lang w:val="es-ES"/>
              </w:rPr>
              <w:t>caused</w:t>
            </w:r>
            <w:proofErr w:type="spellEnd"/>
            <w:r w:rsidR="00F800AA">
              <w:rPr>
                <w:lang w:val="es-ES"/>
              </w:rPr>
              <w:t xml:space="preserve"> </w:t>
            </w:r>
            <w:proofErr w:type="spellStart"/>
            <w:r w:rsidR="00F800AA">
              <w:rPr>
                <w:lang w:val="es-ES"/>
              </w:rPr>
              <w:t>by</w:t>
            </w:r>
            <w:proofErr w:type="spellEnd"/>
            <w:r w:rsidR="00F800AA">
              <w:rPr>
                <w:lang w:val="es-ES"/>
              </w:rPr>
              <w:t xml:space="preserve"> </w:t>
            </w:r>
            <w:proofErr w:type="spellStart"/>
            <w:r w:rsidR="00F800AA">
              <w:rPr>
                <w:lang w:val="es-ES"/>
              </w:rPr>
              <w:t>Acinetobacter</w:t>
            </w:r>
            <w:proofErr w:type="spellEnd"/>
            <w:r w:rsidR="00F800AA">
              <w:rPr>
                <w:lang w:val="es-ES"/>
              </w:rPr>
              <w:t xml:space="preserve"> </w:t>
            </w:r>
            <w:proofErr w:type="spellStart"/>
            <w:r w:rsidR="00F800AA">
              <w:rPr>
                <w:lang w:val="es-ES"/>
              </w:rPr>
              <w:t>spp</w:t>
            </w:r>
            <w:proofErr w:type="spellEnd"/>
            <w:r w:rsidR="00F800AA">
              <w:rPr>
                <w:lang w:val="es-ES"/>
              </w:rPr>
              <w:t xml:space="preserve">, Pseudomonas </w:t>
            </w:r>
            <w:proofErr w:type="spellStart"/>
            <w:r w:rsidR="00F800AA">
              <w:rPr>
                <w:lang w:val="es-ES"/>
              </w:rPr>
              <w:t>spp</w:t>
            </w:r>
            <w:proofErr w:type="spellEnd"/>
            <w:r w:rsidR="00F800AA">
              <w:rPr>
                <w:lang w:val="es-ES"/>
              </w:rPr>
              <w:t xml:space="preserve">., </w:t>
            </w:r>
            <w:proofErr w:type="spellStart"/>
            <w:r w:rsidR="00F800AA">
              <w:rPr>
                <w:lang w:val="es-ES"/>
              </w:rPr>
              <w:t>or</w:t>
            </w:r>
            <w:proofErr w:type="spellEnd"/>
            <w:r w:rsidR="00F800AA">
              <w:rPr>
                <w:lang w:val="es-ES"/>
              </w:rPr>
              <w:t xml:space="preserve"> </w:t>
            </w:r>
            <w:proofErr w:type="spellStart"/>
            <w:r w:rsidR="00F800AA">
              <w:rPr>
                <w:lang w:val="es-ES"/>
              </w:rPr>
              <w:t>Klebsiella</w:t>
            </w:r>
            <w:proofErr w:type="spellEnd"/>
            <w:r w:rsidR="00F800AA">
              <w:rPr>
                <w:lang w:val="es-ES"/>
              </w:rPr>
              <w:t xml:space="preserve"> </w:t>
            </w:r>
            <w:proofErr w:type="spellStart"/>
            <w:r w:rsidR="00F800AA">
              <w:rPr>
                <w:lang w:val="es-ES"/>
              </w:rPr>
              <w:t>spp</w:t>
            </w:r>
            <w:proofErr w:type="spellEnd"/>
            <w:r w:rsidR="00F800AA">
              <w:rPr>
                <w:lang w:val="es-ES"/>
              </w:rPr>
              <w:t>.),</w:t>
            </w:r>
            <w:r w:rsidR="00F800AA">
              <w:rPr>
                <w:lang w:val="en-GB"/>
              </w:rPr>
              <w:t xml:space="preserve"> especially in </w:t>
            </w:r>
            <w:r w:rsidR="00F800AA">
              <w:rPr>
                <w:lang w:val="en-GB"/>
              </w:rPr>
              <w:lastRenderedPageBreak/>
              <w:t>settings where antibiotic use is routinary</w:t>
            </w:r>
            <w:r>
              <w:rPr>
                <w:lang w:val="en-GB"/>
              </w:rPr>
              <w:t>.</w:t>
            </w:r>
          </w:p>
        </w:tc>
        <w:tc>
          <w:tcPr>
            <w:tcW w:w="3969" w:type="dxa"/>
          </w:tcPr>
          <w:p w14:paraId="780FAB53" w14:textId="77777777" w:rsidR="00D34DC7" w:rsidRDefault="00D34DC7" w:rsidP="00D34DC7">
            <w:pPr>
              <w:rPr>
                <w:lang w:val="en-GB"/>
              </w:rPr>
            </w:pPr>
            <w:r>
              <w:rPr>
                <w:lang w:val="en-GB"/>
              </w:rPr>
              <w:lastRenderedPageBreak/>
              <w:t xml:space="preserve">Long-term use of antibiotics and overreliance on this strategy leading to overuse and misuse is the main driver. In many places with poor monitoring of antibiotic use, high burden of disease due to poor sanitation or poor health system coverage, even low rates of use can be consequential through high rates of misuse. </w:t>
            </w:r>
          </w:p>
          <w:p w14:paraId="0C2C88B1" w14:textId="77777777" w:rsidR="00D34DC7" w:rsidRDefault="00D34DC7" w:rsidP="00D34DC7">
            <w:pPr>
              <w:rPr>
                <w:lang w:val="en-GB"/>
              </w:rPr>
            </w:pPr>
          </w:p>
          <w:p w14:paraId="23849364" w14:textId="77777777" w:rsidR="00D34DC7" w:rsidRDefault="00D34DC7" w:rsidP="00D34DC7">
            <w:pPr>
              <w:rPr>
                <w:lang w:val="en-GB"/>
              </w:rPr>
            </w:pPr>
            <w:r>
              <w:rPr>
                <w:lang w:val="en-GB"/>
              </w:rPr>
              <w:t>High amounts of use in the livestock industry (</w:t>
            </w:r>
            <w:proofErr w:type="gramStart"/>
            <w:r>
              <w:rPr>
                <w:lang w:val="en-GB"/>
              </w:rPr>
              <w:t>e.g.</w:t>
            </w:r>
            <w:proofErr w:type="gramEnd"/>
            <w:r>
              <w:rPr>
                <w:lang w:val="en-GB"/>
              </w:rPr>
              <w:t xml:space="preserve"> through growth promotion or unregulated treatment of disease) has contributed to emergence of tetracycline, colistin resistance and multiple resistance, e.g. in staphylococcus aureus and E. coli.</w:t>
            </w:r>
          </w:p>
          <w:p w14:paraId="301739CC" w14:textId="77777777" w:rsidR="00D34DC7" w:rsidRDefault="00D34DC7" w:rsidP="00D34DC7">
            <w:pPr>
              <w:rPr>
                <w:lang w:val="en-GB"/>
              </w:rPr>
            </w:pPr>
          </w:p>
          <w:p w14:paraId="0611121E" w14:textId="77777777" w:rsidR="00D34DC7" w:rsidRDefault="00D34DC7" w:rsidP="00D34DC7">
            <w:pPr>
              <w:rPr>
                <w:lang w:val="en-GB"/>
              </w:rPr>
            </w:pPr>
            <w:r>
              <w:rPr>
                <w:lang w:val="en-GB"/>
              </w:rPr>
              <w:t xml:space="preserve">The increasing global connectivity through trade and travel has worsened </w:t>
            </w:r>
            <w:r>
              <w:rPr>
                <w:lang w:val="en-GB"/>
              </w:rPr>
              <w:lastRenderedPageBreak/>
              <w:t xml:space="preserve">the consequences on overreliance on antibiotics by increasing gene exchange rates globally. </w:t>
            </w:r>
          </w:p>
          <w:p w14:paraId="08EA24E1" w14:textId="57F0B58E" w:rsidR="00D34DC7" w:rsidRDefault="00D34DC7" w:rsidP="00D34DC7">
            <w:pPr>
              <w:rPr>
                <w:lang w:val="en-GB"/>
              </w:rPr>
            </w:pPr>
            <w:r w:rsidRPr="00092247">
              <w:rPr>
                <w:lang w:val="en-GB"/>
              </w:rPr>
              <w:t>High level of untreated waste from anthropogenic activities has contaminated the environment with antimicrobials residue</w:t>
            </w:r>
            <w:r>
              <w:rPr>
                <w:lang w:val="en-GB"/>
              </w:rPr>
              <w:t xml:space="preserve">s and made them </w:t>
            </w:r>
            <w:r w:rsidRPr="00092247">
              <w:rPr>
                <w:lang w:val="en-GB"/>
              </w:rPr>
              <w:t>favo</w:t>
            </w:r>
            <w:r>
              <w:rPr>
                <w:lang w:val="en-GB"/>
              </w:rPr>
              <w:t>u</w:t>
            </w:r>
            <w:r w:rsidRPr="00092247">
              <w:rPr>
                <w:lang w:val="en-GB"/>
              </w:rPr>
              <w:t>rable reservoirs for emerging and disseminating of resistant pathogens from the environment</w:t>
            </w:r>
            <w:r>
              <w:rPr>
                <w:lang w:val="en-GB"/>
              </w:rPr>
              <w:t>.</w:t>
            </w:r>
          </w:p>
        </w:tc>
        <w:tc>
          <w:tcPr>
            <w:tcW w:w="4678" w:type="dxa"/>
          </w:tcPr>
          <w:p w14:paraId="6836001C" w14:textId="4C95D31B" w:rsidR="004133A4" w:rsidRPr="004133A4" w:rsidRDefault="004133A4" w:rsidP="004133A4">
            <w:pPr>
              <w:rPr>
                <w:lang w:val="en-GB"/>
              </w:rPr>
            </w:pPr>
            <w:r w:rsidRPr="004133A4">
              <w:rPr>
                <w:lang w:val="en-GB"/>
              </w:rPr>
              <w:lastRenderedPageBreak/>
              <w:t>The emergence of extensively resistan</w:t>
            </w:r>
            <w:r w:rsidR="001F3E82">
              <w:rPr>
                <w:lang w:val="en-GB"/>
              </w:rPr>
              <w:t>t</w:t>
            </w:r>
            <w:r w:rsidRPr="004133A4">
              <w:rPr>
                <w:lang w:val="en-GB"/>
              </w:rPr>
              <w:t xml:space="preserve"> and </w:t>
            </w:r>
            <w:proofErr w:type="spellStart"/>
            <w:r w:rsidRPr="004133A4">
              <w:rPr>
                <w:lang w:val="en-GB"/>
              </w:rPr>
              <w:t>pandrug</w:t>
            </w:r>
            <w:proofErr w:type="spellEnd"/>
            <w:r w:rsidRPr="004133A4">
              <w:rPr>
                <w:lang w:val="en-GB"/>
              </w:rPr>
              <w:t xml:space="preserve"> resistant strains of several bacterial infections has been a major driver of global political attention to the topic, recently resulting in the adoption of the WHO global action plan and national action plans to combat the issue as well as the incorporation as an indicator for measure progress on the SDGs.</w:t>
            </w:r>
          </w:p>
          <w:p w14:paraId="7AAF29E7" w14:textId="77777777" w:rsidR="004133A4" w:rsidRPr="004133A4" w:rsidRDefault="004133A4" w:rsidP="004133A4">
            <w:pPr>
              <w:rPr>
                <w:lang w:val="en-GB"/>
              </w:rPr>
            </w:pPr>
          </w:p>
          <w:p w14:paraId="2CE78D2A" w14:textId="2EBE9EA9" w:rsidR="004133A4" w:rsidRPr="004133A4" w:rsidRDefault="004133A4" w:rsidP="004133A4">
            <w:pPr>
              <w:rPr>
                <w:lang w:val="en-GB"/>
              </w:rPr>
            </w:pPr>
            <w:r w:rsidRPr="004133A4">
              <w:rPr>
                <w:lang w:val="en-GB"/>
              </w:rPr>
              <w:t>A major narrative use</w:t>
            </w:r>
            <w:r w:rsidR="001F3E82">
              <w:rPr>
                <w:lang w:val="en-GB"/>
              </w:rPr>
              <w:t>d</w:t>
            </w:r>
            <w:r w:rsidRPr="004133A4">
              <w:rPr>
                <w:lang w:val="en-GB"/>
              </w:rPr>
              <w:t xml:space="preserve"> to raise public awareness of AMR is the “superbugs” narrative, that may also have increased public fear of microorganisms in general.</w:t>
            </w:r>
          </w:p>
          <w:p w14:paraId="4A1F3CAE" w14:textId="77777777" w:rsidR="004133A4" w:rsidRPr="004133A4" w:rsidRDefault="004133A4" w:rsidP="004133A4">
            <w:pPr>
              <w:rPr>
                <w:lang w:val="en-GB"/>
              </w:rPr>
            </w:pPr>
          </w:p>
          <w:p w14:paraId="19958775" w14:textId="2EE2F123" w:rsidR="00D34DC7" w:rsidRDefault="004133A4" w:rsidP="004133A4">
            <w:pPr>
              <w:rPr>
                <w:lang w:val="en-GB"/>
              </w:rPr>
            </w:pPr>
            <w:r>
              <w:rPr>
                <w:lang w:val="en-GB"/>
              </w:rPr>
              <w:t>S</w:t>
            </w:r>
            <w:r w:rsidRPr="004133A4">
              <w:rPr>
                <w:lang w:val="en-GB"/>
              </w:rPr>
              <w:t>tricter regulation of use in livestock farming</w:t>
            </w:r>
            <w:r>
              <w:rPr>
                <w:lang w:val="en-GB"/>
              </w:rPr>
              <w:t xml:space="preserve"> have been introduced on multiple continents</w:t>
            </w:r>
            <w:r w:rsidRPr="004133A4">
              <w:rPr>
                <w:lang w:val="en-GB"/>
              </w:rPr>
              <w:t>, leading to practices less reliant on antibiotic use.</w:t>
            </w:r>
          </w:p>
        </w:tc>
        <w:tc>
          <w:tcPr>
            <w:tcW w:w="1843" w:type="dxa"/>
          </w:tcPr>
          <w:p w14:paraId="187A646E" w14:textId="39C15A24" w:rsidR="00D34DC7" w:rsidRDefault="00D34DC7" w:rsidP="00D34DC7">
            <w:pPr>
              <w:ind w:left="36" w:right="477"/>
              <w:rPr>
                <w:lang w:val="en-GB"/>
              </w:rPr>
            </w:pPr>
            <w:r>
              <w:rPr>
                <w:lang w:val="en-GB"/>
              </w:rPr>
              <w:fldChar w:fldCharType="begin"/>
            </w:r>
            <w:r w:rsidR="005620D3">
              <w:rPr>
                <w:lang w:val="en-GB"/>
              </w:rPr>
              <w:instrText xml:space="preserve"> ADDIN ZOTERO_ITEM CSL_CITATION {"citationID":"PvLRdUWb","properties":{"formattedCitation":"[20,24\\uc0\\u8211{}31]","plainCitation":"[20,24–31]","noteIndex":0},"citationItems":[{"id":36115,"uris":["http://zotero.org/users/9771363/items/SLJQH27P"],"itemData":{"id":36115,"type":"article-journal","abstract":"Development of new biocides has dominated human responses to evolution of antibiotic and pesticide resistance. Increasing and uniform biocide use, the spread of resistance genes, and the lack of new classes of compounds indicate the importance of navigating toward more sustainable coevolutionary dynamics between human culture and species that evolve resistance. To inform this challenge, we introduce the concept of coevolutionary governance and propose three priorities for its implementation: (i) new norms and mental models for lowering use, (ii) diversifying practices to reduce directional selection, and (iii) investment in collective action institutions to govern connectivity. We highlight the availability of solutions that facilitate broader sustainable development, which for antibiotic resistance include improved sanitation and hygiene, strong health systems, and decreased meat consumption.","container-title":"Trends in Ecology and Evolution","DOI":"10.1016/j.tree.2020.01.011","ISSN":"01695347","issue":"6","note":"publisher: The Authors","page":"484-494","title":"Coevolutionary Governance of Antibiotic and Pesticide Resistance","volume":"35","author":[{"family":"Søgaard Jørgensen","given":"Peter"},{"family":"Folke","given":"Carl"},{"family":"Henriksson","given":"Patrik J.G."},{"family":"Malmros","given":"Karin"},{"family":"Troell","given":"Max"},{"family":"Zorzet","given":"Anna"},{"family":"Living with Resistance project","given":""}],"issued":{"date-parts":[["2020"]]},"citation-key":"sogaardjorgensenCoevolutionaryGovernanceAntibiotic2020"},"label":"page"},{"id":32657,"uris":["http://zotero.org/users/9771363/items/42EN3KL4"],"itemData":{"id":32657,"type":"article-journal","abstract":"Objectives: To investigate the molecular epidemiology, antimicrobial susceptibility and carbapenem resistance determinants of Acinetobacter baumannii isolates from respiratory tract samples of patients diagnosed with ventilator-associated pneumonia (VAP) who were enrolled in the MagicBullet clinical trial.Methods: A. baumannii isolates were prospectively cultured from respiratory tract samples from 65 patients from 15 hospitals in Greece, Italy and Spain. Susceptibility testing was performed by broth microdilution. Carbapenem resistance determinants were identified by PCR and sequencing. Molecular epidemiology was investigated using rep-PCR (DiversiLab) and international clones (IC) were identified using our in-house database.Results: Of 65 isolates, all but two isolates (97%) were resistant to imipenem and these were always associated with an acquired carbapenemase, OXA-23 (80%), OXA-40 (4.6%), OXA-58 (1.5%) or OXA-23/58 (1.5%). Resistance to colistin was 47.7%. Twenty-two isolates were XDR, and 20 isolates were pandrug-resistant (PDR). The majority of isolates clustered with IC2 (nΓÇë=ΓÇë54) with one major subtype comprising isolates from 12 hospitals in the three countries, which included 19 XDR and 16 PDR isolates.Conclusions: Carbapenem resistance rates were very high in A. baumannii recovered from patients with VAP. Almost half of the isolates were colistin resistant, and 42 (64.6%) isolates were XDR or PDR. Rep-PCR confirmed IC2 is the predominant clonal lineage in Europe and suggests the presence of an epidemic XDR/PDR A. baumannii clone that has spread in Greece, Italy and Spain. These data highlight the difficulty in empirical treatment of patients with A. baumannii VAP in centres with a high prevalence of carbapenem-resistant A. baumannii.","container-title":"Journal of Antimicrobial Chemotherapy","DOI":"10.1093/jac/dkx322","ISSN":"14602091","issue":"12","note":"PMID: 28961773\narXiv: 1611.06654\nISBN: 2076792171","page":"3277-3282","title":"High incidence of pandrug-resistant Acinetobacter baumannii isolates collected from patients with ventilator-associated pneumonia in Greece, Italy and Spain as part of the MagicBullet clinical trial","volume":"72","author":[{"family":"Nowak","given":"J."},{"family":"Zander","given":"E."},{"family":"Stefanik","given":"D."},{"family":"Higgins","given":"P. G."},{"family":"Roca","given":"I."},{"family":"Vila","given":"J."},{"family":"McConnell","given":"M. J."},{"family":"Cisneros","given":"J. M."},{"family":"Seifert","given":"H."},{"family":"Garnacho-Montero","given":"José"},{"family":"Rosso-Fernández","given":"Clara"},{"family":"Pachon-Ibañez","given":"Ma Eugenia"},{"family":"Pulido","given":"Marina"},{"family":"Moreno","given":"Patricia"},{"family":"Antonelli","given":"Massimo"},{"family":"Dimopoulos","given":"George"},{"family":"Bou","given":"German"},{"family":"Poirel","given":"Laurent"},{"family":"Nordmann","given":"Patrice"},{"family":"Naas","given":"Thierry"}],"issued":{"date-parts":[["2017"]]},"citation-key":"nowakHighIncidencePandrugresistant2017"},"label":"page"},{"id":31504,"uris":["http://zotero.org/users/9771363/items/N9ACW9GJ"],"itemData":{"id":31504,"type":"article-journal","abstract":"Carbapenem resistant Enterobacteriaceae (CRE) pose an urgent risk to global human health. CRE that are non-susceptible to all commercially available antibiotics threaten to return us to the pre-antibiotic era. Using Single Molecule Real Time (SMRT) sequencing we determined the complete genome of a pandrug-resistant Klebsiella pneumoniae isolate, representing the first complete genome sequence of CRE resistant to all commercially available antibiotics. The precise location of acquired antibiotic resistance elements, including mobile elements carrying genes for the OXA-181 carbapenemase, were defined. Intriguingly, we identified three chromosomal copies of an ISEcp1-blaOXA-181 mobile element, one of which has disrupted the mgrB regulatory gene, accounting for resistance to colistin. Our findings provide the first description of pandrug-resistant CRE at the genomic level, and reveal the critical role of mobile resistance elements in accelerating the emergence of resistance to other last resort antibiotics.","container-title":"Scientific Reports","DOI":"10.1038/srep15082","ISSN":"20452322","note":"PMID: 26478520\npublisher: Nature Publishing Group\nISBN: 2045-2322 (Electronic) 2045-2322 (Linking)","page":"1-8","title":"Stepwise evolution of pandrug-resistance in Klebsiella pneumoniae","volume":"5","author":[{"family":"Zowawi","given":"Hosam M."},{"family":"Forde","given":"Brian M."},{"family":"Alfaresi","given":"Mubarak"},{"family":"Alzarouni","given":"Abdulqadir"},{"family":"Farahat","given":"Yasser"},{"family":"Chong","given":"Teik Min"},{"family":"Yin","given":"Wai Fong"},{"family":"Chan","given":"Kok Gan"},{"family":"Li","given":"Jian"},{"family":"Schembri","given":"Mark A."},{"family":"Beatson","given":"Scott A."},{"family":"Paterson","given":"David L."}],"issued":{"date-parts":[["2015"]]},"citation-key":"zowawiStepwiseEvolutionPandrugresistance2015"},"label":"page"},{"id":26264,"uris":["http://zotero.org/users/9771363/items/9Q5AZACW"],"itemData":{"id":26264,"type":"article-journal","container-title":"Transactions of The Royal Society of Tropical Medicine and Hygiene","DOI":"10.1093/trstmh/trw048","ISSN":"0035-9203","note":"PMID: 27475987\nISBN: 0035-9203","page":"377-380","title":"Antibiotic resistance is the quintessential One Health issue","author":[{"family":"Robinson","given":"T. P."},{"family":"Bu","given":"D. P."},{"family":"Carrique-Mas","given":"J."},{"family":"Fèvre","given":"E. M."},{"family":"Gilbert","given":"M."},{"family":"Grace","given":"D."},{"family":"Hay","given":"S. I."},{"family":"Jiwakanon","given":"J."},{"family":"Kakkar","given":"M."},{"family":"Kariuki","given":"S."},{"family":"Laxminarayan","given":"R."},{"family":"Lubroth","given":"J."},{"family":"Magnusson","given":"U."},{"family":"Thi Ngoc","given":"P."},{"family":"Van Boeckel","given":"T. P."},{"family":"Woolhouse","given":"M. E. J."}],"issued":{"date-parts":[["2016"]]},"citation-key":"robinsonAntibioticResistanceQuintessential2016"},"label":"page"},{"id":26445,"uris":["http://zotero.org/users/9771363/items/GBK7KTPL"],"itemData":{"id":26445,"type":"article-journal","container-title":"Nature","DOI":"10.1038/537159a","ISSN":"1476-4687","note":"PMID: 27604934","page":"159-161","title":"Use antimicrobials wisely","volume":"537","author":[{"family":"Jørgensen","given":"Peter S."},{"family":"Wernli","given":"Didier"},{"family":"Carroll","given":"Scott P."},{"family":"Dunn","given":"Robert R."},{"family":"Harbarth","given":"Stephan"},{"family":"Levin","given":"Simon A."},{"family":"So","given":"Anthony D."},{"family":"Schlüter","given":"Maja"},{"family":"Laxminarayan","given":"Ramanan"}],"issued":{"date-parts":[["2016"]]},"citation-key":"jorgensenUseAntimicrobialsWisely2016"},"label":"page"},{"id":28100,"uris":["http://zotero.org/users/9771363/items/XDCK43UR"],"itemData":{"id":28100,"type":"article-journal","container-title":"BMJ Global Health","DOI":"10.1136/bmjgh-2017-000378","ISSN":"2059-7908","issue":"2","page":"e000378","title":"Mapping global policy discourse on antimicrobial resistance","volume":"2","author":[{"family":"Wernli","given":"Didier"},{"family":"Jørgensen","given":"Peter S"},{"family":"Morel","given":"Chantal M"},{"family":"Carroll","given":"Scott"},{"family":"Harbarth","given":"Stephan"},{"family":"Levrat","given":"Nicolas"},{"family":"Pittet","given":"Didier"}],"issued":{"date-parts":[["2017"]]},"citation-key":"wernliMappingGlobalPolicy2017"},"label":"page"},{"id":41884,"uris":["http://zotero.org/users/9771363/items/KY7TTRFK"],"itemData":{"id":41884,"type":"article-journal","abstract":"Antibiotic resistance is an ecosystem problem threatening the interrelated human-animal-environment health under the “One Health” framework. Resistant bacteria arising in one geographical area can spread via cross-reservoir transmission to other areas worldwide either by direct exposure or through the food chain and the environment. Drivers of antibiotic resistance are complex and multi-sectoral particularly in Lower- and Middle-income countries. These include inappropriate socio-ecological behaviors; poverty; overcrowding; lack of surveillance systems; food supply chain safety issues; highly contaminated waste effluents; and loose rules and regulations. In order to examine the drivers of antibiotic resistance from a “one health” perspective, a literature review was conducted on three databases including PubMed, Medline and Google Scholar. A total of 485 studies of potential relevance were selected, out of which 182 were included in this review. Results have shown that the aforementioned market failures are the leading cause for the negative externality of antibiotic resistance that extends in scope from the individual to the global ecosystem. Incremental and sustainable global actions can make the change, however, the problem will continue to prevail if governments do not prioritize the “One health” approach and if individual’s accountability is still denied in a world struggling with profound socio-economic problems.","container-title":"Antibiotics","DOI":"10.3390/antibiotics9070372","ISSN":"2079-6382","issue":"7","language":"en","license":"http://creativecommons.org/licenses/by/3.0/","note":"number: 7\npublisher: Multidisciplinary Digital Publishing Institute","page":"372","source":"www.mdpi.com","title":"Drivers of Antibiotic Resistance Transmission in Low- and Middle-Income Countries from a “One Health” Perspective—A Review","volume":"9","author":[{"family":"Iskandar","given":"Katia"},{"family":"Molinier","given":"Laurent"},{"family":"Hallit","given":"Souheil"},{"family":"Sartelli","given":"Massimo"},{"family":"Catena","given":"Fausto"},{"family":"Coccolini","given":"Federico"},{"family":"Craig Hardcastle","given":"Timothy"},{"family":"Roques","given":"Christine"},{"family":"Salameh","given":"Pascale"}],"issued":{"date-parts":[["2020",7]]},"citation-key":"iskandarDriversAntibioticResistance2020"}},{"id":41882,"uris":["http://zotero.org/users/9771363/items/Q6N3CHK2"],"itemData":{"id":41882,"type":"article-journal","abstract":"Antibiotics and antibiotic resistance genes (ARGs) are prevalent in estuarine and coastal environments due to substantial terrestrial input, aquaculture effluent, and sewage discharge. In this article, based on peer-reviewed papers, the sources, spatial patterns, driving factors, and environmental implications of antibiotics and ARGs in global estuarine and coastal environments are discussed. Riverine runoff, WWTPs, sewage discharge, and aquaculture, are responsible for the prevalence of antibiotics and ARGs. Geographically, pollution due to antibiotics in low- and middle-income countries is higher than that in high-income countries, and ARGs show remarkable latitudinal variations. The distribution of antibiotics is driven by antibiotic usage and environmental variables (heavy metals, nutrients, organic pollutants, etc.), while ARGs are affected by antibiotics residues, environmental variables, microbial communities, and mobile genetic elements (MGEs). Antibiotics and ARGs alter microbial communities and biogeochemical cycles, as well as pose threats to marine organisms and human health. Our results provide comprehensive insights into the transport and environmental behaviors of antibiotics and ARGs in global estuarine and coastal environments.","container-title":"Science of The Total Environment","DOI":"10.1016/j.scitotenv.2021.146009","ISSN":"0048-9697","journalAbbreviation":"Science of The Total Environment","language":"en","page":"146009","source":"ScienceDirect","title":"A systematic review of antibiotics and antibiotic resistance genes in estuarine and coastal environments","volume":"777","author":[{"family":"Zheng","given":"Dongsheng"},{"family":"Yin","given":"Guoyu"},{"family":"Liu","given":"Min"},{"family":"Chen","given":"Cheng"},{"family":"Jiang","given":"Yinghui"},{"family":"Hou","given":"Lijun"},{"family":"Zheng","given":"Yanling"}],"issued":{"date-parts":[["2021",7,10]]},"citation-key":"zhengSystematicReviewAntibiotics2021"}},{"id":41880,"uris":["http://zotero.org/users/9771363/items/TQUCIKK7"],"itemData":{"id":41880,"type":"article-journal","abstract":"Objectives\nSelf-medication with antibiotics (SMA) is a practice of global concern with a higher incidence within the low- and middle-income countries (LMICs). Despite worldwide efforts to control and promote the rational use of antibiotics, the continuing practice of SMA systematically exposes individuals and communities to the risk of antibiotic resistance and a host of other antibiotic side-effects. This systematic scoping review maps evidence on the factors influencing SMA in these settings.\nStudy design\nSystematic scoping review.\nMethods\nThe search strategy involved electronic databases including PubMed, Web of science, Science Direct, EBSCOhost, Google Scholar, BioMed Central, and the World Health Organization Library. PRISMA P guidelines and Arksey and O’Malley’s framework were used. Thematic analysis was used to identify the factors that influence the practices of SMA in LMICs. The Mixed Method Appraisal Tool (MMAT), version 2011, was used to assess the quality of the included primary studies.\nResults\nFifteen studies met the inclusion criteria. Studies included participants from the following LMICs: Guatemala, India, Indonesia, Kenya, Laos, Nepal, Nigeria, Pakistan, Sri Lanka, and Yemen. The findings of the review emphasized a considerable high prevalence of SMA, ranging from 8.1% to 93%, with an association with the level of education, monthly income, and gender of participants. Accessibility, affordability, and conditions of health facilities, as well as the health-seeking behavior, are factors that influence SMA in LMICs. Health conditions such as a sore throat, common cold, cough, headache, toothache, flu-like symptoms, pain relief, fever, runny nose, toothache, upper respiratory tract infections, and urinary tract infection were the major complaints that led to the practices of SMA.\nConclusions\nThere is a considerable level of research evidence predominantly in some LMICs from Asia, with less evidence from African LMICs. Sociocultural determinants of health associated with the structure and conditions of health system as well as the health-seeking behavior are the main factors influencing SMA. Contextual and comprehensive studies on the factors influencing the non-prescribed use of antibiotics are needed to enable evidence-based strategies to correctly address the utilization of antibiotics and contain the problem of antimicrobial resistance, especially within the LMICs.\nProspero registration\nCRD42017072954.","collection-title":"Travel Health","container-title":"Public Health","DOI":"10.1016/j.puhe.2018.11.018","ISSN":"0033-3506","journalAbbreviation":"Public Health","language":"en","page":"92-101","source":"ScienceDirect","title":"Evidence of factors influencing self-medication with antibiotics in low and middle-income countries: a systematic scoping review","title-short":"Evidence of factors influencing self-medication with antibiotics in low and middle-income countries","volume":"168","author":[{"family":"Torres","given":"N. F."},{"family":"Chibi","given":"B."},{"family":"Middleton","given":"L. E."},{"family":"Solomon","given":"V. P."},{"family":"Mashamba-Thompson","given":"T. P."}],"issued":{"date-parts":[["2019",3,1]]},"citation-key":"torresEvidenceFactorsInfluencing2019"},"label":"page"}],"schema":"https://github.com/citation-style-language/schema/raw/master/csl-citation.json"} </w:instrText>
            </w:r>
            <w:r>
              <w:rPr>
                <w:lang w:val="en-GB"/>
              </w:rPr>
              <w:fldChar w:fldCharType="separate"/>
            </w:r>
            <w:r w:rsidR="005620D3" w:rsidRPr="005620D3">
              <w:rPr>
                <w:rFonts w:ascii="Calibri" w:hAnsi="Calibri" w:cs="Calibri"/>
                <w:szCs w:val="24"/>
                <w:lang w:val="en-GB"/>
              </w:rPr>
              <w:t>[20,24–31]</w:t>
            </w:r>
            <w:r>
              <w:rPr>
                <w:lang w:val="en-GB"/>
              </w:rPr>
              <w:fldChar w:fldCharType="end"/>
            </w:r>
            <w:r>
              <w:rPr>
                <w:lang w:val="en-GB"/>
              </w:rPr>
              <w:t xml:space="preserve"> </w:t>
            </w:r>
          </w:p>
        </w:tc>
      </w:tr>
      <w:tr w:rsidR="00D34DC7" w:rsidRPr="000A54B1" w14:paraId="48AEA973" w14:textId="77777777" w:rsidTr="00511FC5">
        <w:tc>
          <w:tcPr>
            <w:tcW w:w="1413" w:type="dxa"/>
          </w:tcPr>
          <w:p w14:paraId="75988EF5" w14:textId="77777777" w:rsidR="00D34DC7" w:rsidRDefault="00D34DC7" w:rsidP="00D34DC7">
            <w:pPr>
              <w:rPr>
                <w:lang w:val="en-GB"/>
              </w:rPr>
            </w:pPr>
            <w:r>
              <w:rPr>
                <w:lang w:val="en-GB"/>
              </w:rPr>
              <w:t>O</w:t>
            </w:r>
            <w:r w:rsidRPr="00E32236">
              <w:rPr>
                <w:lang w:val="en-GB"/>
              </w:rPr>
              <w:t>riental fruit fly</w:t>
            </w:r>
          </w:p>
          <w:p w14:paraId="3278B98A" w14:textId="77777777" w:rsidR="00D34DC7" w:rsidRDefault="00D34DC7" w:rsidP="00D34DC7">
            <w:pPr>
              <w:rPr>
                <w:i/>
                <w:iCs/>
                <w:lang w:val="en-GB"/>
              </w:rPr>
            </w:pPr>
          </w:p>
          <w:p w14:paraId="43F76712" w14:textId="0AF9F6AB" w:rsidR="00D34DC7" w:rsidRDefault="00D34DC7" w:rsidP="00D34DC7">
            <w:pPr>
              <w:rPr>
                <w:i/>
                <w:iCs/>
                <w:lang w:val="en-GB"/>
              </w:rPr>
            </w:pPr>
            <w:proofErr w:type="spellStart"/>
            <w:r>
              <w:rPr>
                <w:i/>
                <w:iCs/>
                <w:lang w:val="en-GB"/>
              </w:rPr>
              <w:t>Batrocera</w:t>
            </w:r>
            <w:proofErr w:type="spellEnd"/>
          </w:p>
          <w:p w14:paraId="2B428D08" w14:textId="25D4E490" w:rsidR="00D34DC7" w:rsidRPr="00D83D85" w:rsidRDefault="00D34DC7" w:rsidP="00D34DC7">
            <w:pPr>
              <w:rPr>
                <w:i/>
                <w:iCs/>
                <w:lang w:val="en-GB"/>
              </w:rPr>
            </w:pPr>
            <w:r>
              <w:rPr>
                <w:i/>
                <w:iCs/>
                <w:lang w:val="en-GB"/>
              </w:rPr>
              <w:t>dorsalis</w:t>
            </w:r>
          </w:p>
          <w:p w14:paraId="3CF33FA2" w14:textId="735124B4" w:rsidR="00D34DC7" w:rsidRDefault="00D34DC7" w:rsidP="00D34DC7">
            <w:pPr>
              <w:rPr>
                <w:lang w:val="en-GB"/>
              </w:rPr>
            </w:pPr>
          </w:p>
        </w:tc>
        <w:tc>
          <w:tcPr>
            <w:tcW w:w="1984" w:type="dxa"/>
          </w:tcPr>
          <w:p w14:paraId="5ADCF334" w14:textId="5CFC1C80" w:rsidR="00D34DC7" w:rsidRDefault="00D34DC7" w:rsidP="00D34DC7">
            <w:pPr>
              <w:rPr>
                <w:lang w:val="en-GB"/>
              </w:rPr>
            </w:pPr>
            <w:r>
              <w:rPr>
                <w:lang w:val="en-GB"/>
              </w:rPr>
              <w:t>I</w:t>
            </w:r>
            <w:r w:rsidRPr="00E32236">
              <w:rPr>
                <w:lang w:val="en-GB"/>
              </w:rPr>
              <w:t xml:space="preserve">nvasion of Africa </w:t>
            </w:r>
            <w:r>
              <w:rPr>
                <w:lang w:val="en-GB"/>
              </w:rPr>
              <w:t xml:space="preserve">starting in </w:t>
            </w:r>
            <w:r w:rsidRPr="00E32236">
              <w:rPr>
                <w:lang w:val="en-GB"/>
              </w:rPr>
              <w:t>2003</w:t>
            </w:r>
            <w:r>
              <w:rPr>
                <w:lang w:val="en-GB"/>
              </w:rPr>
              <w:t xml:space="preserve"> spreading to most of the continent.</w:t>
            </w:r>
          </w:p>
        </w:tc>
        <w:tc>
          <w:tcPr>
            <w:tcW w:w="3969" w:type="dxa"/>
          </w:tcPr>
          <w:p w14:paraId="61260611" w14:textId="15681FF7" w:rsidR="00D34DC7" w:rsidRDefault="00D34DC7" w:rsidP="00D34DC7">
            <w:pPr>
              <w:rPr>
                <w:lang w:val="en-GB"/>
              </w:rPr>
            </w:pPr>
            <w:r>
              <w:rPr>
                <w:lang w:val="en-GB"/>
              </w:rPr>
              <w:t>International fruit and vegetable trade and transport, and travel associated with introduction.</w:t>
            </w:r>
          </w:p>
          <w:p w14:paraId="7E4A0A47" w14:textId="5787DF95" w:rsidR="00D34DC7" w:rsidRDefault="00D34DC7" w:rsidP="00D34DC7">
            <w:pPr>
              <w:rPr>
                <w:lang w:val="en-GB"/>
              </w:rPr>
            </w:pPr>
            <w:r>
              <w:rPr>
                <w:lang w:val="en-GB"/>
              </w:rPr>
              <w:t>Reliance on insecticide use as major control strategy has likely contributed to increasing impacts.</w:t>
            </w:r>
          </w:p>
          <w:p w14:paraId="32977D21" w14:textId="6C271731" w:rsidR="00D34DC7" w:rsidRDefault="00D34DC7" w:rsidP="00D34DC7">
            <w:pPr>
              <w:rPr>
                <w:lang w:val="en-GB"/>
              </w:rPr>
            </w:pPr>
            <w:r>
              <w:rPr>
                <w:lang w:val="en-GB"/>
              </w:rPr>
              <w:t>Increasing climate change anomalies are correlated with the spread, but the causal connection has not been investigated.</w:t>
            </w:r>
          </w:p>
          <w:p w14:paraId="696B0B6C" w14:textId="60DF553D" w:rsidR="00D34DC7" w:rsidRDefault="00D34DC7" w:rsidP="00D34DC7">
            <w:pPr>
              <w:rPr>
                <w:lang w:val="en-GB"/>
              </w:rPr>
            </w:pPr>
          </w:p>
        </w:tc>
        <w:tc>
          <w:tcPr>
            <w:tcW w:w="4678" w:type="dxa"/>
          </w:tcPr>
          <w:p w14:paraId="78105094" w14:textId="3C48A8C7" w:rsidR="00D34DC7" w:rsidRDefault="00D34DC7" w:rsidP="00D34DC7">
            <w:pPr>
              <w:rPr>
                <w:lang w:val="en-GB"/>
              </w:rPr>
            </w:pPr>
            <w:r>
              <w:rPr>
                <w:lang w:val="en-GB"/>
              </w:rPr>
              <w:t>Quarantines and export restrictions reducing viability of smallholder farm operations in impacted countries.</w:t>
            </w:r>
          </w:p>
          <w:p w14:paraId="4CA15E69" w14:textId="26A45DF4" w:rsidR="00D34DC7" w:rsidRDefault="00D34DC7" w:rsidP="00D34DC7">
            <w:pPr>
              <w:rPr>
                <w:lang w:val="en-GB"/>
              </w:rPr>
            </w:pPr>
            <w:r>
              <w:rPr>
                <w:lang w:val="en-GB"/>
              </w:rPr>
              <w:t>For example, in Mozambique</w:t>
            </w:r>
          </w:p>
          <w:p w14:paraId="4F832B72" w14:textId="7F509545" w:rsidR="00D34DC7" w:rsidRPr="00B606EA" w:rsidRDefault="00D34DC7" w:rsidP="00D34DC7">
            <w:pPr>
              <w:rPr>
                <w:lang w:val="en-GB"/>
              </w:rPr>
            </w:pPr>
            <w:r>
              <w:rPr>
                <w:lang w:val="en-GB"/>
              </w:rPr>
              <w:t>“F</w:t>
            </w:r>
            <w:r w:rsidRPr="00B606EA">
              <w:rPr>
                <w:lang w:val="en-GB"/>
              </w:rPr>
              <w:t>ruit</w:t>
            </w:r>
          </w:p>
          <w:p w14:paraId="76268303" w14:textId="312062E1" w:rsidR="00D34DC7" w:rsidRPr="00B606EA" w:rsidRDefault="00D34DC7" w:rsidP="00D34DC7">
            <w:pPr>
              <w:rPr>
                <w:lang w:val="en-GB"/>
              </w:rPr>
            </w:pPr>
            <w:r w:rsidRPr="00B606EA">
              <w:rPr>
                <w:lang w:val="en-GB"/>
              </w:rPr>
              <w:t xml:space="preserve">production </w:t>
            </w:r>
            <w:r>
              <w:rPr>
                <w:lang w:val="en-GB"/>
              </w:rPr>
              <w:t>[…]</w:t>
            </w:r>
            <w:r w:rsidRPr="00B606EA">
              <w:rPr>
                <w:lang w:val="en-GB"/>
              </w:rPr>
              <w:t xml:space="preserve"> became uneconomic and families’ economy and food security</w:t>
            </w:r>
          </w:p>
          <w:p w14:paraId="0014A58F" w14:textId="5A5D6A0B" w:rsidR="00D34DC7" w:rsidRDefault="00D34DC7" w:rsidP="00D34DC7">
            <w:pPr>
              <w:rPr>
                <w:lang w:val="en-GB"/>
              </w:rPr>
            </w:pPr>
            <w:r w:rsidRPr="00B606EA">
              <w:rPr>
                <w:lang w:val="en-GB"/>
              </w:rPr>
              <w:t>were negatively affected</w:t>
            </w:r>
            <w:r>
              <w:rPr>
                <w:lang w:val="en-GB"/>
              </w:rPr>
              <w:t xml:space="preserve">.” </w:t>
            </w:r>
          </w:p>
        </w:tc>
        <w:tc>
          <w:tcPr>
            <w:tcW w:w="1843" w:type="dxa"/>
          </w:tcPr>
          <w:p w14:paraId="4AA21FE6" w14:textId="2E8A6C75" w:rsidR="00D34DC7" w:rsidRPr="00155FBC" w:rsidRDefault="00D34DC7" w:rsidP="002B679D">
            <w:pPr>
              <w:ind w:left="36" w:right="477"/>
              <w:rPr>
                <w:lang w:val="en-GB"/>
              </w:rPr>
            </w:pPr>
            <w:r>
              <w:rPr>
                <w:lang w:val="da-DK"/>
              </w:rPr>
              <w:fldChar w:fldCharType="begin"/>
            </w:r>
            <w:r w:rsidR="005620D3">
              <w:rPr>
                <w:lang w:val="en-GB"/>
              </w:rPr>
              <w:instrText xml:space="preserve"> ADDIN ZOTERO_ITEM CSL_CITATION {"citationID":"IMf4E6v3","properties":{"formattedCitation":"[32\\uc0\\u8211{}36]","plainCitation":"[32–36]","noteIndex":0},"citationItems":[{"id":41214,"uris":["http://zotero.org/users/9771363/items/E4ILV7H5"],"itemData":{"id":41214,"type":"article-journal","abstract":"The oriental fruit fly, Bactrocera dorsalis (Hendel) (Diptera: Tephritidae), is an important pest of commercial fruit and vegetables in various parts of Asia and Africa, in some South Pacific islands and in Hawaii. Commercial fruit and vegetables can be protected from this pest prior to harvest using multiple control tactics. This paper reviews measures being used and developed for pre-harvest management of B. dorsalis. An integrated use of monitoring and combinations of control tactics on an area-wide basis for the pest is discussed.","container-title":"CAB Reviews: Perspectives in Agriculture, Veterinary Science, Nutrition and Natural Resources","DOI":"10.1079/PAVSNNR202015003","ISSN":"17498848","issue":"3","title":"Pre-harvest management of the oriental fruit fly","volume":"15","author":[{"family":"Manrakhan","given":"A."}],"issued":{"date-parts":[["2018"]]},"citation-key":"manrakhanPreharvestManagementOriental2018"}},{"id":41202,"uris":["http://zotero.org/users/9771363/items/NB8AE265"],"itemData":{"id":41202,"type":"article-journal","abstract":"Bactrocera dorsalis (Hendel) (Diptera: Tephritidae) is a major pest of fruits and vegetables across the world. Following its first detection in Africa in 2003, it has rapidly spread and established successfully across the continent. The current paper reviews the status of B. dorsalis in Africa exploring invasion patterns and the role of climate and the environment in its invasion success. We also review current management practices highlighting recent developments and future prospects for its control. We note that the period 2003–2014 was marked by the rapid spread of B. dorsalis from East to West, as well as part of North, central and southern African regions. This invasion success probably stems from favourable environmental conditions in relation to climate and diverse host plants. In addition, competitive biotic factors including superior reproductive traits may give it a competitive edge over its interspecific competitors. Current management practices range from cultural, biological, interference methods, chemical, genetic engineering and integrated approaches. We therefore highlight opportunities for successful sustainable control with particular focus on new genomic approaches that require regionally coordinated efforts to curb future biological invasions. These new approaches may complement the efficacy of current practices such as sterile insect technique (SIT) in order to improve access to export markets and help transform African economies through sustainable fruit and vegetable trade.","container-title":"Crop Protection","DOI":"10.1016/j.cropro.2020.105492","ISSN":"02612194","issue":"November 2020","note":"publisher: Elsevier Ltd","page":"105492","title":"Overview of oriental fruit fly, Bactrocera dorsalis (Hendel) (Diptera: Tephritidae) in Africa: From invasion, bio-ecology to sustainable management","volume":"141","author":[{"family":"Mutamiswa","given":"Reyard"},{"family":"Nyamukondiwa","given":"Casper"},{"family":"Chikowore","given":"Gerald"},{"family":"Chidawanyika","given":"Frank"}],"issued":{"date-parts":[["2021"]]},"citation-key":"mutamiswaOverviewOrientalFruit2021"}},{"id":41208,"uris":["http://zotero.org/users/9771363/items/8MZ5HKDE"],"itemData":{"id":41208,"type":"article-journal","abstract":"Since the start of the 20th century, many invasive alien species (IAS) have spread rapidly around the world, causing serious threats to economies, societies and the environment. Bactrocera dorsalis (Hendel) (Diptera: Tephritidae) is an important quarantine insect species in many countries that spread around the world over the last century. This review collected information on the distribution of B. dorsalis to explore the patterns of its invasion expansion. We found B. dorsalis to be distributed in 75 countries (comprised of 124 geographical distribution regions: provinces or states) in Asia, Africa, North America, South America and Oceania up to 2017. Asia and Africa were the most represented regions, accounting for 86.3% of the total number of countries. From 1910 to 1990, B. dorsalis was only found in five countries, but in the last three decades, it has experienced a sharp increase in its rate of spread, invading 70 more countries. Global temperature anomaly has significantly positive correlation with the spread of B. dorsalis. The results of this review provide a theoretical basis for understanding and predicting the continued spread of B. dorsalis under global changes.","container-title":"Journal of Applied Entomology","DOI":"10.1111/jen.12582","ISSN":"14390418","issue":"3","page":"165-176","title":"Global distribution and invasion pattern of oriental fruit fly, Bactrocera dorsalis (Diptera: Tephritidae)","volume":"143","author":[{"family":"Zeng","given":"Yiying"},{"family":"Reddy","given":"Gadi V.P."},{"family":"Li","given":"Zhihong"},{"family":"Qin","given":"Yujia"},{"family":"Wang","given":"Yannan"},{"family":"Pan","given":"Xubin"},{"family":"Jiang","given":"Fan"},{"family":"Gao","given":"Feng"},{"family":"Zhao","given":"Zi Hua"}],"issued":{"date-parts":[["2019"]]},"citation-key":"zengGlobalDistributionInvasion2019"}},{"id":41206,"uris":["http://zotero.org/users/9771363/items/SURLPNC7"],"itemData":{"id":41206,"type":"article-journal","abstract":"The International Centre of Insect Physiology and Ecology (icipe) recently developed and disseminated an integrated pest management (IPM) strategy to suppress the invasive oriental fruit fly species Bactrocera dorsalis in mango-growing communities in Africa. While the economic benefits of the strategy in mango production have been established, the cross-commodity benefits have not been assessed, despite evidence of the target fruit fly species’ effect on a wide range of cultivated host crops. Using propensity score matching, we analysed data on 371 households obtained from a survey of an icipe project in Kenya and sought to determine whether applying an IPM strategy for fruit fly had a spillover effect on gross margins. We focused on four alternative cultivated hosts of B. dorsalis, namely avocado, pawpaw, citrus and banana. We found positive and significant cross-commodity spillover effects in respect of employing the IPM strategy for fruit fly targeting pawpaw and citrus, suggesting a wide scope for IPM investment in Kenya and other fruit-producing regions in sub-Saharan Africa.","container-title":"Food Policy","DOI":"10.1016/j.foodpol.2019.03.006","ISSN":"03069192","issue":"November 2017","page":"121-132","title":"Economic analysis of spillover effects of an integrated pest management (IPM) strategy for suppression of mango fruit fly in Kenya","volume":"84","author":[{"family":"Githiomi","given":"Caroline"},{"family":"Muriithi","given":"Beatrice"},{"family":"Irungu","given":"Patrick"},{"family":"Mwungu","given":"Chris M."},{"family":"Diiro","given":"Gracious"},{"family":"Affognon","given":"Hippolyte"},{"family":"Mburu","given":"John"},{"family":"Ekesi","given":"Sunday"}],"issued":{"date-parts":[["2019"]]},"citation-key":"githiomiEconomicAnalysisSpillover2019"}},{"id":41481,"uris":["http://zotero.org/users/9771363/items/V4TJRH69"],"itemData":{"id":41481,"type":"paper-conference","abstract":"Fruit flies are among the most important pests of fruits and vegetables in the world. The invasive fruit fly Bactrocera invadens (Diptera: Tephritidae) was first detected in Africa in 2003 in Kenya, has spread to at least 27 countries attacking a wide variety of crops. It causes reduction of fruit quality, loss of market value and, as a quarantine pest, also causes rejection of fruits at international markets. In Mozambique, B. invadens was recorded for the first time in 2007 in Niassa Province. However, no studies were conducted to assess its associated socio-economic impact in the country. From January to May 2012, 13 private fruit producers of mango and banana and 65 small scale fruit sellers were interviewed in Cabo Delgado, Nampula and Manica Provinces. Relevant means and statistics were calculated and means were compared. From the farmers officially registered, 75% have heard about the invasive fruit fly, while among the sellers, only 40% know this pest. Exporting fruit producers have lost temporarily the South African market and permanently the Zimbabwean market. Due to domestic quarantine, farmers also lost the biggest trade center (Maputo) in the country. The volume of sales reduced significantly and private investments in fruit sector were suspended. Mango farmers had an increase in cost of production of more than USD 780/ha in control measures during the mango season. Selling price is lower than expected (25% less) causing reduction of 30% in rural family's income. So, fruit production in Mozambique became uneconomic and families' economy and food security were negatively affected with B. invadens introduction.","language":"en","publisher":"RUFORUM","title":"Assessment of the socio-economic impact of the invasive fruit fly Bactrocera invadens (Diptera: Tephritidae) in Mozambique.","title-short":"Assessment of the socio-economic impact of the invasive fruit fly Bactrocera invadens (Diptera","URL":"https://www.cabi.org/ISC/abstract/20173009564","author":[{"family":"José","given":"L"},{"family":"Cugala","given":"D"},{"family":"Santos","given":"L"},{"family":"Meyer","given":"M.","dropping-particle":"de"}],"accessed":{"date-parts":[["2022",8,5]]},"issued":{"date-parts":[["2014"]]},"citation-key":"joseAssessmentSocioeconomicImpact2014"}}],"schema":"https://github.com/citation-style-language/schema/raw/master/csl-citation.json"} </w:instrText>
            </w:r>
            <w:r>
              <w:rPr>
                <w:lang w:val="da-DK"/>
              </w:rPr>
              <w:fldChar w:fldCharType="separate"/>
            </w:r>
            <w:r w:rsidR="005620D3" w:rsidRPr="005620D3">
              <w:rPr>
                <w:rFonts w:ascii="Calibri" w:hAnsi="Calibri" w:cs="Calibri"/>
                <w:szCs w:val="24"/>
                <w:lang w:val="en-GB"/>
              </w:rPr>
              <w:t>[32–36]</w:t>
            </w:r>
            <w:r>
              <w:rPr>
                <w:lang w:val="da-DK"/>
              </w:rPr>
              <w:fldChar w:fldCharType="end"/>
            </w:r>
          </w:p>
        </w:tc>
      </w:tr>
      <w:tr w:rsidR="00D34DC7" w:rsidRPr="000A54B1" w14:paraId="1B193513" w14:textId="77777777" w:rsidTr="00511FC5">
        <w:tc>
          <w:tcPr>
            <w:tcW w:w="1413" w:type="dxa"/>
          </w:tcPr>
          <w:p w14:paraId="02847972" w14:textId="3742FBA4" w:rsidR="00D34DC7" w:rsidRPr="00155FBC" w:rsidRDefault="009A6EF2" w:rsidP="00D34DC7">
            <w:pPr>
              <w:rPr>
                <w:lang w:val="en-GB"/>
              </w:rPr>
            </w:pPr>
            <w:r>
              <w:rPr>
                <w:lang w:val="en-GB"/>
              </w:rPr>
              <w:t xml:space="preserve">Avian flu </w:t>
            </w:r>
            <w:r w:rsidR="00D34DC7" w:rsidRPr="00155FBC">
              <w:rPr>
                <w:lang w:val="en-GB"/>
              </w:rPr>
              <w:t>H5N1</w:t>
            </w:r>
          </w:p>
        </w:tc>
        <w:tc>
          <w:tcPr>
            <w:tcW w:w="1984" w:type="dxa"/>
          </w:tcPr>
          <w:p w14:paraId="2F33B666" w14:textId="3105F2BB" w:rsidR="00D34DC7" w:rsidRPr="00155FBC" w:rsidRDefault="00D34DC7" w:rsidP="00D34DC7">
            <w:pPr>
              <w:rPr>
                <w:lang w:val="en-GB"/>
              </w:rPr>
            </w:pPr>
            <w:r w:rsidRPr="00155FBC">
              <w:rPr>
                <w:lang w:val="en-GB"/>
              </w:rPr>
              <w:t>Epidemic of 2003-2007</w:t>
            </w:r>
            <w:r>
              <w:rPr>
                <w:lang w:val="en-GB"/>
              </w:rPr>
              <w:t xml:space="preserve"> that spread through most of Asia and parts of Africa and Europe.</w:t>
            </w:r>
          </w:p>
        </w:tc>
        <w:tc>
          <w:tcPr>
            <w:tcW w:w="3969" w:type="dxa"/>
          </w:tcPr>
          <w:p w14:paraId="6DE9326F" w14:textId="43D17608" w:rsidR="00D34DC7" w:rsidRPr="002E785F" w:rsidRDefault="00D34DC7" w:rsidP="00D34DC7">
            <w:pPr>
              <w:rPr>
                <w:lang w:val="en-GB"/>
              </w:rPr>
            </w:pPr>
            <w:r w:rsidRPr="002E785F">
              <w:rPr>
                <w:lang w:val="en-GB"/>
              </w:rPr>
              <w:t xml:space="preserve">Zoonotic </w:t>
            </w:r>
            <w:proofErr w:type="spellStart"/>
            <w:r w:rsidRPr="002E785F">
              <w:rPr>
                <w:lang w:val="en-GB"/>
              </w:rPr>
              <w:t>spillover</w:t>
            </w:r>
            <w:proofErr w:type="spellEnd"/>
            <w:r w:rsidRPr="002E785F">
              <w:rPr>
                <w:lang w:val="en-GB"/>
              </w:rPr>
              <w:t xml:space="preserve"> to farm a</w:t>
            </w:r>
            <w:r>
              <w:rPr>
                <w:lang w:val="en-GB"/>
              </w:rPr>
              <w:t>nimals from wildfowl, especially waterfowl.</w:t>
            </w:r>
          </w:p>
        </w:tc>
        <w:tc>
          <w:tcPr>
            <w:tcW w:w="4678" w:type="dxa"/>
          </w:tcPr>
          <w:p w14:paraId="20BF52D7" w14:textId="71B9D0A2" w:rsidR="00D34DC7" w:rsidRPr="002E785F" w:rsidRDefault="00D34DC7" w:rsidP="00D34DC7">
            <w:pPr>
              <w:rPr>
                <w:lang w:val="en-GB"/>
              </w:rPr>
            </w:pPr>
            <w:r>
              <w:rPr>
                <w:lang w:val="en-GB"/>
              </w:rPr>
              <w:t>Culling of many millions of chickens. Dietary change away from chicken products during its spread and concurrent buy ups and stockpiling of antiviral products, including Tamiflu.</w:t>
            </w:r>
          </w:p>
        </w:tc>
        <w:tc>
          <w:tcPr>
            <w:tcW w:w="1843" w:type="dxa"/>
          </w:tcPr>
          <w:p w14:paraId="2640B2D4" w14:textId="1B22D862" w:rsidR="00D34DC7" w:rsidRPr="002E785F" w:rsidRDefault="00D34DC7" w:rsidP="00D34DC7">
            <w:pPr>
              <w:ind w:right="477"/>
              <w:rPr>
                <w:lang w:val="en-GB"/>
              </w:rPr>
            </w:pPr>
            <w:r>
              <w:rPr>
                <w:lang w:val="en-GB"/>
              </w:rPr>
              <w:fldChar w:fldCharType="begin"/>
            </w:r>
            <w:r w:rsidR="005620D3">
              <w:rPr>
                <w:lang w:val="en-GB"/>
              </w:rPr>
              <w:instrText xml:space="preserve"> ADDIN ZOTERO_ITEM CSL_CITATION {"citationID":"d4QQRIJZ","properties":{"formattedCitation":"[37\\uc0\\u8211{}40]","plainCitation":"[37–40]","noteIndex":0},"citationItems":[{"id":10199,"uris":["http://zotero.org/users/9771363/items/QU3G2W4Q"],"itemData":{"id":10199,"type":"article-journal","issue":"February","title":"Global programme for the prevention and control of h5n1 highly pathogenic avian influenza","issued":{"date-parts":[["2008"]]},"citation-key":"GlobalProgrammePrevention2008"},"locator":"1"},{"id":41504,"uris":["http://zotero.org/users/9771363/items/4XS3DN9I"],"itemData":{"id":41504,"type":"article-journal","abstract":"Farmers may organize themselves to collectively manage risks such as animal diseases. Our study shows some evidence of such organization among fighting cock owners in Thailand. Fighting cocks were specifically targeted by HPAI (Highly Pathogenic Avian Influenza) H5N1 surveillance and control measures in Thailand because they were thought to pose a high risk of spreading diseases. In this work, we used a social-anthropological approach to gain an inside view of the issues associated with HPAI H5N1 surveillance in the cockfighting community in Thailand. Based on a qualitative analysis of data collected through in-depth interviews and observation of cockfighters’ practices, we found that fighting cock owners share a sense of belonging to the same community based on a common culture, values, interests, practices, and internal rules, including rules to manage poultry diseases. During the HPAI H5N1 outbreaks, these rules may have contributed to mitigating the potential risk associated with the intense movements of fighting cocks inside the country. Nevertheless, this community, despite the high awareness and know-how of its members regarding poultry diseases, has shown a strong reluctance to comply with HPAI surveillance programs. We suggest that this reluctance is due to important gaps between the logic and rationales underlying surveillance and those associated with cockfighting activities. Our study highlights the need for multi and trans-disciplinary research involving the social sciences to analyze interactions between stakeholders and the collective actions implemented by communities to face risks.","collection-title":"2nd International Conference on Animal Health Surveillance (ICAHS)","container-title":"Preventive Veterinary Medicine","DOI":"10.1016/j.prevetmed.2015.02.021","ISSN":"0167-5877","issue":"1","journalAbbreviation":"Preventive Veterinary Medicine","language":"en","page":"106-114","source":"ScienceDirect","title":"Collective resistance to HPAI H5N1 surveillance in the Thai cockfighting community: Insights from a social anthropology study","title-short":"Collective resistance to HPAI H5N1 surveillance in the Thai cockfighting community","volume":"120","author":[{"family":"Paul","given":"Mathilde C."},{"family":"Figuié","given":"Muriel"},{"family":"Kovitvadhi","given":"Attawit"},{"family":"Valeix","given":"Sophie"},{"family":"Wongnarkpet","given":"Sirichai"},{"family":"Poolkhet","given":"Chaithep"},{"family":"Kasemsuwan","given":"Suwicha"},{"family":"Ducrot","given":"Christian"},{"family":"Roger","given":"François"},{"family":"Binot","given":"Aurélie"}],"issued":{"date-parts":[["2015",6,1]]},"citation-key":"paulCollectiveResistanceHPAI2015"},"locator":"1"},{"id":22615,"uris":["http://zotero.org/users/9771363/items/T63XCJBK"],"itemData":{"id":22615,"type":"article-journal","container-title":"Emerging Microbes &amp; Infections","DOI":"10.1038/emi.2012.24","ISSN":"2222-1751","issue":"9","note":"Citation Key: To2012","page":"e25","title":"Avian influenza A H5N1 virus: a continuous threat to humans","volume":"1","author":[{"family":"To","given":"Kelvin Kw"},{"family":"Ng","given":"Kenneth Hl"},{"family":"Que","given":"Tak-Lun"},{"family":"Chan","given":"Jacky Mc"},{"family":"Tsang","given":"Kay-Yan"},{"family":"Tsang","given":"Alan Kl"},{"family":"Chen","given":"Honglin"},{"family":"Yuen","given":"Kwok-Yung"}],"issued":{"date-parts":[["2012",9]]},"citation-key":"To2012"},"locator":"1"},{"id":11656,"uris":["http://zotero.org/users/9771363/items/RGMMR2KI"],"itemData":{"id":11656,"type":"article-journal","abstract":"The role of migratory birds in the movement of the highly pathogenic (HP) avian influenza H5N1 remains a subject of debate. Testing hypotheses regarding intercontinental movement of low pathogenic avian influenza (LPAI) viruses will help evaluate the potential that wild birds could carry Asian-origin strains of HP avian influenza to North America during migration. Previous North American assessments of LPAI genetic variation have found few Asian reassortment events. Here, we present results from whole-genome analyses of LPAI isolates collected in Alaska from the northern pintail (Anas acuta), a species that migrates between North America and Asia. Phylogenetic analyses confirmed the genetic divergence between Asian and North American strains of LPAI, but also suggested inter-continental virus exchange and at a higher frequency than previously documented. In 38 isolates from Alaska, nearly half (44.7%) had at least one gene segment more closely related to Asian than to North American strains of LPAI. Additionally, sequences of several Asian LPAI isolates from GenBank clustered more closely with North American northern pintail isolates than with other Asian origin viruses. Our data support the role of wild birds in the intercontinental transfer of influenza viruses, and reveal a higher degree of transfer in Alaska than elsewhere in North America.","container-title":"Molecular Ecology","issue":"21","note":"Citation Key: AnsonV.Koehler2008\nISBN: 1365-294X","page":"4754-4762","title":"Genetic evidence of intercontinental movement of avian influenza in a migratory bird: the northern pintail (&lt;i&gt;Anas acuta&lt;/i&gt;)","volume":"17","author":[{"family":"Anson V. Koehler","given":"John M Pearce Paul L Flint J Christian Franson Hon S Ip"}],"issued":{"date-parts":[["2008"]]},"citation-key":"AnsonV.Koehler2008"}}],"schema":"https://github.com/citation-style-language/schema/raw/master/csl-citation.json"} </w:instrText>
            </w:r>
            <w:r>
              <w:rPr>
                <w:lang w:val="en-GB"/>
              </w:rPr>
              <w:fldChar w:fldCharType="separate"/>
            </w:r>
            <w:r w:rsidR="005620D3" w:rsidRPr="005620D3">
              <w:rPr>
                <w:rFonts w:ascii="Calibri" w:hAnsi="Calibri" w:cs="Calibri"/>
                <w:szCs w:val="24"/>
                <w:lang w:val="en-GB"/>
              </w:rPr>
              <w:t>[37–40]</w:t>
            </w:r>
            <w:r>
              <w:rPr>
                <w:lang w:val="en-GB"/>
              </w:rPr>
              <w:fldChar w:fldCharType="end"/>
            </w:r>
          </w:p>
        </w:tc>
      </w:tr>
      <w:tr w:rsidR="00D34DC7" w:rsidRPr="000A54B1" w14:paraId="5F8A943E" w14:textId="77777777" w:rsidTr="00511FC5">
        <w:tc>
          <w:tcPr>
            <w:tcW w:w="1413" w:type="dxa"/>
          </w:tcPr>
          <w:p w14:paraId="4CDDECDB" w14:textId="3ED3431D" w:rsidR="00D34DC7" w:rsidRPr="00A32A4A" w:rsidRDefault="00D34DC7" w:rsidP="00D34DC7">
            <w:pPr>
              <w:rPr>
                <w:i/>
                <w:iCs/>
                <w:lang w:val="en-GB"/>
              </w:rPr>
            </w:pPr>
            <w:r w:rsidRPr="00A32A4A">
              <w:rPr>
                <w:i/>
                <w:iCs/>
                <w:lang w:val="en-GB"/>
              </w:rPr>
              <w:t>Xylella fastidiosa</w:t>
            </w:r>
          </w:p>
        </w:tc>
        <w:tc>
          <w:tcPr>
            <w:tcW w:w="1984" w:type="dxa"/>
          </w:tcPr>
          <w:p w14:paraId="78D468BE" w14:textId="48240B62" w:rsidR="00D34DC7" w:rsidRPr="00F167F7" w:rsidRDefault="00F167F7" w:rsidP="00D34DC7">
            <w:pPr>
              <w:rPr>
                <w:lang w:val="en-GB"/>
              </w:rPr>
            </w:pPr>
            <w:r>
              <w:rPr>
                <w:lang w:val="en-GB"/>
              </w:rPr>
              <w:t xml:space="preserve">Multiple </w:t>
            </w:r>
            <w:r w:rsidR="00D34DC7">
              <w:rPr>
                <w:lang w:val="en-GB"/>
              </w:rPr>
              <w:t>introductions</w:t>
            </w:r>
            <w:r w:rsidR="006006F9">
              <w:rPr>
                <w:lang w:val="en-GB"/>
              </w:rPr>
              <w:t xml:space="preserve">, some </w:t>
            </w:r>
            <w:r w:rsidR="00AA0FB5">
              <w:rPr>
                <w:lang w:val="en-GB"/>
              </w:rPr>
              <w:t xml:space="preserve">maybe </w:t>
            </w:r>
            <w:r w:rsidR="006006F9">
              <w:rPr>
                <w:lang w:val="en-GB"/>
              </w:rPr>
              <w:t xml:space="preserve">dating back to the 1990’s </w:t>
            </w:r>
            <w:r w:rsidR="00AA0FB5">
              <w:rPr>
                <w:lang w:val="en-GB"/>
              </w:rPr>
              <w:t>in Mediterranean countries (</w:t>
            </w:r>
            <w:r>
              <w:rPr>
                <w:lang w:val="en-GB"/>
              </w:rPr>
              <w:t xml:space="preserve">Italy, </w:t>
            </w:r>
            <w:r w:rsidR="00D34DC7">
              <w:rPr>
                <w:lang w:val="en-GB"/>
              </w:rPr>
              <w:lastRenderedPageBreak/>
              <w:t>Portugal, Spain</w:t>
            </w:r>
            <w:r w:rsidR="00AA0FB5">
              <w:rPr>
                <w:lang w:val="en-GB"/>
              </w:rPr>
              <w:t>,</w:t>
            </w:r>
            <w:r w:rsidR="00D34DC7">
              <w:rPr>
                <w:lang w:val="en-GB"/>
              </w:rPr>
              <w:t xml:space="preserve"> and France</w:t>
            </w:r>
            <w:r w:rsidR="00AA0FB5">
              <w:rPr>
                <w:lang w:val="en-GB"/>
              </w:rPr>
              <w:t xml:space="preserve">) </w:t>
            </w:r>
            <w:r w:rsidR="00D34DC7">
              <w:rPr>
                <w:lang w:val="en-GB"/>
              </w:rPr>
              <w:t xml:space="preserve">making it a major threat to </w:t>
            </w:r>
            <w:r w:rsidR="00AA0FB5">
              <w:rPr>
                <w:lang w:val="en-GB"/>
              </w:rPr>
              <w:t>Olive and Almond</w:t>
            </w:r>
            <w:r w:rsidR="00D34DC7">
              <w:rPr>
                <w:lang w:val="en-GB"/>
              </w:rPr>
              <w:t xml:space="preserve"> agricultural systems</w:t>
            </w:r>
            <w:r w:rsidR="006006F9">
              <w:rPr>
                <w:lang w:val="en-GB"/>
              </w:rPr>
              <w:t>. Most recently illustrated by the outbreak in Olives in Italy’s Apulia region.</w:t>
            </w:r>
          </w:p>
        </w:tc>
        <w:tc>
          <w:tcPr>
            <w:tcW w:w="3969" w:type="dxa"/>
          </w:tcPr>
          <w:p w14:paraId="07C34367" w14:textId="32D8A58D" w:rsidR="00D34DC7" w:rsidRPr="002E785F" w:rsidRDefault="00D34DC7" w:rsidP="00D34DC7">
            <w:pPr>
              <w:rPr>
                <w:lang w:val="en-GB"/>
              </w:rPr>
            </w:pPr>
            <w:r>
              <w:rPr>
                <w:lang w:val="en-GB"/>
              </w:rPr>
              <w:lastRenderedPageBreak/>
              <w:t>Horticultural trade</w:t>
            </w:r>
            <w:r w:rsidR="00F167F7">
              <w:rPr>
                <w:lang w:val="en-GB"/>
              </w:rPr>
              <w:t xml:space="preserve">. Major outbreak from introduction with coffee plants </w:t>
            </w:r>
            <w:r w:rsidR="00AA0FB5">
              <w:rPr>
                <w:lang w:val="en-GB"/>
              </w:rPr>
              <w:t xml:space="preserve">likely </w:t>
            </w:r>
            <w:r w:rsidR="00AA0FB5" w:rsidRPr="004832AA">
              <w:rPr>
                <w:lang w:val="en-GB"/>
              </w:rPr>
              <w:t xml:space="preserve">from </w:t>
            </w:r>
            <w:r w:rsidR="00AA0FB5">
              <w:rPr>
                <w:lang w:val="en-GB"/>
              </w:rPr>
              <w:t>Central</w:t>
            </w:r>
            <w:r w:rsidR="00AA0FB5" w:rsidRPr="004832AA">
              <w:rPr>
                <w:lang w:val="en-GB"/>
              </w:rPr>
              <w:t xml:space="preserve"> America</w:t>
            </w:r>
            <w:r w:rsidR="00AA0FB5">
              <w:rPr>
                <w:lang w:val="en-GB"/>
              </w:rPr>
              <w:t xml:space="preserve"> </w:t>
            </w:r>
            <w:r w:rsidR="00F167F7">
              <w:rPr>
                <w:lang w:val="en-GB"/>
              </w:rPr>
              <w:t>to Italy in 2008. Other introduction pathways and drivers yet to be identified.</w:t>
            </w:r>
          </w:p>
        </w:tc>
        <w:tc>
          <w:tcPr>
            <w:tcW w:w="4678" w:type="dxa"/>
          </w:tcPr>
          <w:p w14:paraId="6623419C" w14:textId="467DDB29" w:rsidR="00D34DC7" w:rsidRDefault="00D34DC7" w:rsidP="00D34DC7">
            <w:pPr>
              <w:rPr>
                <w:lang w:val="en-GB"/>
              </w:rPr>
            </w:pPr>
            <w:r>
              <w:rPr>
                <w:lang w:val="en-GB"/>
              </w:rPr>
              <w:t xml:space="preserve">Risk of science scepticism as </w:t>
            </w:r>
            <w:r w:rsidR="004832AA" w:rsidRPr="004832AA">
              <w:rPr>
                <w:lang w:val="en-GB"/>
              </w:rPr>
              <w:t xml:space="preserve">containment measures were met with resistance from farmers and local politicians/stakeholders resulting in </w:t>
            </w:r>
            <w:r>
              <w:rPr>
                <w:lang w:val="en-GB"/>
              </w:rPr>
              <w:t xml:space="preserve">scientists </w:t>
            </w:r>
            <w:r w:rsidR="004832AA">
              <w:rPr>
                <w:lang w:val="en-GB"/>
              </w:rPr>
              <w:t>being</w:t>
            </w:r>
            <w:r>
              <w:rPr>
                <w:lang w:val="en-GB"/>
              </w:rPr>
              <w:t xml:space="preserve"> investigated by</w:t>
            </w:r>
            <w:r w:rsidR="004832AA">
              <w:rPr>
                <w:lang w:val="en-GB"/>
              </w:rPr>
              <w:t xml:space="preserve"> a local prosecutor</w:t>
            </w:r>
            <w:r>
              <w:rPr>
                <w:lang w:val="en-GB"/>
              </w:rPr>
              <w:t xml:space="preserve"> as sources of the outbreak.</w:t>
            </w:r>
          </w:p>
          <w:p w14:paraId="121FF0C7" w14:textId="77777777" w:rsidR="00D34DC7" w:rsidRDefault="00D34DC7" w:rsidP="00D34DC7">
            <w:pPr>
              <w:rPr>
                <w:lang w:val="en-GB"/>
              </w:rPr>
            </w:pPr>
          </w:p>
          <w:p w14:paraId="68C4F54E" w14:textId="194FDF15" w:rsidR="00D34DC7" w:rsidRDefault="00D34DC7" w:rsidP="00D34DC7">
            <w:pPr>
              <w:rPr>
                <w:lang w:val="en-GB"/>
              </w:rPr>
            </w:pPr>
            <w:r>
              <w:rPr>
                <w:lang w:val="en-GB"/>
              </w:rPr>
              <w:lastRenderedPageBreak/>
              <w:t>Undermining livelihoods in Olive growing regions</w:t>
            </w:r>
            <w:r w:rsidR="004832AA">
              <w:rPr>
                <w:lang w:val="en-GB"/>
              </w:rPr>
              <w:t xml:space="preserve"> </w:t>
            </w:r>
            <w:r w:rsidR="004832AA" w:rsidRPr="004832AA">
              <w:rPr>
                <w:lang w:val="en-GB"/>
              </w:rPr>
              <w:t>(</w:t>
            </w:r>
            <w:r w:rsidR="00377A35">
              <w:rPr>
                <w:lang w:val="en-GB"/>
              </w:rPr>
              <w:t>Italy, Spain</w:t>
            </w:r>
            <w:r w:rsidR="004832AA" w:rsidRPr="004832AA">
              <w:rPr>
                <w:lang w:val="en-GB"/>
              </w:rPr>
              <w:t xml:space="preserve">) and </w:t>
            </w:r>
            <w:r w:rsidR="00AA0FB5" w:rsidRPr="004832AA">
              <w:rPr>
                <w:lang w:val="en-GB"/>
              </w:rPr>
              <w:t>almond</w:t>
            </w:r>
            <w:r w:rsidR="00AA0FB5">
              <w:rPr>
                <w:lang w:val="en-GB"/>
              </w:rPr>
              <w:t xml:space="preserve"> </w:t>
            </w:r>
            <w:r w:rsidR="00AA0FB5" w:rsidRPr="004832AA">
              <w:rPr>
                <w:lang w:val="en-GB"/>
              </w:rPr>
              <w:t>growing</w:t>
            </w:r>
            <w:r w:rsidR="004832AA" w:rsidRPr="004832AA">
              <w:rPr>
                <w:lang w:val="en-GB"/>
              </w:rPr>
              <w:t xml:space="preserve"> regions (Spain)</w:t>
            </w:r>
            <w:r>
              <w:rPr>
                <w:lang w:val="en-GB"/>
              </w:rPr>
              <w:t>. Impacting old-growth groves and bio-cultural practices.  Reduction of ecosystem services through loss of (centenarian) olive trees, including:</w:t>
            </w:r>
          </w:p>
          <w:p w14:paraId="37DEBBD1" w14:textId="6A1A2D2B" w:rsidR="00D34DC7" w:rsidRDefault="00D34DC7" w:rsidP="00D34DC7">
            <w:pPr>
              <w:rPr>
                <w:lang w:val="en-GB"/>
              </w:rPr>
            </w:pPr>
            <w:r>
              <w:rPr>
                <w:lang w:val="en-GB"/>
              </w:rPr>
              <w:t>Cultural heritage, primary production, ornamental resources,</w:t>
            </w:r>
          </w:p>
          <w:p w14:paraId="7EB86D26" w14:textId="6F4F887E" w:rsidR="00D34DC7" w:rsidRPr="002E785F" w:rsidRDefault="00D34DC7" w:rsidP="00D34DC7">
            <w:pPr>
              <w:rPr>
                <w:lang w:val="en-GB"/>
              </w:rPr>
            </w:pPr>
            <w:r>
              <w:rPr>
                <w:lang w:val="en-GB"/>
              </w:rPr>
              <w:t>soil erosion regulation, and</w:t>
            </w:r>
            <w:r w:rsidR="004832AA">
              <w:rPr>
                <w:lang w:val="en-GB"/>
              </w:rPr>
              <w:t xml:space="preserve"> </w:t>
            </w:r>
            <w:r>
              <w:rPr>
                <w:lang w:val="en-GB"/>
              </w:rPr>
              <w:t>food production</w:t>
            </w:r>
          </w:p>
        </w:tc>
        <w:tc>
          <w:tcPr>
            <w:tcW w:w="1843" w:type="dxa"/>
          </w:tcPr>
          <w:p w14:paraId="68FD7BFD" w14:textId="0BE4D85D" w:rsidR="00D34DC7" w:rsidRPr="002E785F" w:rsidRDefault="00D34DC7" w:rsidP="00D34DC7">
            <w:pPr>
              <w:ind w:left="36" w:right="477"/>
              <w:rPr>
                <w:lang w:val="en-GB"/>
              </w:rPr>
            </w:pPr>
            <w:r>
              <w:rPr>
                <w:lang w:val="en-GB"/>
              </w:rPr>
              <w:lastRenderedPageBreak/>
              <w:fldChar w:fldCharType="begin"/>
            </w:r>
            <w:r w:rsidR="005620D3">
              <w:rPr>
                <w:lang w:val="en-GB"/>
              </w:rPr>
              <w:instrText xml:space="preserve"> ADDIN ZOTERO_ITEM CSL_CITATION {"citationID":"w1AoZEmZ","properties":{"formattedCitation":"[41\\uc0\\u8211{}51]","plainCitation":"[41–51]","noteIndex":0},"citationItems":[{"id":40591,"uris":["http://zotero.org/users/9771363/items/8LKJL3PA"],"itemData":{"id":40591,"type":"article-journal","abstract":"The introduction of Xylella fastidiosa subsp. pauca in Puglia (Italy) has disturbed the flow of ecosystem services (ES). We assessed the short- and long term impacts of this disease and the control measures against it on ES provisioning and biodiversity in the olive-producing agroecosystem of Puglia at a landscape level by using an ES framework in combination with expert knowledge elicitation. Experts estimated the minimum, maximum and most likely relative reductions in ES delivery and biodiversity components in the affected area. The estimates were used to fit a PERT distribution. Results show that the loss of olive trees (the main woody plant in the region) in general, and of centenarian olive trees in particular, has affected ES delivery. The delivery of ES is estimated to diminish by 34% and 30% in the short- and long term, respectively, mainly due to the impact of the disease on food (olive) production, ornamental resources, soil erosion regulation, primary production and cultural heritage. Biodiversity components are estimated to diminish by 28%, mainly due to the impact of the disease on genetic diversity and habitats of high conservation value. The study provides a first assessment of the wider environmental impacts of Xylella fastdiosa subsp. pauca, which can serve as a basis for formulating hypotheses for further investigation.","container-title":"Crop Protection","DOI":"10.1016/j.cropro.2020.105519","ISSN":"02612194","issue":"December 2020","note":"publisher: Elsevier Ltd","page":"105519","title":"Assessment of the environmental impacts of Xylella fastidiosa subsp. pauca in Puglia","volume":"142","author":[{"family":"Ali","given":"Beshir M."},{"family":"Werf","given":"Wopke","non-dropping-particle":"van der"},{"family":"Oude Lansink","given":"Alfons"}],"issued":{"date-parts":[["2021"]]},"citation-key":"aliAssessmentEnvironmentalImpacts2021"},"label":"page"},{"id":41487,"uris":["http://zotero.org/users/9771363/items/4M3WTECC"],"itemData":{"id":41487,"type":"article-journal","abstract":"This paper is devoted to the analysis of the impact of changes in olive urban forests affected by Xylella fastidiosa on ecosystem services. The focus is on microclimate and thermal comfort evaluated by two indices: the temperature of equivalent perception (TEP) and the predicted mean vote (PMV), which take into account both microclimate parameters and personal factors (heat resistance of clothing and human activity). The work has been carried out through (i) a qualitative analysis of the potential ecosystem services changes caused by temporary transition from olive groves to uncultivated soil, (ii) a study of the potential change of land use from monumental olive groves to other types of use, and (iii) a quantitative analysis on microclimate impact due to the loss of ecosystem services in two selected neighborhoods located in the Apulia region and chosen due to their proximity to the urban context. The analysis revealed that (i) direct effects on ecosystem services are principally linked with regulation functions and cultural services, (ii) a critical loss of cultural value of monumental olive groves occurred in the two neighborhoods, (iii) such a loss may lead to an increase of TEP and PMV, indicating a decrease of thermal comfort in the whole neighborhoods. Thus, it is necessary to plan the replanting policies of the use of the areas affected by X. fastidiosa not only in terms of agricultural planning but also in terms of landscape, urban planning, and human well-being.","container-title":"International Journal of Environmental Research and Public Health","DOI":"10.3390/ijerph16152642","ISSN":"1660-4601","issue":"15","language":"en","license":"http://creativecommons.org/licenses/by/3.0/","note":"number: 15\npublisher: Multidisciplinary Digital Publishing Institute","page":"2642","source":"www.mdpi.com","title":"Changes in Olive Urban Forests Infected by Xylella fastidiosa: Impact on Microclimate and Social Health","title-short":"Changes in Olive Urban Forests Infected by Xylella fastidiosa","volume":"16","author":[{"family":"Semeraro","given":"Teodoro"},{"family":"Gatto","given":"Elisa"},{"family":"Buccolieri","given":"Riccardo"},{"family":"Vergine","given":"Marzia"},{"family":"Gao","given":"Zhi"},{"family":"De Bellis","given":"Luigi"},{"family":"Luvisi","given":"Andrea"}],"issued":{"date-parts":[["2019",1]]},"citation-key":"semeraroChangesOliveUrban2019"},"label":"page"},{"id":39427,"uris":["http://zotero.org/users/9771363/items/X2ET2Z6F"],"itemData":{"id":39427,"type":"article-journal","container-title":"Forests","DOI":"10.3390/f12091266","issue":"1266","title":"Analysis of Olive Grove Destruction by Xylella fastidiosa Bacterium on the Land Surface Temperature in Salento Detected Using Satellite Images","volume":"12","author":[{"family":"Semeraro","given":"Teodoro"},{"family":"Buccolieri","given":"Riccardo"},{"family":"Vergine","given":"Marzia"},{"family":"Bellis","given":"Luigi De"},{"family":"Luvisi","given":"Andrea"},{"family":"Emmanuel","given":"Rohinton"},{"family":"Marwan","given":"Norbert"}],"issued":{"date-parts":[["2021"]]},"citation-key":"semeraroAnalysisOliveGrove2021"},"label":"page"},{"id":41896,"uris":["http://zotero.org/users/9771363/items/9MUBVM3C"],"itemData":{"id":41896,"type":"article-journal","abstract":"This article gives an account of the social construction of phytopathological knowledge in the case of olive quick decline syndrome (OQDS) in Apulia, Italy. Due to the economic, cultural, and social importance of the olive crop, the spread of this disease has been characterized by a social debate over the implementation of mandatory phytosanitary policies, the etiological role played by the bacterium Xylella fastidiosa, the role of scientific experts, and the unexplored research trajectories (“undone science”) proposed by social and environmental movements. We examine how the disease has generated different approaches to problem setting and problem solving, one focused on OQDS as a complex of symptoms uniquely caused by X. fastidiosa, and the other framing the study of “complesso del disseccamento rapido dell’olivo” (CoDiRO) as a complex of causes. Drawing on a 2-year ethnographic study among researchers, policymakers, agricultural stakeholders, and social movements, this article uses theoretical concepts from the sociology of knowledge, sociology of scientific knowledge, and sociology of ignorance to examine the case and to reconstruct the 360° approach proposed by social movements as an alternative to the epistemic and political reductionism of official phytosanitary and science policies.","container-title":"Phytopathology","DOI":"10.1094/PHYTO-07-18-0247-FI","ISSN":"0031-949X","issue":"2","note":"publisher: Scientific Societies","page":"187-199","source":"apsjournals.apsnet.org (Atypon)","title":"Problem Setting and Problem Solving in the Case of Olive Quick Decline Syndrome in Apulia, Italy: A Sociological Approach","title-short":"Problem Setting and Problem Solving in the Case of Olive Quick Decline Syndrome in Apulia, Italy","volume":"109","author":[{"family":"Colella","given":"Christian"},{"family":"Carradore","given":"Roberto"},{"family":"Cerroni","given":"Andrea"}],"issued":{"date-parts":[["2019",2]]},"citation-key":"colellaProblemSettingProblem2019"},"label":"page"},{"id":40397,"uris":["http://zotero.org/users/9771363/items/7NILU42K"],"itemData":{"id":40397,"type":"article-journal","abstract":"Xylella fastidiosa is the causal agent of plant diseases that cause massive economic damage. In 2013, a strain of the bacterium was, for the first time, detected in the European territory (Italy), causing the Olive Quick Decline Syndrome. We simulate future spread of the disease based on climatic-suitability modeling and radial expansion of the invaded territory. An economic model is developed to compute impact based on discounted foregone profits and losses in investment. The model projects impact for Italy, Greece, and Spain, as these countries account for around 95% of the European olive oil production. Climatic suitability modeling indicates that, depending on the suitability threshold, 95.5 to 98.9%, 99.2 to 99.8%, and 84.6 to 99.1% of the national areas of production fall into suitable territory in Italy, Greece, and Spain, respectively. For Italy, across the considered rates of radial range expansion the potential economic impact over 50 y ranges from 1.9 billion to 5.2 billion Euros for the economic worst-case scenario, in which production ceases after orchards die off. If replanting with resistant varieties is feasible, the impact ranges from 0.6 billion to 1.6 billion Euros. Depending on whether replanting is feasible, between 0.5 billion and 1.3 billion Euros can be saved over the course of 50 y if disease spread is reduced from 5.18 to 1.1 km per year. The analysis stresses the necessity to strengthen the ongoing research on cultivar resistance traits and application of phytosanitary measures, including vector control and inoculum suppression, by removing host plants.","container-title":"Proceedings of the National Academy of Sciences of the United States of America","DOI":"10.1073/pnas.1912206117","ISSN":"10916490","issue":"17","note":"PMID: 32284411","page":"9250-9259","title":"Impact of Xylella fastidiosa subspecies pauca in European olives","volume":"117","author":[{"family":"Schneider","given":"Kevin"},{"family":"Werf","given":"Wopke","non-dropping-particle":"van der"},{"family":"Cendoya","given":"Martina"},{"family":"Mourits","given":"Monique"},{"family":"Navas-Cortés","given":"Juan A."},{"family":"Vicent","given":"Antonio"},{"family":"Lansink","given":"Alfons Oude"}],"issued":{"date-parts":[["2020"]]},"citation-key":"schneiderImpactXylellaFastidiosa2020"},"label":"page"},{"id":41902,"uris":["http://zotero.org/users/9771363/items/WHWWHVXN"],"itemData":{"id":41902,"type":"article-journal","abstract":"EFSA was asked to update the 2015 EFSA risk assessment on Xylella fastidiosa for the territory of the EU. In particular, EFSA was asked to focus on potential establishment, short- and long-range spread, the length of the asymptomatic period, the impact of X. fastidiosa and an update on risk reduction options. EFSA was asked to take into account the different subspecies and Sequence Types of X. fastidiosa. This was attempted throughout the scientific opinion but several issues with data availability meant that this could only be partially achieved. Models for risk of establishment showed most of the EU territory may be potentially suitable for X. fastidiosa although southern EU is most at risk. Differences in estimated areas of potential establishment were evident among X. fastidiosa subspecies, particularly X. fastidiosa subsp. multiplex which demonstrated areas of potential establishment further north in the EU. The model of establishment could be used to develop targeted surveys by Member States. The asymptomatic period of X. fastidiosa varied significantly for different host and pathogen subspecies combinations, for example from a median of approximately 1 month in ornamental plants and up to 10 months in olive, for pauca. This variable and long asymptomatic period is a considerable limitation to successful detection and control, particularly where surveillance is based on visual inspection. Modelling suggested that local eradication (e.g. within orchards) is possible, providing sampling intensity is sufficient for early detection and effective control measures are implemented swiftly (e.g. within 30 days). Modelling of long-range spread (e.g. regional scale) demonstrated the important role of long-range dispersal and the need to better understand this. Reducing buffer zone width in both containment and eradication scenarios increased the area infected. Intensive surveillance for early detection, and consequent plant removal, of new outbreaks is crucial for both successful eradication and containment at the regional scale, in addition to effective vector control. The assessment of impacts indicated that almond and Citrus spp. were at lower impact on yield compared to olive. Although the lowest impact was estimated for grapevine, and the highest for olive, this was based on several assumptions including that the assessment considered only Philaenus spumarius as a vector. If other xylem-feeding insects act as vectors the impact could be different. Since the Scientific Opinion published in 2015, there are still no risk reduction options that can remove the bacterium from the plant in open field conditions. Short- and long-range spread modelling showed that an early detection and rapid application of phytosanitary measures, consisting among others of plant removal and vector control, are essential to prevent further spread of the pathogen to new areas. Further data collection will allow a reduction in uncertainty and facilitate more tailored and effective control given the intraspecific diversity of X. fastidiosa and wide host range.","container-title":"EFSA Journal","DOI":"10.2903/j.efsa.2019.5665","ISSN":"1831-4732","issue":"5","language":"en","note":"_eprint: https://onlinelibrary.wiley.com/doi/pdf/10.2903/j.efsa.2019.5665","page":"e05665","source":"Wiley Online Library","title":"Update of the Scientific Opinion on the risks to plant health posed by Xylella fastidiosa in the EU territory","volume":"17","author":[{"family":"Health (PLH)","given":"EFSA Panel on Plant"},{"family":"Bragard","given":"Claude"},{"family":"Dehnen-Schmutz","given":"Katharina"},{"family":"Di Serio","given":"Francesco"},{"family":"Gonthier","given":"Paolo"},{"family":"Jacques","given":"Marie-Agnès"},{"family":"Jaques Miret","given":"Josep Anton"},{"family":"Justesen","given":"Annemarie Fejer"},{"family":"MacLeod","given":"Alan"},{"family":"Magnusson","given":"Christer Sven"},{"family":"Milonas","given":"Panagiotis"},{"family":"Navas-Cortés","given":"Juan A"},{"family":"Potting","given":"Roel"},{"family":"Reignault","given":"Philippe Lucien"},{"family":"Thulke","given":"Hans-Hermann"},{"family":"Werf","given":"Wopke","non-dropping-particle":"van der"},{"family":"Vicent Civera","given":"Antonio"},{"family":"Yuen","given":"Jonathan"},{"family":"Zappalà","given":"Lucia"},{"family":"Boscia","given":"Donato"},{"family":"Chapman","given":"Daniel"},{"family":"Gilioli","given":"Gianni"},{"family":"Krugner","given":"Rodrigo"},{"family":"Mastin","given":"Alexander"},{"family":"Simonetto","given":"Anna"},{"family":"Spotti Lopes","given":"Joao Roberto"},{"family":"White","given":"Steven"},{"family":"Abrahantes","given":"José Cortinas"},{"family":"Delbianco","given":"Alice"},{"family":"Maiorano","given":"Andrea"},{"family":"Mosbach-Schulz","given":"Olaf"},{"family":"Stancanelli","given":"Giuseppe"},{"family":"Guzzo","given":"Michela"},{"family":"Parnell","given":"Stephen"}],"issued":{"date-parts":[["2019"]]},"citation-key":"healthplhUpdateScientificOpinion2019"},"label":"page"},{"id":41903,"uris":["http://zotero.org/users/9771363/items/ERJGEM3V"],"itemData":{"id":41903,"type":"article-journal","abstract":"Police investigate researchers' role in devastating bacterial epidemic.","container-title":"Nature","DOI":"10.1038/nature.2015.17651","ISSN":"1476-4687","issue":"7554","language":"en","license":"2015 Nature Publishing Group","note":"number: 7554\npublisher: Nature Publishing Group","page":"13-14","source":"www.nature.com","title":"Scientists blamed for olive-tree ruin","volume":"522","author":[{"family":"Abbott","given":"Alison"}],"issued":{"date-parts":[["2015",6,1]]},"citation-key":"abbottScientistsBlamedOlivetree2015"},"label":"page"},{"id":41907,"uris":["http://zotero.org/users/9771363/items/X5ZRIAJS"],"itemData":{"id":41907,"type":"article-journal","abstract":"Prosecutors accuse researchers of spreading disease and order a halt to the culling of infected trees.","container-title":"Nature","DOI":"10.1038/nature.2015.19078","ISSN":"1476-4687","language":"en","license":"2015 Nature Publishing Group","note":"publisher: Nature Publishing Group","source":"www.nature.com","title":"Italian scientists under investigation after olive-tree deaths","URL":"https://www.nature.com/articles/nature.2015.19078","author":[{"family":"Abbott","given":"Alison"}],"accessed":{"date-parts":[["2022",8,18]]},"issued":{"date-parts":[["2015",12,21]]},"citation-key":"abbottItalianScientistsInvestigation2015"},"label":"page"},{"id":41916,"uris":["http://zotero.org/users/9771363/items/625CP5J4"],"itemData":{"id":41916,"type":"article-journal","abstract":"Since 2013, Xylella fastidiosa Wells et al. has been reported to infect several hosts and to be present in different areas of Europe. The main damage has been inflicted on the olive orchards of southern Apulia (Italy), where a severe disease associated with X. fastidiosa subspecies pauca strain De Donno has led to the death of millions of trees. This dramatic and continuously evolving situation has led to European and national (Italian and Spanish) measures being implemented to reduce the spread of the pathogen and the associated olive quick decline syndrome (OQDS). Research has been also carried out to find solutions to better and directly fight the bacterium and its main insect vector, Philaenus spumarius L. In the course of this frantic effort, several treatments based on chemical or biological substances have been tested, in addition to plant breeding techniques and integrated pest management approaches. This review aims to summarize the attempts made so far and describe the prospects for better management of this serious threat, which poses alarming questions for the future of olive cultivation in the Mediterranean basin and beyond.","container-title":"Microorganisms","DOI":"10.3390/microorganisms9081771","ISSN":"2076-2607","issue":"8","language":"en","license":"http://creativecommons.org/licenses/by/3.0/","note":"number: 8\npublisher: Multidisciplinary Digital Publishing Institute","page":"1771","source":"www.mdpi.com","title":"Xylella fastidiosa in Olive: A Review of Control Attempts and Current Management","title-short":"Xylella fastidiosa in Olive","volume":"9","author":[{"family":"Morelli","given":"Massimiliano"},{"family":"García-Madero","given":"José Manuel"},{"family":"Jos","given":"Ángeles"},{"family":"Saldarelli","given":"Pasquale"},{"family":"Dongiovanni","given":"Crescenza"},{"family":"Kovacova","given":"Magdalena"},{"family":"Saponari","given":"Maria"},{"family":"Baños Arjona","given":"Alberto"},{"family":"Hackl","given":"Evelyn"},{"family":"Webb","given":"Stephen"},{"family":"Compant","given":"Stéphane"}],"issued":{"date-parts":[["2021",8]]},"citation-key":"morelliXylellaFastidiosaOlive2021"},"label":"page"},{"id":41898,"uris":["http://zotero.org/users/9771363/items/5FEFCYYE"],"itemData":{"id":41898,"type":"article-journal","abstract":"Xylella fastidiosa is a xylem-limited bacterium native to America and classified as a priority pest for EU regulation. Since 2013, X. fastidiosa has been identified in European countries with a Mediterranean climate, such as Italy, France, Spain and Portugal, with different subspecies and sequence types (ST) detected. Since 2015 X. fastidiosa subsp. multiplex ST6 and/or ST7 has been detected in Corsica and the Provence-Alpes-Côte d’Azur in almost 70 plant species, whereas X. fastidiosa subsp. pauca ST53 has been found in only two host plants. In this study, we report two new variants, recently detected in two separated areas of the PACA region, genetically related to the subspecies multiplex and assigned to (i) ST88 detected on Polygala myrtifolia, Hebe sp., Osteospermum ecklonis, Lavandula x intermedia, Coronilla glauca and Euryops chrysanthemoides and (ii) ST89: detected on Myoporum sp. and Viburnum tinus. Both variant strains were isolated in vitro. Moreover, we report here the identification of X. fastidiosa subsp. multiplex ST6 in a new region of the South of France, Occitanie (Aude), in plants from natural and urban settings and from a nursery.","container-title":"European Journal of Plant Pathology","DOI":"10.1007/s10658-022-02492-z","ISSN":"1573-8469","issue":"2","journalAbbreviation":"Eur J Plant Pathol","language":"en","page":"505-510","source":"Springer Link","title":"Update of the Xylella fastidiosa outbreak in France: two new variants detected and a new region affected","title-short":"Update of the Xylella fastidiosa outbreak in France","volume":"163","author":[{"family":"Cunty","given":"Amandine"},{"family":"Legendre","given":"Bruno"},{"family":"Jerphanion","given":"Pauline","non-dropping-particle":"de"},{"family":"Dousset","given":"Christèle"},{"family":"Forveille","given":"Aurélie"},{"family":"Paillard","given":"Sandrine"},{"family":"Olivier","given":"Valérie"}],"issued":{"date-parts":[["2022",6,1]]},"citation-key":"cuntyUpdateXylellaFastidiosa2022"},"label":"page"},{"id":41922,"uris":["http://zotero.org/users/9771363/items/M6IQYYGA"],"itemData":{"id":41922,"type":"article-journal","abstract":"Xylella fastidiosa (Xf) is a vascular plant pathogen native to the Americas. In 2013, it was first reported in Europe, implicated in a massive die-off of olive trees in Apulia, Italy. This finding prompted mandatory surveys across Europe, successively revealing that the bacterium was already established in some distant areas of the western Mediterranean. To date, the Balearic Islands (Spain) hold the major known genetic diversity of Xf in Europe. Since October 2016, four sequence types (ST) belonging to the subspecies fastidiosa (ST1), multiplex (ST7, ST81), and pauca (ST80) have been identified infecting 28 host species, including grapevines, almond, olive, and fig trees. ST1 causes Pierce’s disease (PD) and together with ST81 are responsible for almond leaf scorch disease (ALSD) in California, from where they were introduced into Mallorca in around 1993, very likely via infected almond scions brought for grafting. To date, almond leaf scorch disease affects over 81% of almond trees and Pierce’s disease is widespread in vineyards across Mallorca, although producing on average little economic impact. In this perspective, we present and analyze a large Xf-hosts database accumulated over four years of field surveys, laboratory sample analyses, and research to understand the underlying causes of Xf emergence and spread among crops and wild plants in the Balearic Islands. The impact of Xf on the landscape is discussed.","container-title":"Agronomy","DOI":"10.3390/agronomy11030473","ISSN":"2073-4395","issue":"3","language":"en","license":"http://creativecommons.org/licenses/by/3.0/","note":"number: 3\npublisher: Multidisciplinary Digital Publishing Institute","page":"473","source":"www.mdpi.com","title":"Landscape Epidemiology of Xylella fastidiosa in the Balearic Islands","volume":"11","author":[{"family":"Olmo","given":"Diego"},{"family":"Nieto","given":"Alicia"},{"family":"Borràs","given":"David"},{"family":"Montesinos","given":"Marina"},{"family":"Adrover","given":"Francesc"},{"family":"Pascual","given":"Aura"},{"family":"Gost","given":"Pere A."},{"family":"Quetglas","given":"Bàrbara"},{"family":"Urbano","given":"Alejandro"},{"family":"García","given":"Juan de Dios"},{"family":"Velasco-Amo","given":"María Pilar"},{"family":"Olivares-García","given":"Concepción"},{"family":"Beidas","given":"Omar"},{"family":"Juan","given":"Andreu"},{"family":"Marco-Noales","given":"Ester"},{"family":"Gomila","given":"Margarita"},{"family":"Rita","given":"Juan"},{"family":"Moralejo","given":"Eduardo"},{"family":"Landa","given":"Blanca B."}],"issued":{"date-parts":[["2021",3]]},"citation-key":"olmoLandscapeEpidemiologyXylella2021"},"label":"page"}],"schema":"https://github.com/citation-style-language/schema/raw/master/csl-citation.json"} </w:instrText>
            </w:r>
            <w:r>
              <w:rPr>
                <w:lang w:val="en-GB"/>
              </w:rPr>
              <w:fldChar w:fldCharType="separate"/>
            </w:r>
            <w:r w:rsidR="005620D3" w:rsidRPr="005620D3">
              <w:rPr>
                <w:rFonts w:ascii="Calibri" w:hAnsi="Calibri" w:cs="Calibri"/>
                <w:szCs w:val="24"/>
                <w:lang w:val="en-GB"/>
              </w:rPr>
              <w:t>[41–51]</w:t>
            </w:r>
            <w:r>
              <w:rPr>
                <w:lang w:val="en-GB"/>
              </w:rPr>
              <w:fldChar w:fldCharType="end"/>
            </w:r>
          </w:p>
        </w:tc>
      </w:tr>
      <w:tr w:rsidR="00D34DC7" w:rsidRPr="000A54B1" w14:paraId="25DEE3CE" w14:textId="77777777" w:rsidTr="00511FC5">
        <w:tc>
          <w:tcPr>
            <w:tcW w:w="1413" w:type="dxa"/>
          </w:tcPr>
          <w:p w14:paraId="671EE5E7" w14:textId="77777777" w:rsidR="00D34DC7" w:rsidRDefault="00D34DC7" w:rsidP="00D34DC7">
            <w:pPr>
              <w:rPr>
                <w:lang w:val="en-GB"/>
              </w:rPr>
            </w:pPr>
            <w:r>
              <w:rPr>
                <w:lang w:val="en-GB"/>
              </w:rPr>
              <w:t>H1N1</w:t>
            </w:r>
          </w:p>
          <w:p w14:paraId="6265E79D" w14:textId="27D4B641" w:rsidR="00A32A4A" w:rsidRPr="002E785F" w:rsidRDefault="00A32A4A" w:rsidP="00D34DC7">
            <w:pPr>
              <w:rPr>
                <w:lang w:val="en-GB"/>
              </w:rPr>
            </w:pPr>
            <w:r>
              <w:rPr>
                <w:lang w:val="en-GB"/>
              </w:rPr>
              <w:t>“Swine flu”</w:t>
            </w:r>
          </w:p>
        </w:tc>
        <w:tc>
          <w:tcPr>
            <w:tcW w:w="1984" w:type="dxa"/>
          </w:tcPr>
          <w:p w14:paraId="7A734ABF" w14:textId="424E0750" w:rsidR="00D34DC7" w:rsidRPr="002E785F" w:rsidRDefault="00D34DC7" w:rsidP="00D34DC7">
            <w:pPr>
              <w:rPr>
                <w:lang w:val="en-GB"/>
              </w:rPr>
            </w:pPr>
            <w:r>
              <w:rPr>
                <w:lang w:val="en-GB"/>
              </w:rPr>
              <w:t>2008/2009 Recombinant strain of H1N1 that spread globally.</w:t>
            </w:r>
          </w:p>
        </w:tc>
        <w:tc>
          <w:tcPr>
            <w:tcW w:w="3969" w:type="dxa"/>
          </w:tcPr>
          <w:p w14:paraId="340783FD" w14:textId="17F0692B" w:rsidR="00D34DC7" w:rsidRPr="002E785F" w:rsidRDefault="00D34DC7" w:rsidP="00D34DC7">
            <w:pPr>
              <w:rPr>
                <w:lang w:val="en-GB"/>
              </w:rPr>
            </w:pPr>
            <w:r>
              <w:rPr>
                <w:lang w:val="en-GB"/>
              </w:rPr>
              <w:t xml:space="preserve">Zoonotic </w:t>
            </w:r>
            <w:proofErr w:type="spellStart"/>
            <w:r>
              <w:rPr>
                <w:lang w:val="en-GB"/>
              </w:rPr>
              <w:t>spillover</w:t>
            </w:r>
            <w:proofErr w:type="spellEnd"/>
            <w:r>
              <w:rPr>
                <w:lang w:val="en-GB"/>
              </w:rPr>
              <w:t xml:space="preserve"> and recombination through polyculture of chicken, pig farming.</w:t>
            </w:r>
          </w:p>
        </w:tc>
        <w:tc>
          <w:tcPr>
            <w:tcW w:w="4678" w:type="dxa"/>
          </w:tcPr>
          <w:p w14:paraId="2FF7EF95" w14:textId="59342EC7" w:rsidR="00D34DC7" w:rsidRPr="002E785F" w:rsidRDefault="00D34DC7" w:rsidP="00D34DC7">
            <w:pPr>
              <w:rPr>
                <w:lang w:val="en-GB"/>
              </w:rPr>
            </w:pPr>
            <w:r>
              <w:rPr>
                <w:lang w:val="en-GB"/>
              </w:rPr>
              <w:t>Vaccine hesitancy as vaccine was found to lead to sleep apn</w:t>
            </w:r>
            <w:r w:rsidR="004832AA">
              <w:rPr>
                <w:lang w:val="en-GB"/>
              </w:rPr>
              <w:t>o</w:t>
            </w:r>
            <w:r>
              <w:rPr>
                <w:lang w:val="en-GB"/>
              </w:rPr>
              <w:t>ea in some cases.</w:t>
            </w:r>
          </w:p>
        </w:tc>
        <w:tc>
          <w:tcPr>
            <w:tcW w:w="1843" w:type="dxa"/>
          </w:tcPr>
          <w:p w14:paraId="1F5F4B77" w14:textId="07021313" w:rsidR="00D34DC7" w:rsidRPr="002E785F" w:rsidRDefault="00D34DC7" w:rsidP="00D34DC7">
            <w:pPr>
              <w:ind w:left="36" w:right="477"/>
              <w:rPr>
                <w:lang w:val="en-GB"/>
              </w:rPr>
            </w:pPr>
            <w:r>
              <w:rPr>
                <w:lang w:val="en-GB"/>
              </w:rPr>
              <w:fldChar w:fldCharType="begin"/>
            </w:r>
            <w:r w:rsidR="005620D3">
              <w:rPr>
                <w:lang w:val="en-GB"/>
              </w:rPr>
              <w:instrText xml:space="preserve"> ADDIN ZOTERO_ITEM CSL_CITATION {"citationID":"m4z5J5s2","properties":{"formattedCitation":"[52\\uc0\\u8211{}55]","plainCitation":"[52–55]","noteIndex":0},"citationItems":[{"id":22729,"uris":["http://zotero.org/users/9771363/items/LWRT5DSC"],"itemData":{"id":22729,"type":"article-journal","abstract":"A novel H1N1 influenza virus emerged in 2009 (pH1N1) to become the first influenza pandemic of the 21st century. This virus is now cocirculating with highly pathogenic H5N1 avian influenza viruses in many parts of the world, raising concerns that a reassortment event may lead to highly pathogenic influenza strains with the capacity to infect humans more readily and cause severe disease. To investigate the virulence of pH1N1-H5N1 reassortant viruses, we created pH1N1 (A/California/04/2009) viruses expressing individual genes from an avian H5N1 influenza strain (A/Hong Kong/483/1997). Using several in vitro models of virus replication, we observed increased replication for a reassortant CA/09 virus expressing the hemagglutinin (HA) gene of HK/483 (CA/09-483HA) relative to that of either parental CA/09 virus or reassortant CA/09 expressing other HK/483 genes. This increased replication correlated with enhanced pathogenicity in infected mice similar to that of the parental HK/483 strain. The serial passage of the CA/09 parental virus and the CA/09-483HA virus through primary human lung epithelial cells resulted in increased pathogenicity, suggesting that these viruses easily adapt to humans and become more virulent. In contrast, serial passage attenuated the parental HK/483 virus in vitro and resulted in slightly reduced morbidity in vivo, suggesting that sustained replication in humans attenuates H5N1 avian influenza viruses. Taken together, these data suggest that reassortment between cocirculating human pH1N1 and avian H5N1 influenza strains will result in a virus with the potential for increased pathogenicity in mammals.","container-title":"Journal of virology","DOI":"10.1128/JVI.05582-11","ISSN":"1098-5514","issue":"23","note":"PMID: 21917948\nCitation Key: Cline2011","page":"12262-70","title":"Increased Pathogenicity of a Reassortant 2009 Pandemic H1N1 Influenza Virus Containing an H5N1 Hemagglutinin.","volume":"85","author":[{"family":"Cline","given":"Troy D"},{"family":"Karlsson","given":"Erik A"},{"family":"Freiden","given":"Pamela"},{"family":"Seufzer","given":"Bradley J"},{"family":"Rehg","given":"Jerold E"},{"family":"Webby","given":"Richard J"},{"family":"Schultz-Cherry","given":"Stacey"}],"issued":{"date-parts":[["2011",12,1]]},"citation-key":"Cline2011"},"locator":"1"},{"id":8965,"uris":["http://zotero.org/users/9771363/items/PIY956GB"],"itemData":{"id":8965,"type":"article-journal","abstract":"The aim of this study was to reconstruct the evolutionary dynamics of the A(H1N1)pdm09 influenza virus in Italy during two epidemic seasons (2009/2010 and 2010/2011) in the light of the forces driving the evolution of the virus. Nearly six thousands respiratory specimens were collected from patients with influenza-like illness within the framework of the Italian Influenza Surveillance Network, and the A(H1N1)pdm09 hemagglutinin (HA) gene was amplified and directly sequenced from 227 of these. Phylodynamic and phylogeographical analyses were made using a Bayesian Markov Chain Monte Carlo method, and codon-specific positive selection acting on the HA coding sequence was evaluated. The global and local phylogenetic analyses showed that all of the Italian sequences sampled in the post-pandemic (2010/2011) season grouped into at least four highly significant Italian clades, whereas those of the pandemic season (2009/2010) were interspersed with isolates from other countries at the tree root. The time of the most recent common ancestor of the strains circulating in the pandemic season in Italy was estimated to be between the spring and summer of 2009, whereas the Italian clades of the post-pandemic season originated in the spring of 2010 and showed radiation in the summer/autumn of the same year; this was confirmed by a Bayesian skyline plot showing the biphasic growth of the effective number of infections. The local phylogeography analysis showed that the first season of infection originated in Northern Italian localities with high density populations, whereas the second involved less densely populated localities, in line with a gravity-like model of geographical dispersion. Two HA sites, codons 97 and 222, were under positive selection. In conclusion, the A(H1N1)pdm09 virus was introduced into Italy in the spring of 2009 by means of multiple importations. This was followed by repeated founder effects in the post-pandemic period that originated specific Italian clades. Citation: Zehender G, Pariani E, Piralla A, Lai A, Gabanelli E, et al. (2012) Reconstruction of the Evolutionary Dynamics of the A(H1N1)pdm09 Influenza Virus in Italy during the Pandemic and Post-Pandemic Phases. PLoS ONE 7(11): e47517. doi: 10.1371/journal.pone.0047517","container-title":"Plos One","DOI":"10.1371/journal.pone.0047517","issue":"11","note":"Citation Key: Zehender2012\nISBN: 1932-6203","title":"Reconstruction of the Evolutionary Dynamics of the A(H1N1)pdm09 Influenza Virus in Italy during the Pandemic and Post-Pandemic Phases","volume":"7","author":[{"family":"Zehender","given":"Gianguglielmo"},{"family":"Pariani","given":"Elena"},{"family":"Piralla","given":"Antonio"},{"family":"Lai","given":"Alessia"},{"family":"Gabanelli","given":"Elena"},{"family":"Ranghiero","given":"Alberto"},{"family":"Ebranati","given":"Erika"},{"family":"Amendola","given":"Antonella"},{"family":"Campanini","given":"Giulia"},{"family":"Rovida","given":"Francesca"},{"family":"Ciccozzi","given":"Massimo"},{"family":"Galli","given":"Massimo"},{"family":"Baldanti","given":"Fausto"},{"family":"Zanetti","given":"Alessandro Remo"}],"issued":{"date-parts":[["2012"]]},"citation-key":"Zehender2012"},"locator":"1"},{"id":12120,"uris":["http://zotero.org/users/9771363/items/S2FGA6WP"],"itemData":{"id":12120,"type":"article-journal","abstract":"In light of the 2009 influenza pandemic and potential future pandemics, Maria Van Kerkhove and colleagues anticipate six public health challenges and the data needed to support sound public health decision making.","container-title":"PLoS medicine","DOI":"10.1371/journal.pmed.1000275","ISSN":"1549-1676","issue":"6","note":"PMID: 20532237","page":"e1000275","title":"Studies needed to address public health challenges of the 2009 H1N1 influenza pandemic: insights from modeling.","volume":"7","author":[{"family":"Van Kerkhove","given":"Maria D"},{"family":"Asikainen","given":"Tommi"},{"family":"Becker","given":"Niels G"},{"family":"Bjorge","given":"Steven"},{"family":"Desenclos","given":"Jean-Claude"},{"family":"Santos","given":"Thais","non-dropping-particle":"dos"},{"family":"Fraser","given":"Christophe"},{"family":"Leung","given":"Gabriel M"},{"family":"Lipsitch","given":"Marc"},{"family":"Longini","given":"Ira M"},{"family":"McBryde","given":"Emma S"},{"family":"Roth","given":"Cathy E"},{"family":"Shay","given":"David K"},{"family":"Smith","given":"Derek J"},{"family":"Wallinga","given":"Jacco"},{"family":"White","given":"Peter J"},{"family":"Ferguson","given":"Neil M"},{"family":"Riley","given":"Steven"}],"issued":{"date-parts":[["2010",6]]},"citation-key":"vankerkhoveStudiesNeededAddress2010"},"locator":"1"},{"id":8835,"uris":["http://zotero.org/users/9771363/items/UII8CR38"],"itemData":{"id":8835,"type":"article-journal","abstract":"Background: The emergence of the 2009 H1N1 Influenza pandemic followed a multiple reassortment event from viruses originally circulating in swines and humans, but the adaptive nature of this emergence is poorly understood. Results: Here we base our analysis on 1180 complete genomes of H1N1 viruses sampled in North America between 2000 and 2010 in swine and human hosts. We show that while transmission to a human host might require an adaptive phase in the HA and NA antigens, the emergence of the 2009 pandemic was essentially nonadaptive. A more detailed analysis of the NA protein shows that the 2009 pandemic sequence is characterized by novel epitopes and by a particular substitution in loop 150, which is responsible for a nonadaptive structural change tightly associated with the emergence of the pandemic. Conclusions: Because this substitution was not present in the 1918 H1N1 pandemic virus, we posit that the emergence of pandemics is due to epistatic interactions between sites distributed over different segments. Altogether, our results are consistent with population dynamics models that highlight the epistatic and nonadaptive rise of novel epitopes in viral populations, followed by their demise when the resulting virus is too virulent.","container-title":"Bmc Evolutionary Biology","DOI":"10.1186/1471-2148-11-6","note":"Citation Key: Abdussamad2011a\nISBN: 1471-2148","title":"The nonadaptive nature of the H1N1 2009 Swine Flu pandemic contrasts with the adaptive facilitation of transmission to a new host","volume":"11","author":[{"family":"Abdussamad","given":"Juwaeriah"},{"family":"Aris-Brosou","given":"Stephane"}],"issued":{"date-parts":[["2011"]]},"citation-key":"Abdussamad2011a"},"locator":"1"}],"schema":"https://github.com/citation-style-language/schema/raw/master/csl-citation.json"} </w:instrText>
            </w:r>
            <w:r>
              <w:rPr>
                <w:lang w:val="en-GB"/>
              </w:rPr>
              <w:fldChar w:fldCharType="separate"/>
            </w:r>
            <w:r w:rsidR="005620D3" w:rsidRPr="005620D3">
              <w:rPr>
                <w:rFonts w:ascii="Calibri" w:hAnsi="Calibri" w:cs="Calibri"/>
                <w:szCs w:val="24"/>
                <w:lang w:val="en-GB"/>
              </w:rPr>
              <w:t>[52–55]</w:t>
            </w:r>
            <w:r>
              <w:rPr>
                <w:lang w:val="en-GB"/>
              </w:rPr>
              <w:fldChar w:fldCharType="end"/>
            </w:r>
          </w:p>
        </w:tc>
      </w:tr>
      <w:tr w:rsidR="00D34DC7" w:rsidRPr="000A54B1" w14:paraId="7F1CA3E8" w14:textId="77777777" w:rsidTr="00511FC5">
        <w:tc>
          <w:tcPr>
            <w:tcW w:w="1413" w:type="dxa"/>
          </w:tcPr>
          <w:p w14:paraId="122800EA" w14:textId="77777777" w:rsidR="00D34DC7" w:rsidRDefault="00D34DC7" w:rsidP="00D34DC7">
            <w:pPr>
              <w:rPr>
                <w:lang w:val="en-GB"/>
              </w:rPr>
            </w:pPr>
            <w:r>
              <w:rPr>
                <w:lang w:val="en-GB"/>
              </w:rPr>
              <w:t>Coffee rust</w:t>
            </w:r>
          </w:p>
          <w:p w14:paraId="31D7C0BA" w14:textId="77777777" w:rsidR="00D34DC7" w:rsidRDefault="00D34DC7" w:rsidP="00D34DC7">
            <w:pPr>
              <w:rPr>
                <w:lang w:val="en-GB"/>
              </w:rPr>
            </w:pPr>
          </w:p>
          <w:p w14:paraId="34ADEE1C" w14:textId="7037CE49" w:rsidR="00A32A4A" w:rsidRPr="0023493A" w:rsidRDefault="00A32A4A" w:rsidP="00D34DC7">
            <w:pPr>
              <w:rPr>
                <w:rFonts w:cstheme="minorHAnsi"/>
                <w:i/>
                <w:iCs/>
                <w:lang w:val="en-GB"/>
              </w:rPr>
            </w:pPr>
            <w:proofErr w:type="spellStart"/>
            <w:r w:rsidRPr="0023493A">
              <w:rPr>
                <w:rFonts w:cstheme="minorHAnsi"/>
                <w:i/>
                <w:iCs/>
                <w:color w:val="000000" w:themeColor="text1"/>
                <w:lang w:val="en-GB"/>
              </w:rPr>
              <w:t>Hemileia</w:t>
            </w:r>
            <w:proofErr w:type="spellEnd"/>
            <w:r w:rsidRPr="0023493A">
              <w:rPr>
                <w:rFonts w:cstheme="minorHAnsi"/>
                <w:i/>
                <w:iCs/>
                <w:color w:val="000000" w:themeColor="text1"/>
                <w:lang w:val="en-GB"/>
              </w:rPr>
              <w:t xml:space="preserve"> </w:t>
            </w:r>
            <w:proofErr w:type="spellStart"/>
            <w:r w:rsidRPr="0023493A">
              <w:rPr>
                <w:rFonts w:cstheme="minorHAnsi"/>
                <w:i/>
                <w:iCs/>
                <w:color w:val="000000" w:themeColor="text1"/>
                <w:lang w:val="en-GB"/>
              </w:rPr>
              <w:t>vastatrix</w:t>
            </w:r>
            <w:proofErr w:type="spellEnd"/>
            <w:r w:rsidRPr="0023493A">
              <w:rPr>
                <w:rFonts w:cstheme="minorHAnsi"/>
                <w:i/>
                <w:iCs/>
                <w:color w:val="000000" w:themeColor="text1"/>
                <w:lang w:val="en-GB"/>
              </w:rPr>
              <w:t> </w:t>
            </w:r>
          </w:p>
        </w:tc>
        <w:tc>
          <w:tcPr>
            <w:tcW w:w="1984" w:type="dxa"/>
          </w:tcPr>
          <w:p w14:paraId="6A0A3BD5" w14:textId="792780B9" w:rsidR="00D34DC7" w:rsidRDefault="00D34DC7" w:rsidP="00D34DC7">
            <w:pPr>
              <w:rPr>
                <w:lang w:val="en-GB"/>
              </w:rPr>
            </w:pPr>
            <w:r>
              <w:rPr>
                <w:lang w:val="en-GB"/>
              </w:rPr>
              <w:t>“The big rust epidemic”</w:t>
            </w:r>
          </w:p>
          <w:p w14:paraId="3D98671D" w14:textId="22C49163" w:rsidR="00D34DC7" w:rsidRDefault="00D34DC7" w:rsidP="00D34DC7">
            <w:pPr>
              <w:rPr>
                <w:lang w:val="en-GB"/>
              </w:rPr>
            </w:pPr>
            <w:r>
              <w:rPr>
                <w:lang w:val="en-GB"/>
              </w:rPr>
              <w:t>2008-2017</w:t>
            </w:r>
          </w:p>
          <w:p w14:paraId="6ACA39AA" w14:textId="77777777" w:rsidR="00D34DC7" w:rsidRDefault="00D34DC7" w:rsidP="00D34DC7">
            <w:pPr>
              <w:rPr>
                <w:lang w:val="en-GB"/>
              </w:rPr>
            </w:pPr>
            <w:r>
              <w:rPr>
                <w:lang w:val="en-GB"/>
              </w:rPr>
              <w:t>Outbreaks in Latin America.</w:t>
            </w:r>
          </w:p>
          <w:p w14:paraId="2C3DA65D" w14:textId="45FF3612" w:rsidR="00D34DC7" w:rsidRDefault="00D34DC7" w:rsidP="00D34DC7">
            <w:pPr>
              <w:rPr>
                <w:lang w:val="en-GB"/>
              </w:rPr>
            </w:pPr>
            <w:r>
              <w:rPr>
                <w:lang w:val="en-GB"/>
              </w:rPr>
              <w:t xml:space="preserve">Starting in </w:t>
            </w:r>
          </w:p>
          <w:p w14:paraId="6FF16809" w14:textId="16D2B1AC" w:rsidR="00D34DC7" w:rsidRDefault="00D34DC7" w:rsidP="00D34DC7">
            <w:pPr>
              <w:rPr>
                <w:lang w:val="en-GB"/>
              </w:rPr>
            </w:pPr>
            <w:r>
              <w:rPr>
                <w:lang w:val="en-GB"/>
              </w:rPr>
              <w:t>Colombia 2008-2011;</w:t>
            </w:r>
          </w:p>
          <w:p w14:paraId="61DD75E3" w14:textId="77777777" w:rsidR="00D34DC7" w:rsidRDefault="00D34DC7" w:rsidP="00D34DC7">
            <w:pPr>
              <w:rPr>
                <w:lang w:val="en-GB"/>
              </w:rPr>
            </w:pPr>
            <w:r>
              <w:rPr>
                <w:lang w:val="en-GB"/>
              </w:rPr>
              <w:t>Central America and Mexico 2012-2013;</w:t>
            </w:r>
          </w:p>
          <w:p w14:paraId="0F947EB8" w14:textId="2052FA7F" w:rsidR="00D34DC7" w:rsidRDefault="00D34DC7" w:rsidP="00D34DC7">
            <w:pPr>
              <w:rPr>
                <w:lang w:val="en-GB"/>
              </w:rPr>
            </w:pPr>
            <w:r>
              <w:rPr>
                <w:lang w:val="en-GB"/>
              </w:rPr>
              <w:t>Peru &amp; Ecuador 2013</w:t>
            </w:r>
          </w:p>
        </w:tc>
        <w:tc>
          <w:tcPr>
            <w:tcW w:w="3969" w:type="dxa"/>
          </w:tcPr>
          <w:p w14:paraId="1CE8F217" w14:textId="74D4011E" w:rsidR="00D34DC7" w:rsidRPr="009244CC" w:rsidRDefault="00D34DC7" w:rsidP="00D34DC7">
            <w:pPr>
              <w:rPr>
                <w:lang w:val="en-GB"/>
              </w:rPr>
            </w:pPr>
            <w:r w:rsidRPr="009244CC">
              <w:rPr>
                <w:lang w:val="en-US"/>
              </w:rPr>
              <w:t>Reduced</w:t>
            </w:r>
            <w:r>
              <w:rPr>
                <w:lang w:val="en-US"/>
              </w:rPr>
              <w:t xml:space="preserve"> m</w:t>
            </w:r>
            <w:r w:rsidRPr="009244CC">
              <w:rPr>
                <w:lang w:val="en-US"/>
              </w:rPr>
              <w:t>anagement</w:t>
            </w:r>
            <w:r>
              <w:rPr>
                <w:lang w:val="en-US"/>
              </w:rPr>
              <w:t xml:space="preserve"> effort due to declining profitability related to</w:t>
            </w:r>
          </w:p>
          <w:p w14:paraId="6324A307" w14:textId="0480C557" w:rsidR="00D34DC7" w:rsidRPr="009244CC" w:rsidRDefault="00D34DC7" w:rsidP="00D34DC7">
            <w:pPr>
              <w:rPr>
                <w:lang w:val="en-GB"/>
              </w:rPr>
            </w:pPr>
            <w:r>
              <w:rPr>
                <w:lang w:val="en-US"/>
              </w:rPr>
              <w:t>d</w:t>
            </w:r>
            <w:r w:rsidRPr="009244CC">
              <w:rPr>
                <w:lang w:val="en-US"/>
              </w:rPr>
              <w:t>eclining</w:t>
            </w:r>
          </w:p>
          <w:p w14:paraId="0F8F3BF5" w14:textId="77777777" w:rsidR="00D34DC7" w:rsidRPr="009244CC" w:rsidRDefault="00D34DC7" w:rsidP="00D34DC7">
            <w:pPr>
              <w:rPr>
                <w:lang w:val="en-GB"/>
              </w:rPr>
            </w:pPr>
            <w:r w:rsidRPr="009244CC">
              <w:rPr>
                <w:lang w:val="en-US"/>
              </w:rPr>
              <w:t>sales prices</w:t>
            </w:r>
          </w:p>
          <w:p w14:paraId="04FBD583" w14:textId="2DD59D29" w:rsidR="00D34DC7" w:rsidRPr="009244CC" w:rsidRDefault="00D34DC7" w:rsidP="00D34DC7">
            <w:pPr>
              <w:rPr>
                <w:lang w:val="en-GB"/>
              </w:rPr>
            </w:pPr>
            <w:r>
              <w:rPr>
                <w:lang w:val="en-US"/>
              </w:rPr>
              <w:t>or in</w:t>
            </w:r>
            <w:r w:rsidRPr="009244CC">
              <w:rPr>
                <w:lang w:val="en-US"/>
              </w:rPr>
              <w:t>creasing</w:t>
            </w:r>
          </w:p>
          <w:p w14:paraId="4C3ABC36" w14:textId="0A245E55" w:rsidR="00D34DC7" w:rsidRDefault="00D34DC7" w:rsidP="00D34DC7">
            <w:pPr>
              <w:rPr>
                <w:lang w:val="en-US"/>
              </w:rPr>
            </w:pPr>
            <w:r w:rsidRPr="009244CC">
              <w:rPr>
                <w:lang w:val="en-US"/>
              </w:rPr>
              <w:t>input prices</w:t>
            </w:r>
            <w:r>
              <w:rPr>
                <w:lang w:val="en-US"/>
              </w:rPr>
              <w:t>.</w:t>
            </w:r>
          </w:p>
          <w:p w14:paraId="30438606" w14:textId="77777777" w:rsidR="00D34DC7" w:rsidRDefault="00D34DC7" w:rsidP="00D34DC7">
            <w:pPr>
              <w:rPr>
                <w:lang w:val="en-US"/>
              </w:rPr>
            </w:pPr>
          </w:p>
          <w:p w14:paraId="483BDE20" w14:textId="1D7D7F14" w:rsidR="00D34DC7" w:rsidRDefault="00D34DC7" w:rsidP="00D34DC7">
            <w:pPr>
              <w:rPr>
                <w:lang w:val="en-US"/>
              </w:rPr>
            </w:pPr>
            <w:r w:rsidRPr="009244CC">
              <w:rPr>
                <w:lang w:val="en-US"/>
              </w:rPr>
              <w:t>Reduced</w:t>
            </w:r>
            <w:r w:rsidRPr="009244CC">
              <w:rPr>
                <w:lang w:val="en-US"/>
              </w:rPr>
              <w:br/>
              <w:t>thermal</w:t>
            </w:r>
            <w:r w:rsidRPr="009244CC">
              <w:rPr>
                <w:lang w:val="en-US"/>
              </w:rPr>
              <w:br/>
              <w:t xml:space="preserve">amplitude </w:t>
            </w:r>
            <w:r>
              <w:rPr>
                <w:lang w:val="en-US"/>
              </w:rPr>
              <w:t>and increased rainfall.</w:t>
            </w:r>
          </w:p>
          <w:p w14:paraId="18F658E7" w14:textId="526405FE" w:rsidR="00D34DC7" w:rsidRDefault="00D34DC7" w:rsidP="00D34DC7">
            <w:pPr>
              <w:rPr>
                <w:lang w:val="en-US"/>
              </w:rPr>
            </w:pPr>
            <w:r>
              <w:rPr>
                <w:lang w:val="en-US"/>
              </w:rPr>
              <w:t>Wind patterns facilitating long-distance spread.</w:t>
            </w:r>
          </w:p>
          <w:p w14:paraId="17EBA5A2" w14:textId="14CC8E73" w:rsidR="00D34DC7" w:rsidRPr="009244CC" w:rsidRDefault="00D34DC7" w:rsidP="00D34DC7">
            <w:pPr>
              <w:rPr>
                <w:lang w:val="en-GB"/>
              </w:rPr>
            </w:pPr>
            <w:r>
              <w:rPr>
                <w:lang w:val="en-US"/>
              </w:rPr>
              <w:t xml:space="preserve">Increased vulnerability due to vulnerability of crop, where 80 % are cultivars susceptible to coffee rust. </w:t>
            </w:r>
          </w:p>
          <w:p w14:paraId="4ECE0474" w14:textId="5B370F9D" w:rsidR="00D34DC7" w:rsidRDefault="00D34DC7" w:rsidP="00D34DC7">
            <w:pPr>
              <w:rPr>
                <w:lang w:val="en-GB"/>
              </w:rPr>
            </w:pPr>
          </w:p>
        </w:tc>
        <w:tc>
          <w:tcPr>
            <w:tcW w:w="4678" w:type="dxa"/>
          </w:tcPr>
          <w:p w14:paraId="6607062C" w14:textId="77777777" w:rsidR="00D34DC7" w:rsidRDefault="00D34DC7" w:rsidP="00D34DC7">
            <w:pPr>
              <w:rPr>
                <w:lang w:val="en-GB"/>
              </w:rPr>
            </w:pPr>
            <w:r>
              <w:rPr>
                <w:lang w:val="en-GB"/>
              </w:rPr>
              <w:t>Management: Increased fungicide use and planting of disease resistant cultivars.</w:t>
            </w:r>
          </w:p>
          <w:p w14:paraId="3684BE18" w14:textId="77777777" w:rsidR="00D34DC7" w:rsidRPr="00AE6270" w:rsidRDefault="00D34DC7" w:rsidP="00D34DC7">
            <w:pPr>
              <w:rPr>
                <w:lang w:val="en-GB"/>
              </w:rPr>
            </w:pPr>
          </w:p>
          <w:p w14:paraId="09CE8E79" w14:textId="13792C08" w:rsidR="00D34DC7" w:rsidRDefault="00D34DC7" w:rsidP="00D34DC7">
            <w:pPr>
              <w:rPr>
                <w:lang w:val="en-GB"/>
              </w:rPr>
            </w:pPr>
            <w:r>
              <w:rPr>
                <w:lang w:val="en-GB"/>
              </w:rPr>
              <w:t>Impacts largest on migrant harvesters and smallholders. Increasing food insecurity and economic hardship due to few other income sources or lending sources</w:t>
            </w:r>
          </w:p>
          <w:p w14:paraId="1F72B8CD" w14:textId="77777777" w:rsidR="00D34DC7" w:rsidRDefault="00D34DC7" w:rsidP="00D34DC7">
            <w:pPr>
              <w:rPr>
                <w:lang w:val="en-GB"/>
              </w:rPr>
            </w:pPr>
          </w:p>
          <w:p w14:paraId="72727798" w14:textId="632FECAE" w:rsidR="00D34DC7" w:rsidRDefault="00D34DC7" w:rsidP="00D34DC7">
            <w:pPr>
              <w:rPr>
                <w:lang w:val="en-GB"/>
              </w:rPr>
            </w:pPr>
            <w:r>
              <w:rPr>
                <w:lang w:val="en-GB"/>
              </w:rPr>
              <w:t>Doubling of Out-Migration from affected regions (</w:t>
            </w:r>
            <w:proofErr w:type="spellStart"/>
            <w:r>
              <w:rPr>
                <w:lang w:val="en-GB"/>
              </w:rPr>
              <w:t>Guatamala</w:t>
            </w:r>
            <w:proofErr w:type="spellEnd"/>
            <w:r>
              <w:rPr>
                <w:lang w:val="en-GB"/>
              </w:rPr>
              <w:t>) especially to USA and national urban centres.</w:t>
            </w:r>
          </w:p>
          <w:p w14:paraId="13DFF049" w14:textId="1111CE87" w:rsidR="00D34DC7" w:rsidRDefault="00D34DC7" w:rsidP="00D34DC7">
            <w:pPr>
              <w:rPr>
                <w:lang w:val="en-GB"/>
              </w:rPr>
            </w:pPr>
          </w:p>
          <w:p w14:paraId="732CD8BF" w14:textId="77777777" w:rsidR="00D34DC7" w:rsidRDefault="00D34DC7" w:rsidP="00D34DC7">
            <w:pPr>
              <w:rPr>
                <w:lang w:val="en-GB"/>
              </w:rPr>
            </w:pPr>
          </w:p>
          <w:p w14:paraId="508DA50A" w14:textId="00EE088E" w:rsidR="00D34DC7" w:rsidRPr="00AE6270" w:rsidRDefault="00D34DC7" w:rsidP="00D34DC7">
            <w:pPr>
              <w:rPr>
                <w:lang w:val="en-GB"/>
              </w:rPr>
            </w:pPr>
          </w:p>
        </w:tc>
        <w:tc>
          <w:tcPr>
            <w:tcW w:w="1843" w:type="dxa"/>
          </w:tcPr>
          <w:p w14:paraId="650154BC" w14:textId="52DDF450" w:rsidR="00D34DC7" w:rsidRPr="002E785F" w:rsidRDefault="00D34DC7" w:rsidP="00D34DC7">
            <w:pPr>
              <w:ind w:left="36" w:right="477"/>
              <w:rPr>
                <w:lang w:val="en-GB"/>
              </w:rPr>
            </w:pPr>
            <w:r>
              <w:rPr>
                <w:lang w:val="en-GB"/>
              </w:rPr>
              <w:fldChar w:fldCharType="begin"/>
            </w:r>
            <w:r w:rsidR="005620D3">
              <w:rPr>
                <w:lang w:val="en-GB"/>
              </w:rPr>
              <w:instrText xml:space="preserve"> ADDIN ZOTERO_ITEM CSL_CITATION {"citationID":"TfcYAfIF","properties":{"formattedCitation":"[56\\uc0\\u8211{}61]","plainCitation":"[56–61]","noteIndex":0},"citationItems":[{"id":41274,"uris":["http://zotero.org/users/9771363/items/377UGL7R"],"itemData":{"id":41274,"type":"article-journal","abstract":"Climate change is driving severe outbreaks of crop diseases, decimating agricultural production, and disrupting rural livelihoods globally. While the patterns of agricultural disease outbreaks are well documented, less is known about the extent to which climate change-driven diseases are affecting crop production, disrupting farmer livelihoods, and potentially altering farmer migration patterns. In this study, we investigated the impacts of an extended outbreak (2007–2016) of coffee leaf rust (CLR, Hemileia vastatrix) on the livelihoods and migration decisions of smallholder coffee farmers in ten communities in eastern Guatemala, comparing coffee farming households from communities that had a history of migration with those that did not. We used a mixed-methods approach to assess the impacts of CLR on coffee production and farmer livelihoods, documented the migration decisions of household members, and compared migration rates and destinations between migrant communities and previously non-migrant communities. We also assessed the effects of crop loss, household wealth, and information access on the use of migration as a coping strategy among affected households. We found that smallholder farmer households lost an average of 71% (SE = 2%) of their coffee production during their self-defined worst year of CLR impact. Household migration almost doubled in response to CLR, both in communities that had a history of migration and in historically non-migrant communities. Migration was more likely among households that experienced greater crop losses of due to CLR. In contrast, migration was lower among households that had greater access to information. Our study demonstrates the potential for climate-driven disease outbreaks to significantly impact farmers’ livelihoods and increase farmer migration from rural regions, and highlights the need for urgent action to support farmers to adapt to these changing conditions.","container-title":"World Development","DOI":"10.1016/j.worlddev.2022.105918","ISSN":"0305-750X","journalAbbreviation":"World Development","language":"en","page":"105918","source":"ScienceDirect","title":"The impact of coffee leaf rust on migration by smallholder coffee farmers in Guatemala","volume":"156","author":[{"family":"Dupre","given":"Samuel I."},{"family":"Harvey","given":"Celia A."},{"family":"Holland","given":"Margaret B."}],"issued":{"date-parts":[["2022",8,1]]},"citation-key":"dupreImpactCoffeeLeaf2022"}},{"id":41190,"uris":["http://zotero.org/users/9771363/items/IH5E4VQ5"],"itemData":{"id":41190,"type":"article-journal","abstract":"Coffee rust is a leaf disease caused by the fungus, Hemileia vastatrix. Coffee rust epidemics, with intensities higher than previously observed, have affected a number of countries including: Colombia, from 2008 to 2011; Central America and Mexico, in 2012–13; and Peru and Ecuador in 2013. There are many contributing factors to the onset of these epidemics e.g. the state of the economy, crop management decisions and the prevailing weather, and many resulting impacts e.g. on production, on farmers’ and labourers’ income and livelihood, and on food security. Production has been considerably reduced in Colombia (by 31 % on average during the epidemic years compared with 2007) and Central America (by 16 % in 2013 compared with 2011–12 and by 10 % in 2013–14 compared with 2012–13). These reductions have had direct impacts on the livelihoods of thousands of smallholders and harvesters. For these populations, particularly in Central America, coffee is often the only source of income used to buy food and supplies for the cultivation of basic grains. As a result, the coffee rust epidemic has had indirect impacts on food security. The main drivers of these epidemics are economic and meteorological. All the intense epidemics experienced during the last 37 years in Central America and Colombia were concurrent with low coffee profitability periods due to coffee price declines, as was the case in the 2012–13 Central American epidemic, or due to increases in input costs, as in the 2008–11 Colombian epidemics. Low profitability led to suboptimal coffee management, which resulted in increased plant vulnerability to pests and diseases. A common factor in the recent Colombian and Central American epidemics was a reduction in the diurnal thermal amplitude, with higher minimum/lower maximum temperatures (+0.1 °C/-0.5 °C on average during 2008–2011 compared to a low coffee rust incidence period, 1991–1994, in Chinchiná, Colombia; +0.9 °C/-1.2 °C on average in 2012 compared with prevailing climate, in 1224 farms from Guatemala). This likely decreased the latency period of the disease. These epidemics should be considered as a warning for the future, as they were enhanced by weather conditions consistent with climate change. Appropriate actions need to be taken in the near future to address this issue including: the development and establishment of resistant coffee cultivars; the creation of early warning systems; the design of crop management systems adapted to climate change and to pest and disease threats; and socio-economic solutions such as training and organisational strengthening.","container-title":"Food Security","DOI":"10.1007/s12571-015-0446-9","ISSN":"18764525","issue":"2","page":"303-321","title":"The coffee rust crises in Colombia and Central America (2008–2013): impacts, plausible causes and proposed solutions","volume":"7","author":[{"family":"Avelino","given":"Jacques"},{"family":"Cristancho","given":"Marco"},{"family":"Georgiou","given":"Selena"},{"family":"Imbach","given":"Pablo"},{"family":"Aguilar","given":"Lorena"},{"family":"Bornemann","given":"Gustavo"},{"family":"Läderach","given":"Peter"},{"family":"Anzueto","given":"Francisco"},{"family":"Hruska","given":"Allan J."},{"family":"Morales","given":"Carmen"}],"issued":{"date-parts":[["2015"]]},"citation-key":"avelinoCoffeeRustCrises2015"}},{"id":41222,"uris":["http://zotero.org/users/9771363/items/6GJRYDV6"],"itemData":{"id":41222,"type":"article-journal","abstract":"Since 2008, there has been a cluster of outbreaks of the coffee rust (Hemileia vastatrix) across the coffee-growing regions of the Americas, which have been collectively described as the Big Rust. These outbreaks have caused significant hardship to coffee producers and laborers. This essay situates the Big Rust in a broader historical context. Over the past two centuries, coffee farmers have had to deal with the \"curse of the Red Queen\"-the need to constantly innovate in the face of an increasing range of threats, which includes the rust. Over the 20th century, particularly after World War II, national governments and international organizations developed a network of national, regional, and international coffee research institutions. These public institutions played a vital role in helping coffee farmers manage the rust. Coffee farmers have pursued four major strategies for managing the rust: bioprospecting for resistant coffee plants, breeding resistant coffee plants, chemical control, and agroecological control. Currently, the main challenge for researchers is to develop rust control strategies that are both ecologically and economically viable for coffee farmers, in the context of a volatile, deregulated coffee industry and the emergent challenges of climate change.","container-title":"Phytopathology","DOI":"10.1094/PHYTO-04-15-0085-RVW","ISSN":"19437684","issue":"9","note":"PMID: 26371395","page":"1164-1173","title":"The Big Rust and the Red Queen: Long-term perspectives on coffee rust research","volume":"105","author":[{"family":"McCook","given":"Stuart"},{"family":"Vandermeer","given":"John"}],"issued":{"date-parts":[["2015"]]},"citation-key":"mccookBigRustRed2015"}},{"id":41459,"uris":["http://zotero.org/users/9771363/items/SQRXWPX8"],"itemData":{"id":41459,"type":"article-journal","container-title":"Independent Study Project (ISP) Collection","title":"The Impacts of Warming Coffee: The Climate Change-Coffee-Migration Nexus in the Northern Triangle of Central America","title-short":"The Impacts of Warming Coffee","URL":"https://digitalcollections.sit.edu/isp_collection/3008","author":[{"family":"Lynch","given":"Connor"}],"issued":{"date-parts":[["2019",4,1]]},"citation-key":"lynchImpactsWarmingCoffee2019"}},{"id":41461,"uris":["http://zotero.org/users/9771363/items/ELBKAH7R"],"itemData":{"id":41461,"type":"article-journal","abstract":"The narratives of migration as adaptation and in situ adaptation are well established in mainstream adaptation policy and are usually presented as independent and opposing trends of action. A common and fundamental element of such narratives is the depoliticized conception of both migration and adaptation. Using a trans-scalar approach, we address the migration–coffee–climate change nexus: first at a regional scale, at the conflictive border of Guatemala–Mexico, to show the contradiction between the current Central American migratory crisis and the narrative of migration as adaptation; second, at a local scale and from an ethnographic perspective, we focus on the process of in situ adaptation in shade-grown coffee plots of smallholder coffee farmers in the Tacaná Volcano cross-border region, between Chiapas and Guatemala. We argue that the dichotomy “in situ adaptation” versus “migration as adaptation” is not useful to capture the intertwined and political nature of both narratives, as illustrated in the case of the renovation of smallholders’ coffee plots in a context of climatic changes. We provide elements to contribute towards the repolitization of adaptation from an integral perspective.","container-title":"Social Sciences","DOI":"10.3390/socsci8120323","ISSN":"2076-0760","issue":"12","language":"en","license":"http://creativecommons.org/licenses/by/3.0/","note":"number: 12\npublisher: Multidisciplinary Digital Publishing Institute","page":"323","source":"www.mdpi.com","title":"Coffee, Migration and Climatic Changes: Challenging Adaptation Dichotomic Narratives in a Transborder Region","title-short":"Coffee, Migration and Climatic Changes","volume":"8","author":[{"family":"Ruiz-de-Oña","given":"Celia"},{"family":"Rivera-Castañeda","given":"Patricia"},{"family":"Merlín-Uribe","given":"Yair"}],"issued":{"date-parts":[["2019",12]]},"citation-key":"ruiz-de-onaCoffeeMigrationClimatic2019"}},{"id":41474,"uris":["http://zotero.org/users/9771363/items/V2XG7TKD"],"itemData":{"id":41474,"type":"book","abstract":"The global coffee industry, which fuels the livelihoods of farmers, entrepreneurs, and consumers around the world, rests on fragile ecological foundations. In Coffee Is Not Forever, Stuart McCook explores the transnational story of this essential crop through a history of one of its most devastating diseases, the coffee leaf rust. He deftly synthesizes agricultural, social, and economic histories with plant genetics and plant pathology to investigate the increasing interdependence of the world’s coffee-producing zones. In the process, he illuminates the progress and prognosis of the challenges—especially climate change—that pose an existential threat to a crop that global consumers often take for granted. And finally, in putting a tropical plant disease at the forefront, he has crafted the first truly global environmental history of coffee, pushing its study and the discipline in bold new directions.","ISBN":"978-0-8214-4684-3","language":"en","note":"Google-Books-ID: ldiuDwAAQBAJ","number-of-pages":"307","publisher":"Ohio University Press","source":"Google Books","title":"Coffee Is Not Forever: A Global History of the Coffee Leaf Rust","title-short":"Coffee Is Not Forever","author":[{"family":"McCook","given":"Stuart"}],"issued":{"date-parts":[["2019",10,2]]},"citation-key":"mccookCoffeeNotForever2019"}}],"schema":"https://github.com/citation-style-language/schema/raw/master/csl-citation.json"} </w:instrText>
            </w:r>
            <w:r>
              <w:rPr>
                <w:lang w:val="en-GB"/>
              </w:rPr>
              <w:fldChar w:fldCharType="separate"/>
            </w:r>
            <w:r w:rsidR="005620D3" w:rsidRPr="005620D3">
              <w:rPr>
                <w:rFonts w:ascii="Calibri" w:hAnsi="Calibri" w:cs="Calibri"/>
                <w:szCs w:val="24"/>
                <w:lang w:val="en-GB"/>
              </w:rPr>
              <w:t>[56–61]</w:t>
            </w:r>
            <w:r>
              <w:rPr>
                <w:lang w:val="en-GB"/>
              </w:rPr>
              <w:fldChar w:fldCharType="end"/>
            </w:r>
          </w:p>
        </w:tc>
      </w:tr>
      <w:tr w:rsidR="00D34DC7" w:rsidRPr="000A54B1" w14:paraId="4715C57C" w14:textId="77777777" w:rsidTr="00511FC5">
        <w:tc>
          <w:tcPr>
            <w:tcW w:w="1413" w:type="dxa"/>
          </w:tcPr>
          <w:p w14:paraId="72D62BED" w14:textId="1A656DF3" w:rsidR="00D34DC7" w:rsidRPr="002E785F" w:rsidRDefault="00D34DC7" w:rsidP="00D34DC7">
            <w:pPr>
              <w:rPr>
                <w:lang w:val="en-GB"/>
              </w:rPr>
            </w:pPr>
            <w:r>
              <w:rPr>
                <w:lang w:val="en-GB"/>
              </w:rPr>
              <w:lastRenderedPageBreak/>
              <w:t>Zika</w:t>
            </w:r>
            <w:r w:rsidR="00A32A4A">
              <w:rPr>
                <w:lang w:val="en-GB"/>
              </w:rPr>
              <w:t xml:space="preserve"> </w:t>
            </w:r>
            <w:proofErr w:type="gramStart"/>
            <w:r w:rsidR="00A32A4A">
              <w:rPr>
                <w:lang w:val="en-GB"/>
              </w:rPr>
              <w:t xml:space="preserve">virus </w:t>
            </w:r>
            <w:r>
              <w:rPr>
                <w:lang w:val="en-GB"/>
              </w:rPr>
              <w:t xml:space="preserve"> –</w:t>
            </w:r>
            <w:proofErr w:type="gramEnd"/>
            <w:r>
              <w:rPr>
                <w:lang w:val="en-GB"/>
              </w:rPr>
              <w:t xml:space="preserve"> ZB</w:t>
            </w:r>
            <w:r w:rsidR="009A6EF2">
              <w:rPr>
                <w:lang w:val="en-GB"/>
              </w:rPr>
              <w:t>.</w:t>
            </w:r>
            <w:r>
              <w:rPr>
                <w:lang w:val="en-GB"/>
              </w:rPr>
              <w:t xml:space="preserve">2 </w:t>
            </w:r>
            <w:r w:rsidR="00A32A4A">
              <w:rPr>
                <w:lang w:val="en-GB"/>
              </w:rPr>
              <w:t>strain</w:t>
            </w:r>
          </w:p>
        </w:tc>
        <w:tc>
          <w:tcPr>
            <w:tcW w:w="1984" w:type="dxa"/>
          </w:tcPr>
          <w:p w14:paraId="1D6017FD" w14:textId="7E2C32B7" w:rsidR="00D34DC7" w:rsidRPr="002E785F" w:rsidRDefault="00D34DC7" w:rsidP="00D34DC7">
            <w:pPr>
              <w:rPr>
                <w:lang w:val="en-GB"/>
              </w:rPr>
            </w:pPr>
            <w:r>
              <w:rPr>
                <w:lang w:val="en-GB"/>
              </w:rPr>
              <w:t xml:space="preserve">Regional outbreak </w:t>
            </w:r>
            <w:proofErr w:type="gramStart"/>
            <w:r>
              <w:rPr>
                <w:lang w:val="en-GB"/>
              </w:rPr>
              <w:t>of  new</w:t>
            </w:r>
            <w:proofErr w:type="gramEnd"/>
            <w:r>
              <w:rPr>
                <w:lang w:val="en-GB"/>
              </w:rPr>
              <w:t xml:space="preserve"> ZB.2 </w:t>
            </w:r>
            <w:r w:rsidR="009A6EF2">
              <w:rPr>
                <w:lang w:val="en-GB"/>
              </w:rPr>
              <w:t xml:space="preserve"> </w:t>
            </w:r>
            <w:r>
              <w:rPr>
                <w:lang w:val="en-GB"/>
              </w:rPr>
              <w:t xml:space="preserve">variant of Zika </w:t>
            </w:r>
            <w:r w:rsidR="009A6EF2">
              <w:rPr>
                <w:lang w:val="en-GB"/>
              </w:rPr>
              <w:t xml:space="preserve">in the Americas </w:t>
            </w:r>
            <w:r>
              <w:rPr>
                <w:lang w:val="en-GB"/>
              </w:rPr>
              <w:t>starting in 2013/14</w:t>
            </w:r>
          </w:p>
        </w:tc>
        <w:tc>
          <w:tcPr>
            <w:tcW w:w="3969" w:type="dxa"/>
          </w:tcPr>
          <w:p w14:paraId="1E662F8F" w14:textId="471B10E1" w:rsidR="00D34DC7" w:rsidRDefault="00D34DC7" w:rsidP="00D34DC7">
            <w:pPr>
              <w:rPr>
                <w:lang w:val="en-GB"/>
              </w:rPr>
            </w:pPr>
            <w:r>
              <w:rPr>
                <w:lang w:val="en-GB"/>
              </w:rPr>
              <w:t xml:space="preserve">Trade and travel. </w:t>
            </w:r>
          </w:p>
          <w:p w14:paraId="74CBF5C8" w14:textId="77777777" w:rsidR="00D34DC7" w:rsidRDefault="00D34DC7" w:rsidP="00D34DC7">
            <w:pPr>
              <w:rPr>
                <w:lang w:val="en-GB"/>
              </w:rPr>
            </w:pPr>
            <w:r>
              <w:rPr>
                <w:lang w:val="en-GB"/>
              </w:rPr>
              <w:t>Land use change</w:t>
            </w:r>
          </w:p>
          <w:p w14:paraId="6F11D93C" w14:textId="0B155244" w:rsidR="00D34DC7" w:rsidRDefault="00D34DC7" w:rsidP="00D34DC7">
            <w:pPr>
              <w:rPr>
                <w:lang w:val="en-GB"/>
              </w:rPr>
            </w:pPr>
            <w:r>
              <w:rPr>
                <w:lang w:val="en-GB"/>
              </w:rPr>
              <w:t>Climate change and Weather extremes</w:t>
            </w:r>
          </w:p>
          <w:p w14:paraId="4C01B48C" w14:textId="2BB7600C" w:rsidR="00D34DC7" w:rsidRDefault="00D34DC7" w:rsidP="00D34DC7">
            <w:pPr>
              <w:rPr>
                <w:lang w:val="en-GB"/>
              </w:rPr>
            </w:pPr>
            <w:r>
              <w:rPr>
                <w:lang w:val="en-GB"/>
              </w:rPr>
              <w:t>Urbanization Deforestation</w:t>
            </w:r>
          </w:p>
          <w:p w14:paraId="73FF4FDD" w14:textId="77777777" w:rsidR="00D34DC7" w:rsidRDefault="00D34DC7" w:rsidP="00D34DC7">
            <w:pPr>
              <w:rPr>
                <w:lang w:val="en-GB"/>
              </w:rPr>
            </w:pPr>
            <w:r>
              <w:rPr>
                <w:lang w:val="en-GB"/>
              </w:rPr>
              <w:t>Poverty</w:t>
            </w:r>
          </w:p>
          <w:p w14:paraId="0A85062D" w14:textId="06AA1343" w:rsidR="00D34DC7" w:rsidRPr="002E785F" w:rsidRDefault="00D34DC7" w:rsidP="00D34DC7">
            <w:pPr>
              <w:rPr>
                <w:lang w:val="en-GB"/>
              </w:rPr>
            </w:pPr>
            <w:r>
              <w:rPr>
                <w:lang w:val="en-GB"/>
              </w:rPr>
              <w:t>Mosquito control programmes</w:t>
            </w:r>
          </w:p>
        </w:tc>
        <w:tc>
          <w:tcPr>
            <w:tcW w:w="4678" w:type="dxa"/>
          </w:tcPr>
          <w:p w14:paraId="6B7143D5" w14:textId="1EB3BC17" w:rsidR="00D34DC7" w:rsidRDefault="00D34DC7" w:rsidP="00D34DC7">
            <w:pPr>
              <w:rPr>
                <w:lang w:val="en-GB"/>
              </w:rPr>
            </w:pPr>
            <w:r>
              <w:rPr>
                <w:lang w:val="en-GB"/>
              </w:rPr>
              <w:t>Congenital birth defects igniting debates about women’s, maternal, foetal, and infant health care.</w:t>
            </w:r>
          </w:p>
          <w:p w14:paraId="464BC49E" w14:textId="1D425FF9" w:rsidR="00D34DC7" w:rsidRDefault="00D34DC7" w:rsidP="00D34DC7">
            <w:pPr>
              <w:rPr>
                <w:lang w:val="en-GB"/>
              </w:rPr>
            </w:pPr>
            <w:r>
              <w:rPr>
                <w:lang w:val="en-GB"/>
              </w:rPr>
              <w:t>Family planning</w:t>
            </w:r>
          </w:p>
          <w:p w14:paraId="734421FC" w14:textId="78934F07" w:rsidR="00D34DC7" w:rsidRDefault="00D34DC7" w:rsidP="00D34DC7">
            <w:pPr>
              <w:rPr>
                <w:lang w:val="en-GB"/>
              </w:rPr>
            </w:pPr>
            <w:r>
              <w:rPr>
                <w:lang w:val="en-GB"/>
              </w:rPr>
              <w:t xml:space="preserve">Use of transgenic mosquitos. </w:t>
            </w:r>
          </w:p>
          <w:p w14:paraId="34B76A10" w14:textId="2909227C" w:rsidR="00D34DC7" w:rsidRDefault="00D34DC7" w:rsidP="00D34DC7">
            <w:pPr>
              <w:rPr>
                <w:lang w:val="en-GB"/>
              </w:rPr>
            </w:pPr>
            <w:r>
              <w:rPr>
                <w:lang w:val="en-GB"/>
              </w:rPr>
              <w:t>Tourism</w:t>
            </w:r>
          </w:p>
          <w:p w14:paraId="4C176CCF" w14:textId="77777777" w:rsidR="00D34DC7" w:rsidRDefault="00D34DC7" w:rsidP="00D34DC7">
            <w:pPr>
              <w:rPr>
                <w:lang w:val="en-GB"/>
              </w:rPr>
            </w:pPr>
            <w:r>
              <w:rPr>
                <w:lang w:val="en-GB"/>
              </w:rPr>
              <w:t>Policy</w:t>
            </w:r>
          </w:p>
          <w:p w14:paraId="3138D025" w14:textId="2522D488" w:rsidR="00D34DC7" w:rsidRPr="002E785F" w:rsidRDefault="00D34DC7" w:rsidP="00D34DC7">
            <w:pPr>
              <w:rPr>
                <w:lang w:val="en-GB"/>
              </w:rPr>
            </w:pPr>
            <w:r>
              <w:rPr>
                <w:lang w:val="en-GB"/>
              </w:rPr>
              <w:t>Legislation</w:t>
            </w:r>
          </w:p>
        </w:tc>
        <w:tc>
          <w:tcPr>
            <w:tcW w:w="1843" w:type="dxa"/>
          </w:tcPr>
          <w:p w14:paraId="2C4AA7D8" w14:textId="26B0F19A" w:rsidR="00D34DC7" w:rsidRPr="002E785F" w:rsidRDefault="00D34DC7" w:rsidP="00D34DC7">
            <w:pPr>
              <w:ind w:left="36" w:right="477"/>
              <w:rPr>
                <w:lang w:val="en-GB"/>
              </w:rPr>
            </w:pPr>
            <w:r>
              <w:rPr>
                <w:lang w:val="en-GB"/>
              </w:rPr>
              <w:fldChar w:fldCharType="begin"/>
            </w:r>
            <w:r w:rsidR="005620D3">
              <w:rPr>
                <w:lang w:val="en-GB"/>
              </w:rPr>
              <w:instrText xml:space="preserve"> ADDIN ZOTERO_ITEM CSL_CITATION {"citationID":"4rgFVkLi","properties":{"formattedCitation":"[62\\uc0\\u8211{}65]","plainCitation":"[62–65]","noteIndex":0},"citationItems":[{"id":40241,"uris":["http://zotero.org/users/9771363/items/3DWH2HHP"],"itemData":{"id":40241,"type":"article-journal","abstract":"Zika virus (ZIKV) was once considered an obscure member of the large and diverse family of mosquito-borne flaviviruses, and human infections with ZIKV were thought to be sporadic, with mild and self-limiting symptoms. The large-scale ZIKV epidemics in the Americas and the unexpected uncovering of a link to congenital birth defects escalated ZIKV infections to the status of a global public health emergency. Recent studies that combined reverse genetics with modelling in multiple systems have provided evidence that ZIKV has acquired additional amino acid substitutions at the same time as congenital Zika syndrome and other birth defects were detected. In this Progress article, we summarize the evolution of ZIKV during its spread from Asia to the Americas and discuss potential links to pathogenesis.","container-title":"Nature Reviews Microbiology","DOI":"10.1038/s41579-018-0134-9","ISSN":"17401534","issue":"3","note":"PMID: 30617340\npublisher: Springer US","page":"131-139","title":"The evolution of Zika virus from Asia to the Americas","volume":"17","author":[{"family":"Liu","given":"Zhong Yu"},{"family":"Shi","given":"Wei Feng"},{"family":"Qin","given":"Cheng Feng"}],"issued":{"date-parts":[["2019"]]},"citation-key":"liuEvolutionZikaVirus2019"}},{"id":25028,"uris":["http://zotero.org/users/9771363/items/54L5MAQW"],"itemData":{"id":25028,"type":"article-journal","container-title":"Science","DOI":"10.1126/science.aaf5036","ISSN":"0036-8075","issue":"March","note":"PMID: 27013429\nISBN: 10.1126/science.aaf5036","page":"1-9","title":"Zika virus in the Americas: Early epidemiological and genetic findings","volume":"5036","author":[{"family":"Faria","given":"Nuno Rodrigues"},{"family":"Azevedo","given":"R. d. S. d. S."},{"family":"Kraemer","given":"Moritz U G"},{"family":"Souza","given":"Renato"},{"family":"Cunha","given":"Mariana Sequetin"},{"family":"Hill","given":"Sarah C"},{"family":"Theze","given":"J."},{"family":"Bonsall","given":"Michael B"},{"family":"Bowden","given":"T. A."},{"family":"Rissanen","given":"Illona"},{"family":"Rocco","given":"Iray Maria"},{"family":"Nogueira","given":"Juliana Silva"},{"family":"Maeda","given":"A. Y."},{"family":"Vasami","given":"F. G. d. S."},{"family":"Macedo","given":"F. L. d. L."},{"family":"Suzuki","given":"A."},{"family":"Rodrigues","given":"S. G."},{"family":"Cruz","given":"A. C. R."},{"family":"Nunes","given":"B. T."},{"family":"Medeiros","given":"D. B. d. A."},{"family":"Rodrigues","given":"D. S. G."},{"family":"Nunes Queiroz","given":"A. L."},{"family":"Silva","given":"E. V. P.","dropping-particle":"d."},{"family":"Henriques","given":"Daniele Freitas"},{"family":"Travassos da Rosa","given":"E. S."},{"family":"Oliveira","given":"C. S.","non-dropping-particle":"de"},{"family":"Martins","given":"Livia Caricio"},{"family":"Vasconcelos","given":"Helena Baldez"},{"family":"Casseb","given":"L. M. N."},{"family":"Simith","given":"D. d. B."},{"family":"Messina","given":"J. P."},{"family":"Abade","given":"Leandro"},{"family":"Lourenco","given":"J."},{"family":"Alcantara","given":"L. C. J."},{"family":"Lima","given":"Maricélia Maia De"},{"family":"Giovanetti","given":"M."},{"family":"Hay","given":"S. I."},{"family":"Oliveira","given":"R. S.","non-dropping-particle":"de"},{"family":"Lemos","given":"P. d. S."},{"family":"Oliveira","given":"L. F. De"},{"family":"Lima","given":"C. P. S.","non-dropping-particle":"de"},{"family":"Silva","given":"S. P.","non-dropping-particle":"da"},{"family":"Vasconcelos","given":"J. M.","dropping-particle":"d."},{"family":"Franco","given":"L."},{"family":"Cardoso","given":"J. F."},{"family":"Vianez-Junior","given":"J. L. d. S. G."},{"family":"Mir","given":"D."},{"family":"Bello","given":"G."},{"family":"Delatorre","given":"E."},{"family":"Khan","given":"K."},{"family":"Creatore","given":"M."},{"family":"Coelho","given":"G. E."},{"family":"Oliveira","given":"W. K.","non-dropping-particle":"de"},{"family":"Tesh","given":"R."},{"family":"Pybus","given":"O. G."},{"family":"Nunes","given":"M. R. T."},{"family":"Vasconcelos","given":"P. F. C."}],"issued":{"date-parts":[["2016"]]},"citation-key":"fariaZikaVirusAmericas2016a"}},{"id":41436,"uris":["http://zotero.org/users/9771363/items/BS4KZM59"],"itemData":{"id":41436,"type":"article-journal","abstract":"The Zika virus (ZIKV) disease caused a public health emergency of international concern that started in February 2016. The overall number of ZIKV-related cases increased until November 2016, after which it declined sharply. While the evaluation of the potential risk and impact of future arbovirus epidemics remains challenging, intensified surveillance efforts along with a scale-up of ZIKV whole-genome sequencing provide an opportunity to understand the patterns of genetic diversity, evolution, and spread of ZIKV. However, a classification system that reflects the true extent of ZIKV genetic variation is lacking. Our objective was to characterize ZIKV genetic diversity and phylodynamics, identify genomic footprints of differentiation patterns, and propose a dynamic classification system that reflects its divergence levels. We analysed a curated dataset of 762 publicly available sequences spanning the full-length coding region of ZIKV from across its geographical span and collected between 1947 and 2021. The definition of genetic groups was based on comprehensive evolutionary dynamics analyses, which included recombination and phylogenetic analyses, within- and between-group pairwise genetic distances comparison, detection of selective pressure, and clustering analyses. Evidence for potential recombination events was detected in a few sequences. However, we argue that these events are likely due to sequencing errors as proposed in previous studies. There was evidence of strong purifying selection, widespread across the genome, as also detected for other arboviruses. A total of 50 sites showed evidence of positive selection, and for a few of these sites, there was amino acid (AA) differentiation between genetic clusters. Two main genetic clusters were defined, ZA and ZB, which correspond to the already characterized ‘African’ and ‘Asian’ genotypes, respectively.","container-title":"Virus Evolution","DOI":"10.1093/ve/veac029","ISSN":"2057-1577","issue":"1","language":"en","page":"veac029","source":"DOI.org (Crossref)","title":"Genome-wide diversity of Zika virus: Exploring spatio-temporal dynamics to guide a new nomenclature proposal","title-short":"Genome-wide diversity of Zika virus","volume":"8","author":[{"family":"Seabra","given":"Sofia G"},{"family":"Libin","given":"Pieter J K"},{"family":"Theys","given":"Kristof"},{"family":"Zhukova","given":"Anna"},{"family":"Potter","given":"Barney I"},{"family":"Nebenzahl-Guimaraes","given":"Hanna"},{"family":"Gorbalenya","given":"Alexander E"},{"family":"Sidorov","given":"Igor A"},{"family":"Pimentel","given":"Victor"},{"family":"Pingarilho","given":"Marta"},{"family":"Vasconcelos","given":"Ana T R","non-dropping-particle":"de"},{"family":"Dellicour","given":"Simon"},{"family":"Khouri","given":"Ricardo"},{"family":"Gascuel","given":"Olivier"},{"family":"Vandamme","given":"Anne-Mieke"},{"family":"Baele","given":"Guy"},{"family":"Cuypers","given":"Lize"},{"family":"Abecasis","given":"Ana B"}],"issued":{"date-parts":[["2022",4,25]]},"citation-key":"seabraGenomewideDiversityZika2022"}},{"id":38830,"uris":["http://zotero.org/users/9771363/items/8JQPFNEV"],"itemData":{"id":38830,"type":"article-journal","abstract":"Since Zika virus (ZIKV) was detected in Brazil in 2015, it has spread explosively across the Americas and has been linked to increased incidence of microcephaly and Guillain-Barré syndrome (GBS). In one year, it has infected over 500,000 people (suspected and confirmed cases) in 40 countries and territories in the Americas. Along with recent epidemics of dengue (DENV) and chikungunya virus (CHIKV), which are also transmitted by Aedes aegypti and Ae. albopictus mosquitoes, the emergence of ZIKV suggests an ongoing intensification of environmental and social factors that have given rise to a new regime of arbovirus transmission. Here, we review hypotheses and preliminary evidence for the environmental and social changes that have fueled the ZIKV epidemic. Potential drivers include climate variation, land use change, poverty, and human movement. Beyond the direct impact of microcephaly and GBS, the ZIKV epidemic will likely have social ramifications for women’s health and economic consequences for tourism and beyond.","container-title":"PLoS Neglected Tropical Diseases","DOI":"10.1371/journal.pntd.0005135","ISSN":"19352735","issue":"2","note":"PMID: 28182667\nISBN: 1111111111","page":"1-16","title":"Environmental and Social Change Drive the Explosive Emergence of Zika Virus in the Americas","volume":"11","author":[{"family":"Ali","given":"Sofia"},{"family":"Gugliemini","given":"Olivia"},{"family":"Harber","given":"Serena"},{"family":"Harrison","given":"Alexandra"},{"family":"Houle","given":"Lauren"},{"family":"Ivory","given":"Javarcia"},{"family":"Kersten","given":"Sierra"},{"family":"Khan","given":"Rebia"},{"family":"Kim","given":"Jenny"},{"family":"LeBoa","given":"Chris"},{"family":"Nez-Whitfield","given":"Emery"},{"family":"O’Marr","given":"Jamieson"},{"family":"Rothenberg","given":"Emma"},{"family":"Segnitz","given":"R. Max"},{"family":"Sila","given":"Stephanie"},{"family":"Verwillow","given":"Anna"},{"family":"Vogt","given":"Miranda"},{"family":"Yang","given":"Adrienne"},{"family":"Mordecai","given":"Erin A."}],"issued":{"date-parts":[["2017"]]},"citation-key":"aliEnvironmentalSocialChange2017"}}],"schema":"https://github.com/citation-style-language/schema/raw/master/csl-citation.json"} </w:instrText>
            </w:r>
            <w:r>
              <w:rPr>
                <w:lang w:val="en-GB"/>
              </w:rPr>
              <w:fldChar w:fldCharType="separate"/>
            </w:r>
            <w:r w:rsidR="005620D3" w:rsidRPr="005620D3">
              <w:rPr>
                <w:rFonts w:ascii="Calibri" w:hAnsi="Calibri" w:cs="Calibri"/>
                <w:szCs w:val="24"/>
                <w:lang w:val="en-GB"/>
              </w:rPr>
              <w:t>[62–65]</w:t>
            </w:r>
            <w:r>
              <w:rPr>
                <w:lang w:val="en-GB"/>
              </w:rPr>
              <w:fldChar w:fldCharType="end"/>
            </w:r>
          </w:p>
        </w:tc>
      </w:tr>
      <w:tr w:rsidR="00D34DC7" w:rsidRPr="000A54B1" w14:paraId="3F4372C4" w14:textId="77777777" w:rsidTr="00511FC5">
        <w:tc>
          <w:tcPr>
            <w:tcW w:w="1413" w:type="dxa"/>
          </w:tcPr>
          <w:p w14:paraId="4D33909A" w14:textId="77777777" w:rsidR="00D34DC7" w:rsidRDefault="00D34DC7" w:rsidP="00D34DC7">
            <w:pPr>
              <w:rPr>
                <w:lang w:val="en-GB"/>
              </w:rPr>
            </w:pPr>
            <w:r>
              <w:rPr>
                <w:lang w:val="en-GB"/>
              </w:rPr>
              <w:t>Fall Armyworm</w:t>
            </w:r>
          </w:p>
          <w:p w14:paraId="6B4ED865" w14:textId="77777777" w:rsidR="00A32A4A" w:rsidRDefault="00A32A4A" w:rsidP="00D34DC7">
            <w:pPr>
              <w:rPr>
                <w:lang w:val="en-GB"/>
              </w:rPr>
            </w:pPr>
          </w:p>
          <w:p w14:paraId="294612D8" w14:textId="322F8F79" w:rsidR="00A32A4A" w:rsidRPr="00A32A4A" w:rsidRDefault="00A32A4A" w:rsidP="00D34DC7">
            <w:pPr>
              <w:rPr>
                <w:i/>
                <w:iCs/>
                <w:lang w:val="en-GB"/>
              </w:rPr>
            </w:pPr>
            <w:r w:rsidRPr="00A32A4A">
              <w:rPr>
                <w:i/>
                <w:iCs/>
                <w:lang w:val="en-GB"/>
              </w:rPr>
              <w:t xml:space="preserve">Spodoptera </w:t>
            </w:r>
            <w:proofErr w:type="spellStart"/>
            <w:r w:rsidRPr="00A32A4A">
              <w:rPr>
                <w:i/>
                <w:iCs/>
                <w:lang w:val="en-GB"/>
              </w:rPr>
              <w:t>frugiperda</w:t>
            </w:r>
            <w:proofErr w:type="spellEnd"/>
          </w:p>
        </w:tc>
        <w:tc>
          <w:tcPr>
            <w:tcW w:w="1984" w:type="dxa"/>
          </w:tcPr>
          <w:p w14:paraId="004DB86C" w14:textId="76E4BF72" w:rsidR="00D34DC7" w:rsidRPr="002E785F" w:rsidRDefault="00D34DC7" w:rsidP="00D34DC7">
            <w:pPr>
              <w:rPr>
                <w:lang w:val="en-GB"/>
              </w:rPr>
            </w:pPr>
            <w:r>
              <w:rPr>
                <w:lang w:val="en-GB"/>
              </w:rPr>
              <w:t xml:space="preserve">Introduction of FAW to West Africa in 2016 and subsequent rapid spread across the continent, </w:t>
            </w:r>
            <w:proofErr w:type="gramStart"/>
            <w:r>
              <w:rPr>
                <w:lang w:val="en-GB"/>
              </w:rPr>
              <w:t>Asia</w:t>
            </w:r>
            <w:proofErr w:type="gramEnd"/>
            <w:r>
              <w:rPr>
                <w:lang w:val="en-GB"/>
              </w:rPr>
              <w:t xml:space="preserve"> and Oceania.</w:t>
            </w:r>
          </w:p>
        </w:tc>
        <w:tc>
          <w:tcPr>
            <w:tcW w:w="3969" w:type="dxa"/>
          </w:tcPr>
          <w:p w14:paraId="59C322E4" w14:textId="58967219" w:rsidR="00D34DC7" w:rsidRDefault="00D34DC7" w:rsidP="00D34DC7">
            <w:pPr>
              <w:rPr>
                <w:lang w:val="en-GB"/>
              </w:rPr>
            </w:pPr>
            <w:r>
              <w:rPr>
                <w:lang w:val="en-GB"/>
              </w:rPr>
              <w:t>The recent global spread has now been associated with multiple introduction events. The degree to which trade and travel have contributed to these is still unclear</w:t>
            </w:r>
            <w:r w:rsidR="00CC66E0">
              <w:rPr>
                <w:lang w:val="en-GB"/>
              </w:rPr>
              <w:t xml:space="preserve"> </w:t>
            </w:r>
            <w:r w:rsidR="00CC66E0" w:rsidRPr="00CC66E0">
              <w:rPr>
                <w:lang w:val="en-GB"/>
              </w:rPr>
              <w:t>with speculated entry via aircraft/trade according to simulations</w:t>
            </w:r>
            <w:r>
              <w:rPr>
                <w:lang w:val="en-GB"/>
              </w:rPr>
              <w:t>.</w:t>
            </w:r>
          </w:p>
          <w:p w14:paraId="40A8B371" w14:textId="28D8F41E" w:rsidR="00D34DC7" w:rsidRPr="002E785F" w:rsidRDefault="00D34DC7" w:rsidP="00D34DC7">
            <w:pPr>
              <w:rPr>
                <w:lang w:val="en-GB"/>
              </w:rPr>
            </w:pPr>
          </w:p>
        </w:tc>
        <w:tc>
          <w:tcPr>
            <w:tcW w:w="4678" w:type="dxa"/>
          </w:tcPr>
          <w:p w14:paraId="70071E52" w14:textId="21B20C95" w:rsidR="00D34DC7" w:rsidRPr="002E785F" w:rsidRDefault="00D34DC7" w:rsidP="00D34DC7">
            <w:pPr>
              <w:rPr>
                <w:lang w:val="en-GB"/>
              </w:rPr>
            </w:pPr>
            <w:r>
              <w:rPr>
                <w:lang w:val="en-GB"/>
              </w:rPr>
              <w:t>Impacts on small holder farmers</w:t>
            </w:r>
            <w:r w:rsidR="00CC66E0">
              <w:rPr>
                <w:lang w:val="en-GB"/>
              </w:rPr>
              <w:t xml:space="preserve"> </w:t>
            </w:r>
            <w:r w:rsidR="00CC66E0" w:rsidRPr="00CC66E0">
              <w:rPr>
                <w:lang w:val="en-GB"/>
              </w:rPr>
              <w:t>e.g., reducing income by 44 % and increasing likelihood of experiencing hunger by 17 % in Zimbabwean households</w:t>
            </w:r>
            <w:r>
              <w:rPr>
                <w:lang w:val="en-GB"/>
              </w:rPr>
              <w:t xml:space="preserve">. Consideration of adopting transgenic crops and / or integrated pest management and agroecological practices. </w:t>
            </w:r>
          </w:p>
        </w:tc>
        <w:tc>
          <w:tcPr>
            <w:tcW w:w="1843" w:type="dxa"/>
          </w:tcPr>
          <w:p w14:paraId="22F8D656" w14:textId="398CF2F1" w:rsidR="00D34DC7" w:rsidRPr="002E785F" w:rsidRDefault="00D34DC7" w:rsidP="00D34DC7">
            <w:pPr>
              <w:ind w:left="36" w:right="477"/>
              <w:rPr>
                <w:lang w:val="en-GB"/>
              </w:rPr>
            </w:pPr>
            <w:r>
              <w:rPr>
                <w:lang w:val="en-GB"/>
              </w:rPr>
              <w:fldChar w:fldCharType="begin"/>
            </w:r>
            <w:r w:rsidR="005620D3">
              <w:rPr>
                <w:lang w:val="en-GB"/>
              </w:rPr>
              <w:instrText xml:space="preserve"> ADDIN ZOTERO_ITEM CSL_CITATION {"citationID":"Jjo7zPPF","properties":{"formattedCitation":"[66\\uc0\\u8211{}72]","plainCitation":"[66–72]","noteIndex":0},"citationItems":[{"id":39383,"uris":["http://zotero.org/users/9771363/items/M7BVT3R6"],"itemData":{"id":39383,"type":"article-journal","issue":"Xx","page":"1-16","title":"Forum Managing Fall Armyworm in Africa : Can Bt Maize Sustainably Improve Control ?","author":[{"family":"Berg","given":"Johnnie Van Den"},{"family":"Prasanna","given":"Boddupalli M"},{"family":"Midega","given":"Charles A O"},{"family":"Ronald","given":"Pamela C"},{"family":"Carrière","given":"Yves"},{"family":"Tabashnik","given":"Bruce E"}],"issued":{"date-parts":[["2021"]]},"citation-key":"bergForumManagingFall2021"},"label":"page"},{"id":40135,"uris":["http://zotero.org/users/9771363/items/SBCQICRP"],"itemData":{"id":40135,"type":"article-journal","abstract":"The invasion of the fall armyworm was first reported in Africa in the year 2016. It has since then spread to over 40 countries across Africa, Asia and Australia. Being a polyphagous insect, the potential devastation effects of fall armyworm are enormous, especially among smallholder farmers. Currently, most farmers rely on the use of synthetic pesticides for the control of this pest. Organic agriculture however usually has very limited synthetic products approved for the control of pests. Organic production system therefore often depends on ecological processes, biodiversity and cycles adapted to local conditions for the management of pest. This paper reviews the availablemanagement methods applicable to the control of fall armyworm that can be adopted in an organic agriculture setting. Agroecological methods such as the push-pull technology, crop rotation and other methods including the use of resistant varieties, pheromone traps and biocontrol agents form an important control building block. Integrating these methods in a manner that is acceptable for organic certification will need further research, but it is certainly the way to go in combating the menace of the fall armyworm in organic agricultureand were reviewed in this paper.","container-title":"Agro-Science","DOI":"10.4314/as.v20i3.9","ISSN":"1119-7455","issue":"3","page":"65-70","title":"Exploring integrated pest management strategies in the control of the fall armyworm in smallholder organic agriculture farms in Africa","volume":"20","author":[{"family":"Akinyemi","given":"A.O."}],"issued":{"date-parts":[["2021"]]},"citation-key":"akinyemiExploringIntegratedPest2021a"},"label":"page"},{"id":40505,"uris":["http://zotero.org/users/9771363/items/TDWLS8ZV"],"itemData":{"id":40505,"type":"article-journal","abstract":"Fall armyworm, Spodoptera frugiperda, is a crop pest native to the Americas, which has invaded and spread throughout sub-Saharan Africa within two years. Recent estimates of 20-50% maize yield loss in Africa suggest severe impact on livelihoods. Fall armyworm is still infilling its potential range in Africa and could spread to other continents. In order to understand fall armyworm's year-round, global, potential distribution, we used evidence of the effects of temperature and precipitation on fall armyworm life-history, combined with data on native and African distributions to construct Species Distribution Models (SDMs). We also investigated the strength of trade and transportation pathways that could carry fall armyworm beyond Africa. Up till now, fall armyworm has only invaded areas that have a climate similar to the native distribution, validating the use of climatic SDMs. The strongest climatic limits on fall armyworm's yearround distribution are the coldest annual temperature and the amount of rain in the wet season. Much of sub-Saharan Africa can host year-round fall armyworm populations, but the likelihoods of colonising North Africa and seasonal migrations into Europe are hard to predict. South and Southeast Asia and Australia have climate conditions that would permit fall armyworm to invade. Current trade and transportation routes reveal Australia, China, India, Indonesia, Malaysia, Philippines and Thailand face high threat of fall armyworm invasions originating from Africa.","container-title":"NeoBiota","DOI":"10.3897/neobiota.40.28165","ISSN":"13142488","issue":"40","page":"25-50","title":"Forecasting the global extent of invasion of the cereal pest Spodoptera frugiperda, the fall armyworm","volume":"50","author":[{"family":"Early","given":"Regan"},{"family":"González-Moreno","given":"Pablo"},{"family":"Murphy","given":"Sean T."},{"family":"Day","given":"Roger"}],"issued":{"date-parts":[["2018"]]},"citation-key":"earlyForecastingGlobalExtent2018"},"label":"page"},{"id":40173,"uris":["http://zotero.org/users/9771363/items/6VXKDPMH"],"itemData":{"id":40173,"type":"article-journal","abstract":"Fall armyworm (FAW), one of the most important pests of maize in Latin America, suddenly appeared in Africa in 2016 and spread rapidly. Estimates of crop losses due to FAW are essential in order to compare the impact of these losses with the cost of controlling FAW and advise appropriate technology dissemination and policy. In this study, therefore, crop losses due to FAW in 2017 and 2018 were estimated in all the maize production areas of Kenya. Data were collected during June and July 2018 through 121 group discussions with 1439 farmers, separately with men (697) and women (742), in communities that were randomly selected to represent the major maize growing areas. The results showed that most participants (82%) could correctly identify the FAW from pictures. By 2016, FAW was observed by more than half of the communities (53%), with most of the other half first observing FAW in 2017. The proportion of farmers affected by FAW substantially increased, from the long rains of 2017 (63%) to the long rains of 2018 (83%), and in all zones except for the high tropics and moist mid-altitudes. However, the percentage of loss experienced by affected farmers decreased slightly, from 54% in 2017 to 42% in 2018. In 2017, the low- and medium-potential maize-production areas were the most affected, with losses of &gt;50%, with high-potential areas facing losses of about 30%, resulting in a total loss of 37% for the whole country. In the main 2018 season, losses in the low- and medium-potential areas were less – about 20%, but the high-potential areas were now more affected, leading to a total estimate of 33%. We conclude that FAW has suddenly become a major pest in Kenya, causing losses of about a third of the annual maize production, estimated at about 1 million tonnes.","container-title":"Agriculture, Ecosystems and Environment","DOI":"10.1016/j.agee.2019.106804","ISSN":"01678809","issue":"December 2019","note":"publisher: Elsevier","page":"106804","title":"Spread and impact of fall armyworm (Spodoptera frugiperda J.E. Smith) in maize production areas of Kenya","volume":"292","author":[{"family":"De Groote","given":"Hugo"},{"family":"Kimenju","given":"Simon C."},{"family":"Munyua","given":"Bernard"},{"family":"Palmas","given":"Sebastian"},{"family":"Kassie","given":"Menale"},{"family":"Bruce","given":"Anani"}],"issued":{"date-parts":[["2020"]]},"citation-key":"degrooteSpreadImpactFall2020a"},"label":"page"},{"id":41280,"uris":["http://zotero.org/users/9771363/items/QYUCFS9F"],"itemData":{"id":41280,"type":"article-journal","abstract":"Native to the Americas, the invasive Spodoptera frugiperda (fall armyworm; FAW) was reported in West Africa in 2016, followed by its chronological detection across the Old World and the hypothesis of an eastward Asia expansion. We explored population genomic signatures of American and Old World FAW and identified 12 maternal mitochondrial DNA genome lineages across the invasive range. 870 high-quality nuclear single nucleotide polymorphic DNA markers identified five distinct New World population clusters, broadly reflecting FAW native geographical ranges and the absence of host-plant preferences. We identified unique admixed Old World populations, and admixed and non-admixed Asian FAW individuals, all of which suggested multiple introductions underpinning the pest’s global spread. Directional gene flow from the East into eastern Africa was also detected, in contrast to the west-to-east spread hypothesis. Our study demonstrated the potential of population genomic approaches via international partnership to address global emerging pest threats and biosecurity challenges.","container-title":"Communications Biology","DOI":"10.1038/s42003-022-03230-1","ISSN":"2399-3642","issue":"1","journalAbbreviation":"Commun Biol","language":"en","license":"2022 The Author(s)","note":"number: 1\npublisher: Nature Publishing Group","page":"1-15","source":"www.nature.com","title":"Global population genomic signature of Spodoptera frugiperda (fall armyworm) supports complex introduction events across the Old World","volume":"5","author":[{"family":"Tay","given":"Wee Tek"},{"family":"Rane","given":"Rahul V."},{"family":"Padovan","given":"Amanda"},{"family":"Walsh","given":"Tom K."},{"family":"Elfekih","given":"Samia"},{"family":"Downes","given":"Sharon"},{"family":"Nam","given":"Kiwong"},{"family":"Alençon","given":"Emmanuelle","non-dropping-particle":"d’"},{"family":"Zhang","given":"Jianpeng"},{"family":"Wu","given":"Yidong"},{"family":"Nègre","given":"Nicolas"},{"family":"Kunz","given":"Daniele"},{"family":"Kriticos","given":"Darren J."},{"family":"Czepak","given":"Cecilia"},{"family":"Otim","given":"Michael H."},{"family":"Gordon","given":"Karl H. J."}],"issued":{"date-parts":[["2022",4,7]]},"citation-key":"tayGlobalPopulationGenomic2022"},"label":"page"},{"id":41891,"uris":["http://zotero.org/users/9771363/items/3UXWPREZ"],"itemData":{"id":41891,"type":"article-journal","abstract":"Since 2016, the invasive fall armyworm (FAW), Spodoptera frugiperda, has been one of the most rapidly spreading and highly devastating maize pests across Africa and Asia. Although several studies have estimated the effect of FAW on maize yield, little is known about its impact on broader welfare outcomes. Using data from smallholder maize-growing households in Zimbabwe, this article aimed to measure the impact of FAW on household income and food security, as well as the extent to which the adoption of a control strategy can help mitigate the negative welfare impacts due to FAW invasion. Regression results showed that households affected by FAW were 12% more likely to experience hunger, as measured by the household hunger scale. A disaggregated analysis indicated that minor FAW infestation did not exert significant impacts on incomes and food security, but severe level of infestation reduced per capita household income by 44% and increased a household's likelihood of experiencing hunger by 17%. We also found that compared to unaffected households, the FAW-affected households who failed to implement a control strategy had a 50% lower per capita household income, while their counterparts that implemented a control strategy did not suffer a significant income loss. These findings point to the need to promote strategies to prevent high infestation levels of FAW so as to mitigate its detrimental welfare effects.","container-title":"Food and Energy Security","DOI":"10.1002/fes3.281","ISSN":"2048-3694","issue":"2","language":"en","note":"_eprint: https://onlinelibrary.wiley.com/doi/pdf/10.1002/fes3.281","page":"e281","source":"Wiley Online Library","title":"Impact of fall armyworm invasion on household income and food security in Zimbabwe","volume":"10","author":[{"family":"Tambo","given":"Justice A."},{"family":"Kansiime","given":"Monica K."},{"family":"Rwomushana","given":"Ivan"},{"family":"Mugambi","given":"Idah"},{"family":"Nunda","given":"Winnie"},{"family":"Mloza Banda","given":"Catherine"},{"family":"Nyamutukwa","given":"Shingirayi"},{"family":"Makale","given":"Fernadis"},{"family":"Day","given":"Roger"}],"issued":{"date-parts":[["2021"]]},"citation-key":"tamboImpactFallArmyworm2021"}},{"id":41888,"uris":["http://zotero.org/users/9771363/items/RJQKINLI"],"itemData":{"id":41888,"type":"article-journal","abstract":"The fall armyworm, Spodoptera frugiperda (J.E. Smith) is native to the Americas and a major pest of corn and several other crops of economic importance. The species has characteristics that make it of particular concern as an invasive pest, including broad host range, long-distance migration behavior, and a propensity for field-evolved pesticide resistance. The discovery of fall armyworm in western Africa in 2016 was followed by what was apparently a remarkably rapid spread throughout sub-Saharan Africa by 2018, causing economic damage estimated in the tens of billions USD and threatening the food security of the continent. Understanding the history of the fall armyworm invasion of Africa and the genetic composition of the African populations is critical to assessing the risk posed to different crop types, the development of effective mitigation strategies, and to make Africa less vulnerable to future invasions of migratory moth pests. This paper tested and expanded on previous studies by combining data from 22 sub-Saharan nations during the period from 2016 to 2019. The results support initial descriptions of the fall armyworm invasion, including the near absence of the strain that prefers rice, millet, and pasture grasses, while providing additional evidence that the magnitude and extent of FAW natural migration on the continent is more limited than expected. The results also show that a second entry of fall armyworm likely occurred in western Africa from a source different than that of the original introduction. These findings indicate that western Africa continues to be at high risk of future introductions of FAW, which could complicate mitigation efforts.","container-title":"Scientific Reports","DOI":"10.1038/s41598-022-05781-z","ISSN":"2045-2322","issue":"1","journalAbbreviation":"Sci Rep","language":"en","license":"2022 The Author(s)","note":"number: 1\npublisher: Nature Publishing Group","page":"1941","source":"www.nature.com","title":"Genetic studies of fall armyworm indicate a new introduction into Africa and identify limits to its migratory behavior","volume":"12","author":[{"family":"Nagoshi","given":"Rodney N."},{"family":"Goergen","given":"Georg"},{"family":"Koffi","given":"Djima"},{"family":"Agboka","given":"Komi"},{"family":"Adjevi","given":"Anani Kossi Mawuko"},{"family":"Du Plessis","given":"Hannalene"},{"family":"Van den Berg","given":"Johnnie"},{"family":"Tepa-Yotto","given":"Ghislain T."},{"family":"Winsou","given":"Jeannette K."},{"family":"Meagher","given":"Robert L."},{"family":"Brévault","given":"Thierry"}],"issued":{"date-parts":[["2022",2,4]]},"citation-key":"nagoshiGeneticStudiesFall2022"},"label":"page"}],"schema":"https://github.com/citation-style-language/schema/raw/master/csl-citation.json"} </w:instrText>
            </w:r>
            <w:r>
              <w:rPr>
                <w:lang w:val="en-GB"/>
              </w:rPr>
              <w:fldChar w:fldCharType="separate"/>
            </w:r>
            <w:r w:rsidR="005620D3" w:rsidRPr="005620D3">
              <w:rPr>
                <w:rFonts w:ascii="Calibri" w:hAnsi="Calibri" w:cs="Calibri"/>
                <w:szCs w:val="24"/>
                <w:lang w:val="en-GB"/>
              </w:rPr>
              <w:t>[66–72]</w:t>
            </w:r>
            <w:r>
              <w:rPr>
                <w:lang w:val="en-GB"/>
              </w:rPr>
              <w:fldChar w:fldCharType="end"/>
            </w:r>
          </w:p>
        </w:tc>
      </w:tr>
      <w:tr w:rsidR="00D34DC7" w:rsidRPr="000A54B1" w14:paraId="1B39F9BC" w14:textId="77777777" w:rsidTr="00511FC5">
        <w:tc>
          <w:tcPr>
            <w:tcW w:w="1413" w:type="dxa"/>
          </w:tcPr>
          <w:p w14:paraId="2FC72DFF" w14:textId="77777777" w:rsidR="00D34DC7" w:rsidRDefault="00D34DC7" w:rsidP="00D34DC7">
            <w:pPr>
              <w:rPr>
                <w:lang w:val="en-GB"/>
              </w:rPr>
            </w:pPr>
            <w:r>
              <w:rPr>
                <w:lang w:val="en-GB"/>
              </w:rPr>
              <w:t>Panama disease strain TR4</w:t>
            </w:r>
          </w:p>
          <w:p w14:paraId="2FD02B39" w14:textId="77777777" w:rsidR="00A32A4A" w:rsidRDefault="00A32A4A" w:rsidP="00D34DC7">
            <w:pPr>
              <w:rPr>
                <w:lang w:val="en-GB"/>
              </w:rPr>
            </w:pPr>
          </w:p>
          <w:p w14:paraId="200909E6" w14:textId="47954593" w:rsidR="00A32A4A" w:rsidRPr="00A32A4A" w:rsidRDefault="00A32A4A" w:rsidP="00D34DC7">
            <w:pPr>
              <w:rPr>
                <w:lang w:val="en-GB"/>
              </w:rPr>
            </w:pPr>
            <w:r w:rsidRPr="0023493A">
              <w:rPr>
                <w:i/>
                <w:iCs/>
                <w:lang w:val="en-GB"/>
              </w:rPr>
              <w:t xml:space="preserve">Fusarium </w:t>
            </w:r>
            <w:proofErr w:type="spellStart"/>
            <w:r w:rsidRPr="0023493A">
              <w:rPr>
                <w:i/>
                <w:iCs/>
                <w:lang w:val="en-GB"/>
              </w:rPr>
              <w:t>oxysporum</w:t>
            </w:r>
            <w:proofErr w:type="spellEnd"/>
            <w:r w:rsidRPr="0023493A">
              <w:rPr>
                <w:lang w:val="en-GB"/>
              </w:rPr>
              <w:t> f. sp. </w:t>
            </w:r>
            <w:proofErr w:type="spellStart"/>
            <w:r w:rsidRPr="0023493A">
              <w:rPr>
                <w:i/>
                <w:iCs/>
                <w:lang w:val="en-GB"/>
              </w:rPr>
              <w:t>cubense</w:t>
            </w:r>
            <w:proofErr w:type="spellEnd"/>
          </w:p>
        </w:tc>
        <w:tc>
          <w:tcPr>
            <w:tcW w:w="1984" w:type="dxa"/>
          </w:tcPr>
          <w:p w14:paraId="15CD7AE6" w14:textId="113FB5CD" w:rsidR="00D34DC7" w:rsidRDefault="00D34DC7" w:rsidP="00D34DC7">
            <w:pPr>
              <w:rPr>
                <w:lang w:val="en-GB"/>
              </w:rPr>
            </w:pPr>
            <w:r>
              <w:rPr>
                <w:lang w:val="en-GB"/>
              </w:rPr>
              <w:t>Regional outbreak in Latin and Central America starting in 2019 in Colombia, spreading to Ecuador in 2020 with an unconfirmed case in Venezuela.</w:t>
            </w:r>
          </w:p>
        </w:tc>
        <w:tc>
          <w:tcPr>
            <w:tcW w:w="3969" w:type="dxa"/>
          </w:tcPr>
          <w:p w14:paraId="74D35DEE" w14:textId="5F485B19" w:rsidR="00D34DC7" w:rsidRDefault="00D34DC7" w:rsidP="00D34DC7">
            <w:pPr>
              <w:rPr>
                <w:lang w:val="en-GB"/>
              </w:rPr>
            </w:pPr>
            <w:r>
              <w:rPr>
                <w:lang w:val="en-GB"/>
              </w:rPr>
              <w:t>Discovery of Tropical race 4 in Colombia in 2019 following decades of global spread outside the Americas. The potential impact of TR4 in Latin America is increased due to the large monocultures of Cavendish in the region (simplification and homogenization).</w:t>
            </w:r>
          </w:p>
          <w:p w14:paraId="4A0B097C" w14:textId="5E383588" w:rsidR="00D34DC7" w:rsidRDefault="00D34DC7" w:rsidP="00D34DC7">
            <w:pPr>
              <w:rPr>
                <w:lang w:val="en-GB"/>
              </w:rPr>
            </w:pPr>
          </w:p>
          <w:p w14:paraId="06F081D4" w14:textId="50E0A19C" w:rsidR="00D34DC7" w:rsidRDefault="00D34DC7" w:rsidP="00D34DC7">
            <w:pPr>
              <w:rPr>
                <w:lang w:val="en-GB"/>
              </w:rPr>
            </w:pPr>
          </w:p>
        </w:tc>
        <w:tc>
          <w:tcPr>
            <w:tcW w:w="4678" w:type="dxa"/>
          </w:tcPr>
          <w:p w14:paraId="53B1654D" w14:textId="67ADBABF" w:rsidR="00D34DC7" w:rsidRDefault="00D34DC7" w:rsidP="00D34DC7">
            <w:pPr>
              <w:rPr>
                <w:lang w:val="en-GB"/>
              </w:rPr>
            </w:pPr>
            <w:r>
              <w:rPr>
                <w:lang w:val="en-GB"/>
              </w:rPr>
              <w:t>Impacts still little investigated, but may include the future introduction of Gene edited bananas or diversification of farming practices away from large monoculture.</w:t>
            </w:r>
          </w:p>
        </w:tc>
        <w:tc>
          <w:tcPr>
            <w:tcW w:w="1843" w:type="dxa"/>
          </w:tcPr>
          <w:p w14:paraId="57881928" w14:textId="255CBEA3" w:rsidR="00D34DC7" w:rsidRPr="002E785F" w:rsidRDefault="00D34DC7" w:rsidP="00D34DC7">
            <w:pPr>
              <w:ind w:left="36" w:right="477"/>
              <w:rPr>
                <w:lang w:val="en-GB"/>
              </w:rPr>
            </w:pPr>
            <w:r>
              <w:rPr>
                <w:lang w:val="en-GB"/>
              </w:rPr>
              <w:fldChar w:fldCharType="begin"/>
            </w:r>
            <w:r w:rsidR="005620D3">
              <w:rPr>
                <w:lang w:val="en-GB"/>
              </w:rPr>
              <w:instrText xml:space="preserve"> ADDIN ZOTERO_ITEM CSL_CITATION {"citationID":"qoszARHM","properties":{"formattedCitation":"[73,74]","plainCitation":"[73,74]","noteIndex":0},"citationItems":[{"id":41444,"uris":["http://zotero.org/users/9771363/items/NA4WR3CE"],"itemData":{"id":41444,"type":"article-journal","abstract":"Bananas and plantains (Musa spp.) are among the main staple of millions of people in the world. Among the main Musaceae diseases that may limit its productivity, Fusarium wilt (FW), caused by Fusarium oxysporum f. sp. cubense (Foc), has been threatening the banana industry for many years, with devastating effects on the economy of many tropical countries, becoming the leading cause of changes in the land use on severely affected areas. In this article, an updated, reflective and practical review of the current state of knowledge concerning the main agro-environmental factors that may affect disease progression and dissemination of this dangerous pathogen has been carried out, focusing on the Venezuelan Musaceae production systems. Environmental variables together with soil management and sustainable cultural practices are important factors affecting FW incidence and severity, excluding that the widespread dissemination of Foc, especially of its highly virulent tropical race 4 (TR4), is mainly caused by human activities. Additionally, risk analysis and climatic suitability maps for Foc TR4 in Venezuela have been developed. Although currently there are no effective management solutions available for FW control, this perspective provides an overview on the influence that environmental and agricultural variables would have on FW incidence and severity, giving some insight into management factors that can contribute to reducing its detrimental effects on banana production and how climate change may affect its development.","container-title":"Agronomy","DOI":"10.3390/agronomy11050986","journalAbbreviation":"Agronomy","page":"1-24","source":"ResearchGate","title":"Fusarium Wilt of Bananas: A Review of Agro-Environmental Factors in the Venezuelan Production System Affecting Its Development","title-short":"Fusarium Wilt of Bananas","volume":"11","author":[{"family":"Olivares","given":"Barlin"},{"family":"Lobo Luján","given":"Deyanira"},{"family":"Navas Cortés","given":"Juan"},{"family":"Landa","given":"Blanca"},{"family":"Rey","given":"J.C."},{"family":"Gómez","given":"J."}],"issued":{"date-parts":[["2021",5,15]]},"citation-key":"olivaresFusariumWiltBananas2021"}},{"id":41553,"uris":["http://zotero.org/users/9771363/items/F8TCY77G"],"itemData":{"id":41553,"type":"article-journal","container-title":"Frontiers in Plant Science","ISSN":"1664-462X","source":"Frontiers","title":"Editorial: Fusarium Wilt of Banana, a Recurring Threat to Global Banana Production","title-short":"Editorial","URL":"https://www.frontiersin.org/articles/10.3389/fpls.2020.628888","volume":"11","author":[{"family":"Kema","given":"Gert H. J."},{"family":"Drenth","given":"André"},{"family":"Dita","given":"Miguel"},{"family":"Jansen","given":"Kees"},{"family":"Vellema","given":"Sietze"},{"family":"Stoorvogel","given":"Jetse J."}],"accessed":{"date-parts":[["2022",8,8]]},"issued":{"date-parts":[["2021"]]},"citation-key":"kemaEditorialFusariumWilt2021"}}],"schema":"https://github.com/citation-style-language/schema/raw/master/csl-citation.json"} </w:instrText>
            </w:r>
            <w:r>
              <w:rPr>
                <w:lang w:val="en-GB"/>
              </w:rPr>
              <w:fldChar w:fldCharType="separate"/>
            </w:r>
            <w:r w:rsidR="005620D3" w:rsidRPr="005620D3">
              <w:rPr>
                <w:rFonts w:ascii="Calibri" w:hAnsi="Calibri" w:cs="Calibri"/>
                <w:lang w:val="en-GB"/>
              </w:rPr>
              <w:t>[73,74]</w:t>
            </w:r>
            <w:r>
              <w:rPr>
                <w:lang w:val="en-GB"/>
              </w:rPr>
              <w:fldChar w:fldCharType="end"/>
            </w:r>
          </w:p>
        </w:tc>
      </w:tr>
      <w:tr w:rsidR="00D34DC7" w:rsidRPr="000A54B1" w14:paraId="162750D6" w14:textId="77777777" w:rsidTr="00511FC5">
        <w:tc>
          <w:tcPr>
            <w:tcW w:w="1413" w:type="dxa"/>
          </w:tcPr>
          <w:p w14:paraId="199694A9" w14:textId="6DF76E98" w:rsidR="00D34DC7" w:rsidRPr="002E785F" w:rsidRDefault="00D34DC7" w:rsidP="00D34DC7">
            <w:pPr>
              <w:rPr>
                <w:lang w:val="en-GB"/>
              </w:rPr>
            </w:pPr>
            <w:r>
              <w:rPr>
                <w:lang w:val="en-GB"/>
              </w:rPr>
              <w:t>SARS-CoV2</w:t>
            </w:r>
          </w:p>
        </w:tc>
        <w:tc>
          <w:tcPr>
            <w:tcW w:w="1984" w:type="dxa"/>
          </w:tcPr>
          <w:p w14:paraId="40D1C780" w14:textId="00251E5B" w:rsidR="00D34DC7" w:rsidRPr="002E785F" w:rsidRDefault="00D34DC7" w:rsidP="00D34DC7">
            <w:pPr>
              <w:rPr>
                <w:lang w:val="en-GB"/>
              </w:rPr>
            </w:pPr>
            <w:r>
              <w:rPr>
                <w:lang w:val="en-GB"/>
              </w:rPr>
              <w:t>Global spread of variant from China in 2019</w:t>
            </w:r>
          </w:p>
        </w:tc>
        <w:tc>
          <w:tcPr>
            <w:tcW w:w="3969" w:type="dxa"/>
          </w:tcPr>
          <w:p w14:paraId="4BD9D97D" w14:textId="00431ED7" w:rsidR="00D34DC7" w:rsidRDefault="00D34DC7" w:rsidP="00D34DC7">
            <w:pPr>
              <w:rPr>
                <w:lang w:val="en-GB"/>
              </w:rPr>
            </w:pPr>
            <w:r>
              <w:rPr>
                <w:lang w:val="en-GB"/>
              </w:rPr>
              <w:t xml:space="preserve">Zoonotic </w:t>
            </w:r>
            <w:proofErr w:type="spellStart"/>
            <w:r>
              <w:rPr>
                <w:lang w:val="en-GB"/>
              </w:rPr>
              <w:t>spillover</w:t>
            </w:r>
            <w:proofErr w:type="spellEnd"/>
          </w:p>
          <w:p w14:paraId="2A02BC01" w14:textId="328F7C7B" w:rsidR="00CC66E0" w:rsidRDefault="00CC66E0" w:rsidP="00D34DC7">
            <w:pPr>
              <w:rPr>
                <w:lang w:val="en-GB"/>
              </w:rPr>
            </w:pPr>
            <w:r>
              <w:rPr>
                <w:lang w:val="en-GB"/>
              </w:rPr>
              <w:t>Urban markets with bushmeat (wet markets)</w:t>
            </w:r>
          </w:p>
          <w:p w14:paraId="0C902900" w14:textId="77777777" w:rsidR="00D34DC7" w:rsidRDefault="00D34DC7" w:rsidP="00D34DC7">
            <w:pPr>
              <w:rPr>
                <w:lang w:val="en-GB"/>
              </w:rPr>
            </w:pPr>
            <w:r>
              <w:rPr>
                <w:lang w:val="en-GB"/>
              </w:rPr>
              <w:t>Trade</w:t>
            </w:r>
          </w:p>
          <w:p w14:paraId="4ADF4481" w14:textId="09FAB687" w:rsidR="00D34DC7" w:rsidRPr="002E785F" w:rsidRDefault="00D34DC7" w:rsidP="00D34DC7">
            <w:pPr>
              <w:rPr>
                <w:lang w:val="en-GB"/>
              </w:rPr>
            </w:pPr>
            <w:r>
              <w:rPr>
                <w:lang w:val="en-GB"/>
              </w:rPr>
              <w:t>Travel</w:t>
            </w:r>
          </w:p>
        </w:tc>
        <w:tc>
          <w:tcPr>
            <w:tcW w:w="4678" w:type="dxa"/>
          </w:tcPr>
          <w:p w14:paraId="4BE1016F" w14:textId="340D8B80" w:rsidR="00D34DC7" w:rsidRPr="002E785F" w:rsidRDefault="00D34DC7" w:rsidP="00D34DC7">
            <w:pPr>
              <w:rPr>
                <w:lang w:val="en-GB"/>
              </w:rPr>
            </w:pPr>
            <w:r>
              <w:rPr>
                <w:lang w:val="en-GB"/>
              </w:rPr>
              <w:t>Widespread changes</w:t>
            </w:r>
            <w:r w:rsidR="00EB1E08">
              <w:rPr>
                <w:lang w:val="en-GB"/>
              </w:rPr>
              <w:t xml:space="preserve"> from lockdown</w:t>
            </w:r>
            <w:r w:rsidR="003044CE">
              <w:rPr>
                <w:lang w:val="en-GB"/>
              </w:rPr>
              <w:t xml:space="preserve">s, </w:t>
            </w:r>
            <w:proofErr w:type="gramStart"/>
            <w:r w:rsidR="003044CE">
              <w:rPr>
                <w:lang w:val="en-GB"/>
              </w:rPr>
              <w:t>trade</w:t>
            </w:r>
            <w:proofErr w:type="gramEnd"/>
            <w:r w:rsidR="003044CE">
              <w:rPr>
                <w:lang w:val="en-GB"/>
              </w:rPr>
              <w:t xml:space="preserve"> and travel restrictions:</w:t>
            </w:r>
            <w:r w:rsidR="003044CE">
              <w:rPr>
                <w:lang w:val="en-GB"/>
              </w:rPr>
              <w:br/>
            </w:r>
            <w:r>
              <w:rPr>
                <w:lang w:val="en-GB"/>
              </w:rPr>
              <w:t>Reconnecting with Nature. Government distrust. Vaccine hesitancy. Renewed focus on biodiversity loss and EIDs (planetary health). Global inequalities. Closing of the largest mink producing</w:t>
            </w:r>
            <w:r w:rsidR="00EB1E08">
              <w:rPr>
                <w:lang w:val="en-GB"/>
              </w:rPr>
              <w:t xml:space="preserve"> industry. Supply chain shortages.</w:t>
            </w:r>
          </w:p>
        </w:tc>
        <w:tc>
          <w:tcPr>
            <w:tcW w:w="1843" w:type="dxa"/>
          </w:tcPr>
          <w:p w14:paraId="7253DBE2" w14:textId="60654721" w:rsidR="00D34DC7" w:rsidRPr="002E785F" w:rsidRDefault="00D34DC7" w:rsidP="00D34DC7">
            <w:pPr>
              <w:ind w:left="36" w:right="477"/>
              <w:rPr>
                <w:lang w:val="en-GB"/>
              </w:rPr>
            </w:pPr>
            <w:r>
              <w:rPr>
                <w:lang w:val="en-GB"/>
              </w:rPr>
              <w:fldChar w:fldCharType="begin"/>
            </w:r>
            <w:r w:rsidR="005620D3">
              <w:rPr>
                <w:lang w:val="en-GB"/>
              </w:rPr>
              <w:instrText xml:space="preserve"> ADDIN ZOTERO_ITEM CSL_CITATION {"citationID":"W6cqctSj","properties":{"formattedCitation":"[75\\uc0\\u8211{}78]","plainCitation":"[75–78]","noteIndex":0},"citationItems":[{"id":38295,"uris":["http://zotero.org/users/9771363/items/EJ44QRQB"],"itemData":{"id":38295,"type":"article-journal","abstract":"In recent decades, there has been an intensification of the socioeconomic and environmental drivers of pandemics, including ecosystem conversion, meat consumption, urbanization, and connectivity among cities and countries. This paper reviews how these four systemic drivers help explain the dynamics of the COVID-19 pandemic and other recent emerging infectious diseases, and the policies that can be adopted to mitigate their risks. Land-use change and meat consumption increase the likelihood of pathogen spillover from animals to people. The risk that such zoonotic outbreaks will then spread to become pandemics is magnified by growing urban populations and the networks of trade and travel within and among countries. Zoonotic spillover can be mitigated through habitat protection and restrictions on the wildlife trade. Containing infectious disease spread requires a high degree of coordination among institutions across geographic jurisdictions and economic sectors, all backed by international investment and cooperation.","container-title":"Ambio","DOI":"10.1007/s13280-020-01497-4","ISSN":"16547209","issue":"4","note":"PMID: 33507498\npublisher: Springer Netherlands","page":"822-833","title":"The socioeconomic and environmental drivers of the COVID-19 pandemic: A review","volume":"50","author":[{"family":"Wu","given":"Tong"}],"issued":{"date-parts":[["2021"]]},"citation-key":"wuSocioeconomicEnvironmentalDrivers2021"},"label":"page"},{"id":41894,"uris":["http://zotero.org/users/9771363/items/5L5BLDFM"],"itemData":{"id":41894,"type":"article-journal","container-title":"Science","DOI":"10.1126/science.abp8715","issue":"0","note":"publisher: American Association for the Advancement of Science","page":"abp8715","source":"science.org (Atypon)","title":"The Huanan Seafood Wholesale Market in Wuhan was the early epicenter of the COVID-19 pandemic","volume":"0","author":[{"family":"Worobey","given":"Michael"},{"family":"Levy","given":"Joshua I."},{"family":"Serrano","given":"Lorena Malpica"},{"family":"Crits-Christoph","given":"Alexander"},{"family":"Pekar","given":"Jonathan E."},{"family":"Goldstein","given":"Stephen A."},{"family":"Rasmussen","given":"Angela L."},{"family":"Kraemer","given":"Moritz U. G."},{"family":"Newman","given":"Chris"},{"family":"Koopmans","given":"Marion P. G."},{"family":"Suchard","given":"Marc A."},{"family":"Wertheim","given":"Joel O."},{"family":"Lemey","given":"Philippe"},{"family":"Robertson","given":"David L."},{"family":"Garry","given":"Robert F."},{"family":"Holmes","given":"Edward C."},{"family":"Rambaut","given":"Andrew"},{"family":"Andersen","given":"Kristian G."}],"issued":{"date-parts":[["2022",7,26]]},"citation-key":"worobeyHuananSeafoodWholesale2022"},"label":"page"},{"id":41304,"uris":["http://zotero.org/users/9771363/items/JVNC8AJ9"],"itemData":{"id":41304,"type":"article-journal","abstract":"This research aims to show the positive and negative indirect effects of COVID-19 on the environment, particularly in the most affected countries such as China, USA, Italy, and Spain. Our research shows that there is a significant association between contingency measures and improvement in air quality, clean beaches and environmental noise reduction. On the other hand, there are also negative secondary aspects such as the reduction in recycling and the increase in waste, further endangering the contamination of physical spaces (water and land), in addition to air. Global economic activity is expected to return in the coming months in most countries (even if slowly), so decreasing GHG concentrations during a short period is not a sustainable way to clean up our environment.","container-title":"Science of The Total Environment","DOI":"10.1016/j.scitotenv.2020.138813","ISSN":"00489697","journalAbbreviation":"Science of The Total Environment","language":"en","page":"138813","source":"DOI.org (Crossref)","title":"Indirect effects of COVID-19 on the environment","volume":"728","author":[{"family":"Zambrano-Monserrate","given":"Manuel A."},{"family":"Ruano","given":"María Alejandra"},{"family":"Sanchez-Alcalde","given":"Luis"}],"issued":{"date-parts":[["2020",8]]},"citation-key":"zambrano-monserrateIndirectEffectsCOVID192020"},"label":"page"},{"id":42847,"uris":["http://zotero.org/users/9771363/items/4AUYDNT8"],"itemData":{"id":42847,"type":"article-journal","abstract":"This review examines observed and hypothesized environmental impacts of the coronavirus disease 2019 (COVID-19) pandemic. Impacts are considered along two axes: timescale (from initial widespread sheltering, to a future after the economic recovery) and causal link (from direct impacts of protective measures, to cascading impacts of policy choices and market and behavioral responses). The available literature documents both positive and negative environmental consequences. These include many early reports of positive impacts (such as clearer skies and wildlife returning to vacated areas). However, it has become clear both that those benefits were largely temporary and that the prolonged health and economic disruptions pose acute risks to many terrestrial and marine ecosystems. Furthermore, this review was completed just as the Omicron variant emerged. Given the pandemic's persistence, the long timescales of cascading impacts, and the inherent lags in research and publication, this review provides an early view of what will eventually be known about the environmental impacts of the pandemic.","container-title":"Annual Review of Environment and Resources","DOI":"10.1146/annurev-environ-120920-125207","page":"65-90","title":"COVID-19 and the Environment: Short-Run and Potential Long-Run Impacts","volume":"47","author":[{"family":"Diffenbaugh","given":"Noah S."}],"issued":{"date-parts":[["2022"]]},"citation-key":"diffenbaughCOVID19EnvironmentShortRun2022"}}],"schema":"https://github.com/citation-style-language/schema/raw/master/csl-citation.json"} </w:instrText>
            </w:r>
            <w:r>
              <w:rPr>
                <w:lang w:val="en-GB"/>
              </w:rPr>
              <w:fldChar w:fldCharType="separate"/>
            </w:r>
            <w:r w:rsidR="005620D3" w:rsidRPr="005620D3">
              <w:rPr>
                <w:rFonts w:ascii="Calibri" w:hAnsi="Calibri" w:cs="Calibri"/>
                <w:szCs w:val="24"/>
                <w:lang w:val="en-GB"/>
              </w:rPr>
              <w:t>[75–78]</w:t>
            </w:r>
            <w:r>
              <w:rPr>
                <w:lang w:val="en-GB"/>
              </w:rPr>
              <w:fldChar w:fldCharType="end"/>
            </w:r>
          </w:p>
        </w:tc>
      </w:tr>
    </w:tbl>
    <w:p w14:paraId="45F07B25" w14:textId="77777777" w:rsidR="0023493A" w:rsidRPr="00511FC5" w:rsidRDefault="0023493A">
      <w:pPr>
        <w:rPr>
          <w:lang w:val="en-GB"/>
        </w:rPr>
        <w:sectPr w:rsidR="0023493A" w:rsidRPr="00511FC5" w:rsidSect="0023493A">
          <w:pgSz w:w="16838" w:h="11906" w:orient="landscape"/>
          <w:pgMar w:top="1440" w:right="1440" w:bottom="1440" w:left="1440" w:header="709" w:footer="709" w:gutter="0"/>
          <w:cols w:space="708"/>
          <w:docGrid w:linePitch="360"/>
        </w:sectPr>
      </w:pPr>
    </w:p>
    <w:p w14:paraId="09293346" w14:textId="061F22A3" w:rsidR="00114366" w:rsidRPr="008E4A6C" w:rsidRDefault="008E4A6C" w:rsidP="008E4A6C">
      <w:pPr>
        <w:pStyle w:val="Heading1"/>
      </w:pPr>
      <w:r w:rsidRPr="008E4A6C">
        <w:lastRenderedPageBreak/>
        <w:t>References</w:t>
      </w:r>
    </w:p>
    <w:p w14:paraId="7F02B9F6" w14:textId="77777777" w:rsidR="005620D3" w:rsidRPr="005620D3" w:rsidRDefault="00CF6BEA" w:rsidP="005620D3">
      <w:pPr>
        <w:pStyle w:val="Bibliography"/>
        <w:rPr>
          <w:lang w:val="en-GB"/>
        </w:rPr>
      </w:pPr>
      <w:r>
        <w:rPr>
          <w:lang w:val="en-GB"/>
        </w:rPr>
        <w:fldChar w:fldCharType="begin"/>
      </w:r>
      <w:r>
        <w:rPr>
          <w:lang w:val="en-GB"/>
        </w:rPr>
        <w:instrText xml:space="preserve"> ADDIN ZOTERO_BIBL {"uncited":[],"omitted":[],"custom":[]} CSL_BIBLIOGRAPHY </w:instrText>
      </w:r>
      <w:r>
        <w:rPr>
          <w:lang w:val="en-GB"/>
        </w:rPr>
        <w:fldChar w:fldCharType="separate"/>
      </w:r>
      <w:r w:rsidR="005620D3" w:rsidRPr="005620D3">
        <w:rPr>
          <w:lang w:val="en-GB"/>
        </w:rPr>
        <w:t xml:space="preserve">1. </w:t>
      </w:r>
      <w:r w:rsidR="005620D3" w:rsidRPr="005620D3">
        <w:rPr>
          <w:lang w:val="en-GB"/>
        </w:rPr>
        <w:tab/>
        <w:t xml:space="preserve">Carlson CJ, Zipfel CM, Garnier R, Bansal S: </w:t>
      </w:r>
      <w:r w:rsidR="005620D3" w:rsidRPr="005620D3">
        <w:rPr>
          <w:b/>
          <w:bCs/>
          <w:lang w:val="en-GB"/>
        </w:rPr>
        <w:t>Global estimates of mammalian viral diversity accounting for host sharing</w:t>
      </w:r>
      <w:r w:rsidR="005620D3" w:rsidRPr="005620D3">
        <w:rPr>
          <w:lang w:val="en-GB"/>
        </w:rPr>
        <w:t xml:space="preserve">. </w:t>
      </w:r>
      <w:r w:rsidR="005620D3" w:rsidRPr="005620D3">
        <w:rPr>
          <w:i/>
          <w:iCs/>
          <w:lang w:val="en-GB"/>
        </w:rPr>
        <w:t>Nat Ecol Evol</w:t>
      </w:r>
      <w:r w:rsidR="005620D3" w:rsidRPr="005620D3">
        <w:rPr>
          <w:lang w:val="en-GB"/>
        </w:rPr>
        <w:t xml:space="preserve"> 2019, </w:t>
      </w:r>
      <w:r w:rsidR="005620D3" w:rsidRPr="005620D3">
        <w:rPr>
          <w:b/>
          <w:bCs/>
          <w:lang w:val="en-GB"/>
        </w:rPr>
        <w:t>3</w:t>
      </w:r>
      <w:r w:rsidR="005620D3" w:rsidRPr="005620D3">
        <w:rPr>
          <w:lang w:val="en-GB"/>
        </w:rPr>
        <w:t>:1070–1075.</w:t>
      </w:r>
    </w:p>
    <w:p w14:paraId="26A50E3A" w14:textId="77777777" w:rsidR="005620D3" w:rsidRPr="005620D3" w:rsidRDefault="005620D3" w:rsidP="005620D3">
      <w:pPr>
        <w:pStyle w:val="Bibliography"/>
        <w:rPr>
          <w:lang w:val="en-GB"/>
        </w:rPr>
      </w:pPr>
      <w:r w:rsidRPr="005620D3">
        <w:rPr>
          <w:lang w:val="en-GB"/>
        </w:rPr>
        <w:t xml:space="preserve">2. </w:t>
      </w:r>
      <w:r w:rsidRPr="005620D3">
        <w:rPr>
          <w:lang w:val="en-GB"/>
        </w:rPr>
        <w:tab/>
        <w:t xml:space="preserve">Smith J: </w:t>
      </w:r>
      <w:r w:rsidRPr="005620D3">
        <w:rPr>
          <w:b/>
          <w:bCs/>
          <w:lang w:val="en-GB"/>
        </w:rPr>
        <w:t>Europe’s shifting response to HIV/AIDS: From human rights to risk management</w:t>
      </w:r>
      <w:r w:rsidRPr="005620D3">
        <w:rPr>
          <w:lang w:val="en-GB"/>
        </w:rPr>
        <w:t xml:space="preserve">. </w:t>
      </w:r>
      <w:r w:rsidRPr="005620D3">
        <w:rPr>
          <w:i/>
          <w:iCs/>
          <w:lang w:val="en-GB"/>
        </w:rPr>
        <w:t>Health and Human Rights</w:t>
      </w:r>
      <w:r w:rsidRPr="005620D3">
        <w:rPr>
          <w:lang w:val="en-GB"/>
        </w:rPr>
        <w:t xml:space="preserve"> 2016, </w:t>
      </w:r>
      <w:r w:rsidRPr="005620D3">
        <w:rPr>
          <w:b/>
          <w:bCs/>
          <w:lang w:val="en-GB"/>
        </w:rPr>
        <w:t>18</w:t>
      </w:r>
      <w:r w:rsidRPr="005620D3">
        <w:rPr>
          <w:lang w:val="en-GB"/>
        </w:rPr>
        <w:t>:145–156.</w:t>
      </w:r>
    </w:p>
    <w:p w14:paraId="251F844A" w14:textId="77777777" w:rsidR="005620D3" w:rsidRPr="005620D3" w:rsidRDefault="005620D3" w:rsidP="005620D3">
      <w:pPr>
        <w:pStyle w:val="Bibliography"/>
        <w:rPr>
          <w:lang w:val="en-GB"/>
        </w:rPr>
      </w:pPr>
      <w:r w:rsidRPr="005620D3">
        <w:rPr>
          <w:lang w:val="en-GB"/>
        </w:rPr>
        <w:t xml:space="preserve">3. </w:t>
      </w:r>
      <w:r w:rsidRPr="005620D3">
        <w:rPr>
          <w:lang w:val="en-GB"/>
        </w:rPr>
        <w:tab/>
        <w:t xml:space="preserve">Brown L, Macintyre K, Trujillo L: </w:t>
      </w:r>
      <w:r w:rsidRPr="005620D3">
        <w:rPr>
          <w:b/>
          <w:bCs/>
          <w:lang w:val="en-GB"/>
        </w:rPr>
        <w:t>Interventions to reduce HIV/AIDS stigma: What have we learned?</w:t>
      </w:r>
      <w:r w:rsidRPr="005620D3">
        <w:rPr>
          <w:lang w:val="en-GB"/>
        </w:rPr>
        <w:t xml:space="preserve"> </w:t>
      </w:r>
      <w:r w:rsidRPr="005620D3">
        <w:rPr>
          <w:i/>
          <w:iCs/>
          <w:lang w:val="en-GB"/>
        </w:rPr>
        <w:t>AIDS Education and Prevention</w:t>
      </w:r>
      <w:r w:rsidRPr="005620D3">
        <w:rPr>
          <w:lang w:val="en-GB"/>
        </w:rPr>
        <w:t xml:space="preserve"> 2003, </w:t>
      </w:r>
      <w:r w:rsidRPr="005620D3">
        <w:rPr>
          <w:b/>
          <w:bCs/>
          <w:lang w:val="en-GB"/>
        </w:rPr>
        <w:t>15</w:t>
      </w:r>
      <w:r w:rsidRPr="005620D3">
        <w:rPr>
          <w:lang w:val="en-GB"/>
        </w:rPr>
        <w:t>:49–69.</w:t>
      </w:r>
    </w:p>
    <w:p w14:paraId="4522CDB8" w14:textId="77777777" w:rsidR="005620D3" w:rsidRPr="005620D3" w:rsidRDefault="005620D3" w:rsidP="005620D3">
      <w:pPr>
        <w:pStyle w:val="Bibliography"/>
        <w:rPr>
          <w:lang w:val="en-GB"/>
        </w:rPr>
      </w:pPr>
      <w:r w:rsidRPr="005620D3">
        <w:rPr>
          <w:lang w:val="en-GB"/>
        </w:rPr>
        <w:t xml:space="preserve">4. </w:t>
      </w:r>
      <w:r w:rsidRPr="005620D3">
        <w:rPr>
          <w:lang w:val="en-GB"/>
        </w:rPr>
        <w:tab/>
        <w:t xml:space="preserve">Heuveline P: </w:t>
      </w:r>
      <w:r w:rsidRPr="005620D3">
        <w:rPr>
          <w:b/>
          <w:bCs/>
          <w:lang w:val="en-GB"/>
        </w:rPr>
        <w:t>Impact of the HIV epidemic on population and household structure: the dynamics and evidence to date</w:t>
      </w:r>
      <w:r w:rsidRPr="005620D3">
        <w:rPr>
          <w:lang w:val="en-GB"/>
        </w:rPr>
        <w:t xml:space="preserve">. </w:t>
      </w:r>
      <w:r w:rsidRPr="005620D3">
        <w:rPr>
          <w:i/>
          <w:iCs/>
          <w:lang w:val="en-GB"/>
        </w:rPr>
        <w:t>AIDS</w:t>
      </w:r>
      <w:r w:rsidRPr="005620D3">
        <w:rPr>
          <w:lang w:val="en-GB"/>
        </w:rPr>
        <w:t xml:space="preserve"> 2004, </w:t>
      </w:r>
      <w:r w:rsidRPr="005620D3">
        <w:rPr>
          <w:b/>
          <w:bCs/>
          <w:lang w:val="en-GB"/>
        </w:rPr>
        <w:t>18</w:t>
      </w:r>
      <w:r w:rsidRPr="005620D3">
        <w:rPr>
          <w:lang w:val="en-GB"/>
        </w:rPr>
        <w:t>:S45–S53.</w:t>
      </w:r>
    </w:p>
    <w:p w14:paraId="633AE695" w14:textId="77777777" w:rsidR="005620D3" w:rsidRPr="005620D3" w:rsidRDefault="005620D3" w:rsidP="005620D3">
      <w:pPr>
        <w:pStyle w:val="Bibliography"/>
        <w:rPr>
          <w:lang w:val="en-GB"/>
        </w:rPr>
      </w:pPr>
      <w:r w:rsidRPr="005620D3">
        <w:rPr>
          <w:lang w:val="en-GB"/>
        </w:rPr>
        <w:t xml:space="preserve">5. </w:t>
      </w:r>
      <w:r w:rsidRPr="005620D3">
        <w:rPr>
          <w:lang w:val="en-GB"/>
        </w:rPr>
        <w:tab/>
        <w:t xml:space="preserve">Bajunirwe F, Akakimpa D, Tumwebaze FP, Abongomera G, Mugyenyi PN, Kityo CM: </w:t>
      </w:r>
      <w:r w:rsidRPr="005620D3">
        <w:rPr>
          <w:b/>
          <w:bCs/>
          <w:lang w:val="en-GB"/>
        </w:rPr>
        <w:t>Persistence of traditional and emergence of new structural drivers and factors for the HIV epidemic in rural Uganda; A qualitative study</w:t>
      </w:r>
      <w:r w:rsidRPr="005620D3">
        <w:rPr>
          <w:lang w:val="en-GB"/>
        </w:rPr>
        <w:t xml:space="preserve">. </w:t>
      </w:r>
      <w:r w:rsidRPr="005620D3">
        <w:rPr>
          <w:i/>
          <w:iCs/>
          <w:lang w:val="en-GB"/>
        </w:rPr>
        <w:t>PLOS ONE</w:t>
      </w:r>
      <w:r w:rsidRPr="005620D3">
        <w:rPr>
          <w:lang w:val="en-GB"/>
        </w:rPr>
        <w:t xml:space="preserve"> 2019, </w:t>
      </w:r>
      <w:r w:rsidRPr="005620D3">
        <w:rPr>
          <w:b/>
          <w:bCs/>
          <w:lang w:val="en-GB"/>
        </w:rPr>
        <w:t>14</w:t>
      </w:r>
      <w:r w:rsidRPr="005620D3">
        <w:rPr>
          <w:lang w:val="en-GB"/>
        </w:rPr>
        <w:t>:e0211084.</w:t>
      </w:r>
    </w:p>
    <w:p w14:paraId="65ACBAB1" w14:textId="77777777" w:rsidR="005620D3" w:rsidRPr="005620D3" w:rsidRDefault="005620D3" w:rsidP="005620D3">
      <w:pPr>
        <w:pStyle w:val="Bibliography"/>
        <w:rPr>
          <w:lang w:val="en-GB"/>
        </w:rPr>
      </w:pPr>
      <w:r w:rsidRPr="005620D3">
        <w:rPr>
          <w:lang w:val="en-GB"/>
        </w:rPr>
        <w:t xml:space="preserve">6. </w:t>
      </w:r>
      <w:r w:rsidRPr="005620D3">
        <w:rPr>
          <w:lang w:val="en-GB"/>
        </w:rPr>
        <w:tab/>
        <w:t xml:space="preserve">Faria NR, Rambaut  a., Suchard M a., Baele G, Bedford T, Ward MJ, Tatem  a. J, Sousa JD, Arinaminpathy N, Pepin J, et al.: </w:t>
      </w:r>
      <w:r w:rsidRPr="005620D3">
        <w:rPr>
          <w:b/>
          <w:bCs/>
          <w:lang w:val="en-GB"/>
        </w:rPr>
        <w:t>The early spread and epidemic ignition of HIV-1 in human populations</w:t>
      </w:r>
      <w:r w:rsidRPr="005620D3">
        <w:rPr>
          <w:lang w:val="en-GB"/>
        </w:rPr>
        <w:t xml:space="preserve">. </w:t>
      </w:r>
      <w:r w:rsidRPr="005620D3">
        <w:rPr>
          <w:i/>
          <w:iCs/>
          <w:lang w:val="en-GB"/>
        </w:rPr>
        <w:t>Science</w:t>
      </w:r>
      <w:r w:rsidRPr="005620D3">
        <w:rPr>
          <w:lang w:val="en-GB"/>
        </w:rPr>
        <w:t xml:space="preserve"> 2014, </w:t>
      </w:r>
      <w:r w:rsidRPr="005620D3">
        <w:rPr>
          <w:b/>
          <w:bCs/>
          <w:lang w:val="en-GB"/>
        </w:rPr>
        <w:t>346</w:t>
      </w:r>
      <w:r w:rsidRPr="005620D3">
        <w:rPr>
          <w:lang w:val="en-GB"/>
        </w:rPr>
        <w:t>:56–61.</w:t>
      </w:r>
    </w:p>
    <w:p w14:paraId="2E830CF7" w14:textId="77777777" w:rsidR="005620D3" w:rsidRPr="005620D3" w:rsidRDefault="005620D3" w:rsidP="005620D3">
      <w:pPr>
        <w:pStyle w:val="Bibliography"/>
        <w:rPr>
          <w:lang w:val="en-GB"/>
        </w:rPr>
      </w:pPr>
      <w:r w:rsidRPr="005620D3">
        <w:rPr>
          <w:lang w:val="en-GB"/>
        </w:rPr>
        <w:t xml:space="preserve">7. </w:t>
      </w:r>
      <w:r w:rsidRPr="005620D3">
        <w:rPr>
          <w:lang w:val="en-GB"/>
        </w:rPr>
        <w:tab/>
        <w:t xml:space="preserve">Eaton JW, Hallett TB: </w:t>
      </w:r>
      <w:r w:rsidRPr="005620D3">
        <w:rPr>
          <w:b/>
          <w:bCs/>
          <w:lang w:val="en-GB"/>
        </w:rPr>
        <w:t>Why the proportion of transmission during early-stage HIV infection does not predict the long-term impact of treatment on HIV incidence.</w:t>
      </w:r>
      <w:r w:rsidRPr="005620D3">
        <w:rPr>
          <w:lang w:val="en-GB"/>
        </w:rPr>
        <w:t xml:space="preserve"> </w:t>
      </w:r>
      <w:r w:rsidRPr="005620D3">
        <w:rPr>
          <w:i/>
          <w:iCs/>
          <w:lang w:val="en-GB"/>
        </w:rPr>
        <w:t>Proceedings of the National Academy of Sciences of the United States of America</w:t>
      </w:r>
      <w:r w:rsidRPr="005620D3">
        <w:rPr>
          <w:lang w:val="en-GB"/>
        </w:rPr>
        <w:t xml:space="preserve"> 2014, </w:t>
      </w:r>
      <w:r w:rsidRPr="005620D3">
        <w:rPr>
          <w:b/>
          <w:bCs/>
          <w:lang w:val="en-GB"/>
        </w:rPr>
        <w:t>111</w:t>
      </w:r>
      <w:r w:rsidRPr="005620D3">
        <w:rPr>
          <w:lang w:val="en-GB"/>
        </w:rPr>
        <w:t>:16202–7.</w:t>
      </w:r>
    </w:p>
    <w:p w14:paraId="74953273" w14:textId="77777777" w:rsidR="005620D3" w:rsidRPr="005620D3" w:rsidRDefault="005620D3" w:rsidP="005620D3">
      <w:pPr>
        <w:pStyle w:val="Bibliography"/>
        <w:rPr>
          <w:lang w:val="en-GB"/>
        </w:rPr>
      </w:pPr>
      <w:r w:rsidRPr="005620D3">
        <w:rPr>
          <w:lang w:val="en-GB"/>
        </w:rPr>
        <w:t xml:space="preserve">8. </w:t>
      </w:r>
      <w:r w:rsidRPr="005620D3">
        <w:rPr>
          <w:lang w:val="en-GB"/>
        </w:rPr>
        <w:tab/>
        <w:t xml:space="preserve">Sharp PM, Hahn BH: </w:t>
      </w:r>
      <w:r w:rsidRPr="005620D3">
        <w:rPr>
          <w:b/>
          <w:bCs/>
          <w:lang w:val="en-GB"/>
        </w:rPr>
        <w:t>Origins of HIV and the AIDS Pandemic</w:t>
      </w:r>
      <w:r w:rsidRPr="005620D3">
        <w:rPr>
          <w:lang w:val="en-GB"/>
        </w:rPr>
        <w:t xml:space="preserve">. </w:t>
      </w:r>
      <w:r w:rsidRPr="005620D3">
        <w:rPr>
          <w:i/>
          <w:iCs/>
          <w:lang w:val="en-GB"/>
        </w:rPr>
        <w:t>Cold Spring Harbor Perspectives in Medicine</w:t>
      </w:r>
      <w:r w:rsidRPr="005620D3">
        <w:rPr>
          <w:lang w:val="en-GB"/>
        </w:rPr>
        <w:t xml:space="preserve"> 2011, </w:t>
      </w:r>
      <w:r w:rsidRPr="005620D3">
        <w:rPr>
          <w:b/>
          <w:bCs/>
          <w:lang w:val="en-GB"/>
        </w:rPr>
        <w:t>1</w:t>
      </w:r>
      <w:r w:rsidRPr="005620D3">
        <w:rPr>
          <w:lang w:val="en-GB"/>
        </w:rPr>
        <w:t>:a006841–a006841.</w:t>
      </w:r>
    </w:p>
    <w:p w14:paraId="1ABD5400" w14:textId="77777777" w:rsidR="005620D3" w:rsidRPr="005620D3" w:rsidRDefault="005620D3" w:rsidP="005620D3">
      <w:pPr>
        <w:pStyle w:val="Bibliography"/>
        <w:rPr>
          <w:lang w:val="en-GB"/>
        </w:rPr>
      </w:pPr>
      <w:r w:rsidRPr="005620D3">
        <w:rPr>
          <w:lang w:val="en-GB"/>
        </w:rPr>
        <w:t xml:space="preserve">9. </w:t>
      </w:r>
      <w:r w:rsidRPr="005620D3">
        <w:rPr>
          <w:lang w:val="en-GB"/>
        </w:rPr>
        <w:tab/>
        <w:t xml:space="preserve">Rupp S, Ambata P, Narat V, Giles-Vernick T: </w:t>
      </w:r>
      <w:r w:rsidRPr="005620D3">
        <w:rPr>
          <w:b/>
          <w:bCs/>
          <w:lang w:val="en-GB"/>
        </w:rPr>
        <w:t>Beyond the Cut Hunter: A Historical Epidemiology of HIV Beginnings in Central Africa</w:t>
      </w:r>
      <w:r w:rsidRPr="005620D3">
        <w:rPr>
          <w:lang w:val="en-GB"/>
        </w:rPr>
        <w:t xml:space="preserve">. </w:t>
      </w:r>
      <w:r w:rsidRPr="005620D3">
        <w:rPr>
          <w:i/>
          <w:iCs/>
          <w:lang w:val="en-GB"/>
        </w:rPr>
        <w:t>EcoHealth</w:t>
      </w:r>
      <w:r w:rsidRPr="005620D3">
        <w:rPr>
          <w:lang w:val="en-GB"/>
        </w:rPr>
        <w:t xml:space="preserve"> 2016, </w:t>
      </w:r>
      <w:r w:rsidRPr="005620D3">
        <w:rPr>
          <w:b/>
          <w:bCs/>
          <w:lang w:val="en-GB"/>
        </w:rPr>
        <w:t>13</w:t>
      </w:r>
      <w:r w:rsidRPr="005620D3">
        <w:rPr>
          <w:lang w:val="en-GB"/>
        </w:rPr>
        <w:t>:661–671.</w:t>
      </w:r>
    </w:p>
    <w:p w14:paraId="6C4C3EF7" w14:textId="77777777" w:rsidR="005620D3" w:rsidRPr="005620D3" w:rsidRDefault="005620D3" w:rsidP="005620D3">
      <w:pPr>
        <w:pStyle w:val="Bibliography"/>
        <w:rPr>
          <w:lang w:val="en-GB"/>
        </w:rPr>
      </w:pPr>
      <w:r w:rsidRPr="005620D3">
        <w:rPr>
          <w:lang w:val="en-GB"/>
        </w:rPr>
        <w:t xml:space="preserve">10. </w:t>
      </w:r>
      <w:r w:rsidRPr="005620D3">
        <w:rPr>
          <w:lang w:val="en-GB"/>
        </w:rPr>
        <w:tab/>
        <w:t xml:space="preserve">Foss AM, Watts CH, Vickerman P, Heise L: </w:t>
      </w:r>
      <w:r w:rsidRPr="005620D3">
        <w:rPr>
          <w:b/>
          <w:bCs/>
          <w:lang w:val="en-GB"/>
        </w:rPr>
        <w:t>Condoms and prevention of HIV</w:t>
      </w:r>
      <w:r w:rsidRPr="005620D3">
        <w:rPr>
          <w:lang w:val="en-GB"/>
        </w:rPr>
        <w:t xml:space="preserve">. </w:t>
      </w:r>
      <w:r w:rsidRPr="005620D3">
        <w:rPr>
          <w:i/>
          <w:iCs/>
          <w:lang w:val="en-GB"/>
        </w:rPr>
        <w:t>BMJ</w:t>
      </w:r>
      <w:r w:rsidRPr="005620D3">
        <w:rPr>
          <w:lang w:val="en-GB"/>
        </w:rPr>
        <w:t xml:space="preserve"> 2004, </w:t>
      </w:r>
      <w:r w:rsidRPr="005620D3">
        <w:rPr>
          <w:b/>
          <w:bCs/>
          <w:lang w:val="en-GB"/>
        </w:rPr>
        <w:t>329</w:t>
      </w:r>
      <w:r w:rsidRPr="005620D3">
        <w:rPr>
          <w:lang w:val="en-GB"/>
        </w:rPr>
        <w:t>:185–186.</w:t>
      </w:r>
    </w:p>
    <w:p w14:paraId="4418880F" w14:textId="77777777" w:rsidR="005620D3" w:rsidRPr="005620D3" w:rsidRDefault="005620D3" w:rsidP="005620D3">
      <w:pPr>
        <w:pStyle w:val="Bibliography"/>
        <w:rPr>
          <w:lang w:val="en-GB"/>
        </w:rPr>
      </w:pPr>
      <w:r w:rsidRPr="005620D3">
        <w:rPr>
          <w:lang w:val="en-GB"/>
        </w:rPr>
        <w:t xml:space="preserve">11. </w:t>
      </w:r>
      <w:r w:rsidRPr="005620D3">
        <w:rPr>
          <w:lang w:val="en-GB"/>
        </w:rPr>
        <w:tab/>
        <w:t xml:space="preserve">Oramasionwu CU, Daniels KR, Labreche MJ, Frei CR: </w:t>
      </w:r>
      <w:r w:rsidRPr="005620D3">
        <w:rPr>
          <w:b/>
          <w:bCs/>
          <w:lang w:val="en-GB"/>
        </w:rPr>
        <w:t>The Environmental and Social Influences of HIV/AIDS in Sub-Saharan Africa: A Focus on Rural Communities</w:t>
      </w:r>
      <w:r w:rsidRPr="005620D3">
        <w:rPr>
          <w:lang w:val="en-GB"/>
        </w:rPr>
        <w:t xml:space="preserve">. </w:t>
      </w:r>
      <w:r w:rsidRPr="005620D3">
        <w:rPr>
          <w:i/>
          <w:iCs/>
          <w:lang w:val="en-GB"/>
        </w:rPr>
        <w:t>International Journal of Environmental Research and Public Health</w:t>
      </w:r>
      <w:r w:rsidRPr="005620D3">
        <w:rPr>
          <w:lang w:val="en-GB"/>
        </w:rPr>
        <w:t xml:space="preserve"> 2011, </w:t>
      </w:r>
      <w:r w:rsidRPr="005620D3">
        <w:rPr>
          <w:b/>
          <w:bCs/>
          <w:lang w:val="en-GB"/>
        </w:rPr>
        <w:t>8</w:t>
      </w:r>
      <w:r w:rsidRPr="005620D3">
        <w:rPr>
          <w:lang w:val="en-GB"/>
        </w:rPr>
        <w:t>:2967–2979.</w:t>
      </w:r>
    </w:p>
    <w:p w14:paraId="7C288AE0" w14:textId="77777777" w:rsidR="005620D3" w:rsidRPr="005620D3" w:rsidRDefault="005620D3" w:rsidP="005620D3">
      <w:pPr>
        <w:pStyle w:val="Bibliography"/>
        <w:rPr>
          <w:lang w:val="en-GB"/>
        </w:rPr>
      </w:pPr>
      <w:r w:rsidRPr="005620D3">
        <w:rPr>
          <w:lang w:val="en-GB"/>
        </w:rPr>
        <w:t xml:space="preserve">12. </w:t>
      </w:r>
      <w:r w:rsidRPr="005620D3">
        <w:rPr>
          <w:lang w:val="en-GB"/>
        </w:rPr>
        <w:tab/>
        <w:t xml:space="preserve">Lombe M, Ochumbo A: </w:t>
      </w:r>
      <w:r w:rsidRPr="005620D3">
        <w:rPr>
          <w:b/>
          <w:bCs/>
          <w:lang w:val="en-GB"/>
        </w:rPr>
        <w:t>Sub-Saharan Africa’s orphan crisis: Challenges and opportunities</w:t>
      </w:r>
      <w:r w:rsidRPr="005620D3">
        <w:rPr>
          <w:lang w:val="en-GB"/>
        </w:rPr>
        <w:t xml:space="preserve">. </w:t>
      </w:r>
      <w:r w:rsidRPr="005620D3">
        <w:rPr>
          <w:i/>
          <w:iCs/>
          <w:lang w:val="en-GB"/>
        </w:rPr>
        <w:t>International Social Work</w:t>
      </w:r>
      <w:r w:rsidRPr="005620D3">
        <w:rPr>
          <w:lang w:val="en-GB"/>
        </w:rPr>
        <w:t xml:space="preserve"> 2008, </w:t>
      </w:r>
      <w:r w:rsidRPr="005620D3">
        <w:rPr>
          <w:b/>
          <w:bCs/>
          <w:lang w:val="en-GB"/>
        </w:rPr>
        <w:t>51</w:t>
      </w:r>
      <w:r w:rsidRPr="005620D3">
        <w:rPr>
          <w:lang w:val="en-GB"/>
        </w:rPr>
        <w:t>:682–698.</w:t>
      </w:r>
    </w:p>
    <w:p w14:paraId="3A64B500" w14:textId="77777777" w:rsidR="005620D3" w:rsidRPr="005620D3" w:rsidRDefault="005620D3" w:rsidP="005620D3">
      <w:pPr>
        <w:pStyle w:val="Bibliography"/>
        <w:rPr>
          <w:lang w:val="en-GB"/>
        </w:rPr>
      </w:pPr>
      <w:r w:rsidRPr="005620D3">
        <w:rPr>
          <w:lang w:val="en-GB"/>
        </w:rPr>
        <w:t xml:space="preserve">13. </w:t>
      </w:r>
      <w:r w:rsidRPr="005620D3">
        <w:rPr>
          <w:lang w:val="en-GB"/>
        </w:rPr>
        <w:tab/>
        <w:t xml:space="preserve">Brown LR, Cameron D: </w:t>
      </w:r>
      <w:r w:rsidRPr="005620D3">
        <w:rPr>
          <w:b/>
          <w:bCs/>
          <w:lang w:val="en-GB"/>
        </w:rPr>
        <w:t>HIV Epidemic Restructuring Africa’s Population: A missing generation - a population of orphans - a shortage of women</w:t>
      </w:r>
      <w:r w:rsidRPr="005620D3">
        <w:rPr>
          <w:lang w:val="en-GB"/>
        </w:rPr>
        <w:t xml:space="preserve">. </w:t>
      </w:r>
      <w:r w:rsidRPr="005620D3">
        <w:rPr>
          <w:i/>
          <w:iCs/>
          <w:lang w:val="en-GB"/>
        </w:rPr>
        <w:t>South African Family Practice</w:t>
      </w:r>
      <w:r w:rsidRPr="005620D3">
        <w:rPr>
          <w:lang w:val="en-GB"/>
        </w:rPr>
        <w:t xml:space="preserve"> 2002, </w:t>
      </w:r>
      <w:r w:rsidRPr="005620D3">
        <w:rPr>
          <w:b/>
          <w:bCs/>
          <w:lang w:val="en-GB"/>
        </w:rPr>
        <w:t>25</w:t>
      </w:r>
      <w:r w:rsidRPr="005620D3">
        <w:rPr>
          <w:lang w:val="en-GB"/>
        </w:rPr>
        <w:t>.</w:t>
      </w:r>
    </w:p>
    <w:p w14:paraId="4480A421" w14:textId="77777777" w:rsidR="005620D3" w:rsidRPr="005620D3" w:rsidRDefault="005620D3" w:rsidP="005620D3">
      <w:pPr>
        <w:pStyle w:val="Bibliography"/>
        <w:rPr>
          <w:lang w:val="en-GB"/>
        </w:rPr>
      </w:pPr>
      <w:r w:rsidRPr="005620D3">
        <w:rPr>
          <w:lang w:val="en-GB"/>
        </w:rPr>
        <w:t xml:space="preserve">14. </w:t>
      </w:r>
      <w:r w:rsidRPr="005620D3">
        <w:rPr>
          <w:lang w:val="en-GB"/>
        </w:rPr>
        <w:tab/>
        <w:t xml:space="preserve">Collins J, Robinson C, Danhof H, Knetsch CW, Van Leeuwen HC, Lawley TD, Auchtung JM, Britton RA: </w:t>
      </w:r>
      <w:r w:rsidRPr="005620D3">
        <w:rPr>
          <w:b/>
          <w:bCs/>
          <w:lang w:val="en-GB"/>
        </w:rPr>
        <w:t>Dietary trehalose enhances virulence of epidemic Clostridium difficile</w:t>
      </w:r>
      <w:r w:rsidRPr="005620D3">
        <w:rPr>
          <w:lang w:val="en-GB"/>
        </w:rPr>
        <w:t xml:space="preserve">. </w:t>
      </w:r>
      <w:r w:rsidRPr="005620D3">
        <w:rPr>
          <w:i/>
          <w:iCs/>
          <w:lang w:val="en-GB"/>
        </w:rPr>
        <w:t>Nature</w:t>
      </w:r>
      <w:r w:rsidRPr="005620D3">
        <w:rPr>
          <w:lang w:val="en-GB"/>
        </w:rPr>
        <w:t xml:space="preserve"> 2018, </w:t>
      </w:r>
      <w:r w:rsidRPr="005620D3">
        <w:rPr>
          <w:b/>
          <w:bCs/>
          <w:lang w:val="en-GB"/>
        </w:rPr>
        <w:t>553</w:t>
      </w:r>
      <w:r w:rsidRPr="005620D3">
        <w:rPr>
          <w:lang w:val="en-GB"/>
        </w:rPr>
        <w:t>:291–294.</w:t>
      </w:r>
    </w:p>
    <w:p w14:paraId="16256BBE" w14:textId="77777777" w:rsidR="005620D3" w:rsidRPr="005620D3" w:rsidRDefault="005620D3" w:rsidP="005620D3">
      <w:pPr>
        <w:pStyle w:val="Bibliography"/>
        <w:rPr>
          <w:lang w:val="en-GB"/>
        </w:rPr>
      </w:pPr>
      <w:r w:rsidRPr="005620D3">
        <w:rPr>
          <w:lang w:val="en-GB"/>
        </w:rPr>
        <w:t xml:space="preserve">15. </w:t>
      </w:r>
      <w:r w:rsidRPr="005620D3">
        <w:rPr>
          <w:lang w:val="en-GB"/>
        </w:rPr>
        <w:tab/>
        <w:t xml:space="preserve">Knetsch CW, Kumar N, Forster SC, Connor TR, Browne HP, Harmanus C, Sanders IM, Harris SR, Turner L, Morris T, et al.: </w:t>
      </w:r>
      <w:r w:rsidRPr="005620D3">
        <w:rPr>
          <w:b/>
          <w:bCs/>
          <w:lang w:val="en-GB"/>
        </w:rPr>
        <w:t>Zoonotic Transfer of Clostridium difficile Harboring Antimicrobial Resistance between Farm Animals and Humans.</w:t>
      </w:r>
      <w:r w:rsidRPr="005620D3">
        <w:rPr>
          <w:lang w:val="en-GB"/>
        </w:rPr>
        <w:t xml:space="preserve"> </w:t>
      </w:r>
      <w:r w:rsidRPr="005620D3">
        <w:rPr>
          <w:i/>
          <w:iCs/>
          <w:lang w:val="en-GB"/>
        </w:rPr>
        <w:t>Journal of clinical microbiology</w:t>
      </w:r>
      <w:r w:rsidRPr="005620D3">
        <w:rPr>
          <w:lang w:val="en-GB"/>
        </w:rPr>
        <w:t xml:space="preserve"> 2018, </w:t>
      </w:r>
      <w:r w:rsidRPr="005620D3">
        <w:rPr>
          <w:b/>
          <w:bCs/>
          <w:lang w:val="en-GB"/>
        </w:rPr>
        <w:t>56</w:t>
      </w:r>
      <w:r w:rsidRPr="005620D3">
        <w:rPr>
          <w:lang w:val="en-GB"/>
        </w:rPr>
        <w:t>:JCM.01384-17.</w:t>
      </w:r>
    </w:p>
    <w:p w14:paraId="34A32520" w14:textId="77777777" w:rsidR="005620D3" w:rsidRPr="005620D3" w:rsidRDefault="005620D3" w:rsidP="005620D3">
      <w:pPr>
        <w:pStyle w:val="Bibliography"/>
        <w:rPr>
          <w:lang w:val="en-GB"/>
        </w:rPr>
      </w:pPr>
      <w:r w:rsidRPr="005620D3">
        <w:rPr>
          <w:lang w:val="en-GB"/>
        </w:rPr>
        <w:lastRenderedPageBreak/>
        <w:t xml:space="preserve">16. </w:t>
      </w:r>
      <w:r w:rsidRPr="005620D3">
        <w:rPr>
          <w:lang w:val="en-GB"/>
        </w:rPr>
        <w:tab/>
        <w:t xml:space="preserve">He M, Sebaihia M, Lawley TD, Stabler RA, Dawson LF, Martin MJ, Holt KE, Seth-Smith HMB, Quail MA, Rance R, et al.: </w:t>
      </w:r>
      <w:r w:rsidRPr="005620D3">
        <w:rPr>
          <w:b/>
          <w:bCs/>
          <w:lang w:val="en-GB"/>
        </w:rPr>
        <w:t>Evolutionary dynamics of Clostridium difficile over short and long time scales</w:t>
      </w:r>
      <w:r w:rsidRPr="005620D3">
        <w:rPr>
          <w:lang w:val="en-GB"/>
        </w:rPr>
        <w:t xml:space="preserve">. </w:t>
      </w:r>
      <w:r w:rsidRPr="005620D3">
        <w:rPr>
          <w:i/>
          <w:iCs/>
          <w:lang w:val="en-GB"/>
        </w:rPr>
        <w:t>Proceedings of the National Academy of Sciences of the United States of America</w:t>
      </w:r>
      <w:r w:rsidRPr="005620D3">
        <w:rPr>
          <w:lang w:val="en-GB"/>
        </w:rPr>
        <w:t xml:space="preserve"> 2010, </w:t>
      </w:r>
      <w:r w:rsidRPr="005620D3">
        <w:rPr>
          <w:b/>
          <w:bCs/>
          <w:lang w:val="en-GB"/>
        </w:rPr>
        <w:t>107</w:t>
      </w:r>
      <w:r w:rsidRPr="005620D3">
        <w:rPr>
          <w:lang w:val="en-GB"/>
        </w:rPr>
        <w:t>:7527–7532.</w:t>
      </w:r>
    </w:p>
    <w:p w14:paraId="71D412F1" w14:textId="77777777" w:rsidR="005620D3" w:rsidRPr="005620D3" w:rsidRDefault="005620D3" w:rsidP="005620D3">
      <w:pPr>
        <w:pStyle w:val="Bibliography"/>
        <w:rPr>
          <w:lang w:val="en-GB"/>
        </w:rPr>
      </w:pPr>
      <w:r w:rsidRPr="005620D3">
        <w:rPr>
          <w:lang w:val="en-GB"/>
        </w:rPr>
        <w:t xml:space="preserve">17. </w:t>
      </w:r>
      <w:r w:rsidRPr="005620D3">
        <w:rPr>
          <w:lang w:val="en-GB"/>
        </w:rPr>
        <w:tab/>
        <w:t xml:space="preserve">Roldan GA, Cui AX, Pollock NR: </w:t>
      </w:r>
      <w:r w:rsidRPr="005620D3">
        <w:rPr>
          <w:b/>
          <w:bCs/>
          <w:lang w:val="en-GB"/>
        </w:rPr>
        <w:t>Assessing the Burden of Clostridium difficile Infection in Low- and Middle-Income Countries</w:t>
      </w:r>
      <w:r w:rsidRPr="005620D3">
        <w:rPr>
          <w:lang w:val="en-GB"/>
        </w:rPr>
        <w:t xml:space="preserve">. </w:t>
      </w:r>
      <w:r w:rsidRPr="005620D3">
        <w:rPr>
          <w:i/>
          <w:iCs/>
          <w:lang w:val="en-GB"/>
        </w:rPr>
        <w:t>Journal of Clinical Microbiology</w:t>
      </w:r>
      <w:r w:rsidRPr="005620D3">
        <w:rPr>
          <w:lang w:val="en-GB"/>
        </w:rPr>
        <w:t xml:space="preserve"> 2018, </w:t>
      </w:r>
      <w:r w:rsidRPr="005620D3">
        <w:rPr>
          <w:b/>
          <w:bCs/>
          <w:lang w:val="en-GB"/>
        </w:rPr>
        <w:t>56</w:t>
      </w:r>
      <w:r w:rsidRPr="005620D3">
        <w:rPr>
          <w:lang w:val="en-GB"/>
        </w:rPr>
        <w:t>:e01747-17.</w:t>
      </w:r>
    </w:p>
    <w:p w14:paraId="6FE78AFA" w14:textId="77777777" w:rsidR="005620D3" w:rsidRPr="005620D3" w:rsidRDefault="005620D3" w:rsidP="005620D3">
      <w:pPr>
        <w:pStyle w:val="Bibliography"/>
        <w:rPr>
          <w:lang w:val="en-GB"/>
        </w:rPr>
      </w:pPr>
      <w:r w:rsidRPr="005620D3">
        <w:rPr>
          <w:lang w:val="en-GB"/>
        </w:rPr>
        <w:t xml:space="preserve">18. </w:t>
      </w:r>
      <w:r w:rsidRPr="005620D3">
        <w:rPr>
          <w:lang w:val="en-GB"/>
        </w:rPr>
        <w:tab/>
        <w:t xml:space="preserve">Millan B, Park H, Hotte N, Mathieu O, Burguiere P, Tompkins TA, Kao D, Madsen KL: </w:t>
      </w:r>
      <w:r w:rsidRPr="005620D3">
        <w:rPr>
          <w:b/>
          <w:bCs/>
          <w:lang w:val="en-GB"/>
        </w:rPr>
        <w:t>Fecal Microbial Transplants Reduce Antibiotic-resistant Genes in Patients with Recurrent Clostridium difficile Infection</w:t>
      </w:r>
      <w:r w:rsidRPr="005620D3">
        <w:rPr>
          <w:lang w:val="en-GB"/>
        </w:rPr>
        <w:t xml:space="preserve">. </w:t>
      </w:r>
      <w:r w:rsidRPr="005620D3">
        <w:rPr>
          <w:i/>
          <w:iCs/>
          <w:lang w:val="en-GB"/>
        </w:rPr>
        <w:t>Clinical Infectious Diseases</w:t>
      </w:r>
      <w:r w:rsidRPr="005620D3">
        <w:rPr>
          <w:lang w:val="en-GB"/>
        </w:rPr>
        <w:t xml:space="preserve"> 2016, </w:t>
      </w:r>
      <w:r w:rsidRPr="005620D3">
        <w:rPr>
          <w:b/>
          <w:bCs/>
          <w:lang w:val="en-GB"/>
        </w:rPr>
        <w:t>62</w:t>
      </w:r>
      <w:r w:rsidRPr="005620D3">
        <w:rPr>
          <w:lang w:val="en-GB"/>
        </w:rPr>
        <w:t>:1479–1486.</w:t>
      </w:r>
    </w:p>
    <w:p w14:paraId="20CB9A86" w14:textId="77777777" w:rsidR="005620D3" w:rsidRPr="005620D3" w:rsidRDefault="005620D3" w:rsidP="005620D3">
      <w:pPr>
        <w:pStyle w:val="Bibliography"/>
        <w:rPr>
          <w:lang w:val="en-GB"/>
        </w:rPr>
      </w:pPr>
      <w:r w:rsidRPr="005620D3">
        <w:rPr>
          <w:lang w:val="en-GB"/>
        </w:rPr>
        <w:t xml:space="preserve">19. </w:t>
      </w:r>
      <w:r w:rsidRPr="005620D3">
        <w:rPr>
          <w:lang w:val="en-GB"/>
        </w:rPr>
        <w:tab/>
        <w:t xml:space="preserve">Petrof EO, Gloor GB, Vanner SJ, Weese SJ, Carter David, Daigneault MC, Brown EM, Schroeter K, Allen-Vercoe E: </w:t>
      </w:r>
      <w:r w:rsidRPr="005620D3">
        <w:rPr>
          <w:b/>
          <w:bCs/>
          <w:lang w:val="en-GB"/>
        </w:rPr>
        <w:t>Stool substitute transplant therapy for the eradication of Clostridium difficile infection: “RePOOPulating” the gut.</w:t>
      </w:r>
      <w:r w:rsidRPr="005620D3">
        <w:rPr>
          <w:lang w:val="en-GB"/>
        </w:rPr>
        <w:t xml:space="preserve"> </w:t>
      </w:r>
      <w:r w:rsidRPr="005620D3">
        <w:rPr>
          <w:i/>
          <w:iCs/>
          <w:lang w:val="en-GB"/>
        </w:rPr>
        <w:t>Microbiome</w:t>
      </w:r>
      <w:r w:rsidRPr="005620D3">
        <w:rPr>
          <w:lang w:val="en-GB"/>
        </w:rPr>
        <w:t xml:space="preserve"> 2013, </w:t>
      </w:r>
      <w:r w:rsidRPr="005620D3">
        <w:rPr>
          <w:b/>
          <w:bCs/>
          <w:lang w:val="en-GB"/>
        </w:rPr>
        <w:t>1</w:t>
      </w:r>
      <w:r w:rsidRPr="005620D3">
        <w:rPr>
          <w:lang w:val="en-GB"/>
        </w:rPr>
        <w:t>:3.</w:t>
      </w:r>
    </w:p>
    <w:p w14:paraId="3DF3CA57" w14:textId="77777777" w:rsidR="005620D3" w:rsidRPr="005620D3" w:rsidRDefault="005620D3" w:rsidP="005620D3">
      <w:pPr>
        <w:pStyle w:val="Bibliography"/>
        <w:rPr>
          <w:lang w:val="en-GB"/>
        </w:rPr>
      </w:pPr>
      <w:r w:rsidRPr="005620D3">
        <w:rPr>
          <w:lang w:val="en-GB"/>
        </w:rPr>
        <w:t xml:space="preserve">20. </w:t>
      </w:r>
      <w:r w:rsidRPr="005620D3">
        <w:rPr>
          <w:lang w:val="en-GB"/>
        </w:rPr>
        <w:tab/>
        <w:t xml:space="preserve">Søgaard Jørgensen P, Folke C, Henriksson PJG, Malmros K, Troell M, Zorzet A, Living with Resistance project: </w:t>
      </w:r>
      <w:r w:rsidRPr="005620D3">
        <w:rPr>
          <w:b/>
          <w:bCs/>
          <w:lang w:val="en-GB"/>
        </w:rPr>
        <w:t>Coevolutionary Governance of Antibiotic and Pesticide Resistance</w:t>
      </w:r>
      <w:r w:rsidRPr="005620D3">
        <w:rPr>
          <w:lang w:val="en-GB"/>
        </w:rPr>
        <w:t xml:space="preserve">. </w:t>
      </w:r>
      <w:r w:rsidRPr="005620D3">
        <w:rPr>
          <w:i/>
          <w:iCs/>
          <w:lang w:val="en-GB"/>
        </w:rPr>
        <w:t>Trends in Ecology and Evolution</w:t>
      </w:r>
      <w:r w:rsidRPr="005620D3">
        <w:rPr>
          <w:lang w:val="en-GB"/>
        </w:rPr>
        <w:t xml:space="preserve"> 2020, </w:t>
      </w:r>
      <w:r w:rsidRPr="005620D3">
        <w:rPr>
          <w:b/>
          <w:bCs/>
          <w:lang w:val="en-GB"/>
        </w:rPr>
        <w:t>35</w:t>
      </w:r>
      <w:r w:rsidRPr="005620D3">
        <w:rPr>
          <w:lang w:val="en-GB"/>
        </w:rPr>
        <w:t>:484–494.</w:t>
      </w:r>
    </w:p>
    <w:p w14:paraId="4CA64645" w14:textId="77777777" w:rsidR="005620D3" w:rsidRPr="005620D3" w:rsidRDefault="005620D3" w:rsidP="005620D3">
      <w:pPr>
        <w:pStyle w:val="Bibliography"/>
        <w:rPr>
          <w:lang w:val="en-GB"/>
        </w:rPr>
      </w:pPr>
      <w:r w:rsidRPr="005620D3">
        <w:rPr>
          <w:lang w:val="en-GB"/>
        </w:rPr>
        <w:t xml:space="preserve">21. </w:t>
      </w:r>
      <w:r w:rsidRPr="005620D3">
        <w:rPr>
          <w:lang w:val="en-GB"/>
        </w:rPr>
        <w:tab/>
        <w:t xml:space="preserve">Jørgensen PS, Wernli D, Folke C, Carroll SP, Jørgensen P, Wernli D, Folke C, Carroll SP: </w:t>
      </w:r>
      <w:r w:rsidRPr="005620D3">
        <w:rPr>
          <w:b/>
          <w:bCs/>
          <w:lang w:val="en-GB"/>
        </w:rPr>
        <w:t>Changing antibiotic resistance: Sustainability transformation to a pro-microbial planet Antimicrobial</w:t>
      </w:r>
      <w:r w:rsidRPr="005620D3">
        <w:rPr>
          <w:lang w:val="en-GB"/>
        </w:rPr>
        <w:t xml:space="preserve">. </w:t>
      </w:r>
      <w:r w:rsidRPr="005620D3">
        <w:rPr>
          <w:i/>
          <w:iCs/>
          <w:lang w:val="en-GB"/>
        </w:rPr>
        <w:t>Current Opinion in Environmental Sustainability</w:t>
      </w:r>
      <w:r w:rsidRPr="005620D3">
        <w:rPr>
          <w:lang w:val="en-GB"/>
        </w:rPr>
        <w:t xml:space="preserve"> 2017, </w:t>
      </w:r>
      <w:r w:rsidRPr="005620D3">
        <w:rPr>
          <w:b/>
          <w:bCs/>
          <w:lang w:val="en-GB"/>
        </w:rPr>
        <w:t>25</w:t>
      </w:r>
      <w:r w:rsidRPr="005620D3">
        <w:rPr>
          <w:lang w:val="en-GB"/>
        </w:rPr>
        <w:t>:66–76.</w:t>
      </w:r>
    </w:p>
    <w:p w14:paraId="21E296AA" w14:textId="77777777" w:rsidR="005620D3" w:rsidRPr="005620D3" w:rsidRDefault="005620D3" w:rsidP="005620D3">
      <w:pPr>
        <w:pStyle w:val="Bibliography"/>
        <w:rPr>
          <w:lang w:val="en-GB"/>
        </w:rPr>
      </w:pPr>
      <w:r w:rsidRPr="005620D3">
        <w:rPr>
          <w:lang w:val="en-GB"/>
        </w:rPr>
        <w:t xml:space="preserve">22. </w:t>
      </w:r>
      <w:r w:rsidRPr="005620D3">
        <w:rPr>
          <w:lang w:val="en-GB"/>
        </w:rPr>
        <w:tab/>
        <w:t xml:space="preserve">Clapp J: </w:t>
      </w:r>
      <w:r w:rsidRPr="005620D3">
        <w:rPr>
          <w:b/>
          <w:bCs/>
          <w:lang w:val="en-GB"/>
        </w:rPr>
        <w:t>Explaining Growing Glyphosate Use : The Political Economy of Herbicide-Dependent Agriculture</w:t>
      </w:r>
      <w:r w:rsidRPr="005620D3">
        <w:rPr>
          <w:lang w:val="en-GB"/>
        </w:rPr>
        <w:t xml:space="preserve">. </w:t>
      </w:r>
      <w:r w:rsidRPr="005620D3">
        <w:rPr>
          <w:i/>
          <w:iCs/>
          <w:lang w:val="en-GB"/>
        </w:rPr>
        <w:t>Global Environmental Change</w:t>
      </w:r>
      <w:r w:rsidRPr="005620D3">
        <w:rPr>
          <w:lang w:val="en-GB"/>
        </w:rPr>
        <w:t xml:space="preserve"> 2021, </w:t>
      </w:r>
      <w:r w:rsidRPr="005620D3">
        <w:rPr>
          <w:b/>
          <w:bCs/>
          <w:lang w:val="en-GB"/>
        </w:rPr>
        <w:t>67</w:t>
      </w:r>
      <w:r w:rsidRPr="005620D3">
        <w:rPr>
          <w:lang w:val="en-GB"/>
        </w:rPr>
        <w:t>:102239.</w:t>
      </w:r>
    </w:p>
    <w:p w14:paraId="0CBACA2F" w14:textId="77777777" w:rsidR="005620D3" w:rsidRPr="005620D3" w:rsidRDefault="005620D3" w:rsidP="005620D3">
      <w:pPr>
        <w:pStyle w:val="Bibliography"/>
        <w:rPr>
          <w:lang w:val="en-GB"/>
        </w:rPr>
      </w:pPr>
      <w:r w:rsidRPr="005620D3">
        <w:rPr>
          <w:lang w:val="en-GB"/>
        </w:rPr>
        <w:t xml:space="preserve">23. </w:t>
      </w:r>
      <w:r w:rsidRPr="005620D3">
        <w:rPr>
          <w:lang w:val="en-GB"/>
        </w:rPr>
        <w:tab/>
        <w:t xml:space="preserve">Heap I, Duke SO: </w:t>
      </w:r>
      <w:r w:rsidRPr="005620D3">
        <w:rPr>
          <w:b/>
          <w:bCs/>
          <w:lang w:val="en-GB"/>
        </w:rPr>
        <w:t>Overview of Glyphosate-Resistant Weeds Worldwide.</w:t>
      </w:r>
      <w:r w:rsidRPr="005620D3">
        <w:rPr>
          <w:lang w:val="en-GB"/>
        </w:rPr>
        <w:t xml:space="preserve"> </w:t>
      </w:r>
      <w:r w:rsidRPr="005620D3">
        <w:rPr>
          <w:i/>
          <w:iCs/>
          <w:lang w:val="en-GB"/>
        </w:rPr>
        <w:t>Pest Management Science</w:t>
      </w:r>
      <w:r w:rsidRPr="005620D3">
        <w:rPr>
          <w:lang w:val="en-GB"/>
        </w:rPr>
        <w:t xml:space="preserve"> 2018, </w:t>
      </w:r>
      <w:r w:rsidRPr="005620D3">
        <w:rPr>
          <w:b/>
          <w:bCs/>
          <w:lang w:val="en-GB"/>
        </w:rPr>
        <w:t>74</w:t>
      </w:r>
      <w:r w:rsidRPr="005620D3">
        <w:rPr>
          <w:lang w:val="en-GB"/>
        </w:rPr>
        <w:t>:1040–1049.</w:t>
      </w:r>
    </w:p>
    <w:p w14:paraId="74EB190E" w14:textId="77777777" w:rsidR="005620D3" w:rsidRPr="005620D3" w:rsidRDefault="005620D3" w:rsidP="005620D3">
      <w:pPr>
        <w:pStyle w:val="Bibliography"/>
        <w:rPr>
          <w:lang w:val="en-GB"/>
        </w:rPr>
      </w:pPr>
      <w:r w:rsidRPr="005620D3">
        <w:rPr>
          <w:lang w:val="en-GB"/>
        </w:rPr>
        <w:t xml:space="preserve">24. </w:t>
      </w:r>
      <w:r w:rsidRPr="005620D3">
        <w:rPr>
          <w:lang w:val="en-GB"/>
        </w:rPr>
        <w:tab/>
        <w:t xml:space="preserve">Nowak J, Zander E, Stefanik D, Higgins PG, Roca I, Vila J, McConnell MJ, Cisneros JM, Seifert H, Garnacho-Montero J, et al.: </w:t>
      </w:r>
      <w:r w:rsidRPr="005620D3">
        <w:rPr>
          <w:b/>
          <w:bCs/>
          <w:lang w:val="en-GB"/>
        </w:rPr>
        <w:t>High incidence of pandrug-resistant Acinetobacter baumannii isolates collected from patients with ventilator-associated pneumonia in Greece, Italy and Spain as part of the MagicBullet clinical trial</w:t>
      </w:r>
      <w:r w:rsidRPr="005620D3">
        <w:rPr>
          <w:lang w:val="en-GB"/>
        </w:rPr>
        <w:t xml:space="preserve">. </w:t>
      </w:r>
      <w:r w:rsidRPr="005620D3">
        <w:rPr>
          <w:i/>
          <w:iCs/>
          <w:lang w:val="en-GB"/>
        </w:rPr>
        <w:t>Journal of Antimicrobial Chemotherapy</w:t>
      </w:r>
      <w:r w:rsidRPr="005620D3">
        <w:rPr>
          <w:lang w:val="en-GB"/>
        </w:rPr>
        <w:t xml:space="preserve"> 2017, </w:t>
      </w:r>
      <w:r w:rsidRPr="005620D3">
        <w:rPr>
          <w:b/>
          <w:bCs/>
          <w:lang w:val="en-GB"/>
        </w:rPr>
        <w:t>72</w:t>
      </w:r>
      <w:r w:rsidRPr="005620D3">
        <w:rPr>
          <w:lang w:val="en-GB"/>
        </w:rPr>
        <w:t>:3277–3282.</w:t>
      </w:r>
    </w:p>
    <w:p w14:paraId="7A2D1FD3" w14:textId="77777777" w:rsidR="005620D3" w:rsidRPr="005620D3" w:rsidRDefault="005620D3" w:rsidP="005620D3">
      <w:pPr>
        <w:pStyle w:val="Bibliography"/>
        <w:rPr>
          <w:lang w:val="en-GB"/>
        </w:rPr>
      </w:pPr>
      <w:r w:rsidRPr="005620D3">
        <w:rPr>
          <w:lang w:val="en-GB"/>
        </w:rPr>
        <w:t xml:space="preserve">25. </w:t>
      </w:r>
      <w:r w:rsidRPr="005620D3">
        <w:rPr>
          <w:lang w:val="en-GB"/>
        </w:rPr>
        <w:tab/>
        <w:t xml:space="preserve">Zowawi HM, Forde BM, Alfaresi M, Alzarouni A, Farahat Y, Chong TM, Yin WF, Chan KG, Li J, Schembri MA, et al.: </w:t>
      </w:r>
      <w:r w:rsidRPr="005620D3">
        <w:rPr>
          <w:b/>
          <w:bCs/>
          <w:lang w:val="en-GB"/>
        </w:rPr>
        <w:t>Stepwise evolution of pandrug-resistance in Klebsiella pneumoniae</w:t>
      </w:r>
      <w:r w:rsidRPr="005620D3">
        <w:rPr>
          <w:lang w:val="en-GB"/>
        </w:rPr>
        <w:t xml:space="preserve">. </w:t>
      </w:r>
      <w:r w:rsidRPr="005620D3">
        <w:rPr>
          <w:i/>
          <w:iCs/>
          <w:lang w:val="en-GB"/>
        </w:rPr>
        <w:t>Scientific Reports</w:t>
      </w:r>
      <w:r w:rsidRPr="005620D3">
        <w:rPr>
          <w:lang w:val="en-GB"/>
        </w:rPr>
        <w:t xml:space="preserve"> 2015, </w:t>
      </w:r>
      <w:r w:rsidRPr="005620D3">
        <w:rPr>
          <w:b/>
          <w:bCs/>
          <w:lang w:val="en-GB"/>
        </w:rPr>
        <w:t>5</w:t>
      </w:r>
      <w:r w:rsidRPr="005620D3">
        <w:rPr>
          <w:lang w:val="en-GB"/>
        </w:rPr>
        <w:t>:1–8.</w:t>
      </w:r>
    </w:p>
    <w:p w14:paraId="302AD7AA" w14:textId="77777777" w:rsidR="005620D3" w:rsidRPr="005620D3" w:rsidRDefault="005620D3" w:rsidP="005620D3">
      <w:pPr>
        <w:pStyle w:val="Bibliography"/>
        <w:rPr>
          <w:lang w:val="en-GB"/>
        </w:rPr>
      </w:pPr>
      <w:r w:rsidRPr="005620D3">
        <w:rPr>
          <w:lang w:val="en-GB"/>
        </w:rPr>
        <w:t xml:space="preserve">26. </w:t>
      </w:r>
      <w:r w:rsidRPr="005620D3">
        <w:rPr>
          <w:lang w:val="en-GB"/>
        </w:rPr>
        <w:tab/>
        <w:t xml:space="preserve">Robinson TP, Bu DP, Carrique-Mas J, Fèvre EM, Gilbert M, Grace D, Hay SI, Jiwakanon J, Kakkar M, Kariuki S, et al.: </w:t>
      </w:r>
      <w:r w:rsidRPr="005620D3">
        <w:rPr>
          <w:b/>
          <w:bCs/>
          <w:lang w:val="en-GB"/>
        </w:rPr>
        <w:t>Antibiotic resistance is the quintessential One Health issue</w:t>
      </w:r>
      <w:r w:rsidRPr="005620D3">
        <w:rPr>
          <w:lang w:val="en-GB"/>
        </w:rPr>
        <w:t xml:space="preserve">. </w:t>
      </w:r>
      <w:r w:rsidRPr="005620D3">
        <w:rPr>
          <w:i/>
          <w:iCs/>
          <w:lang w:val="en-GB"/>
        </w:rPr>
        <w:t>Transactions of The Royal Society of Tropical Medicine and Hygiene</w:t>
      </w:r>
      <w:r w:rsidRPr="005620D3">
        <w:rPr>
          <w:lang w:val="en-GB"/>
        </w:rPr>
        <w:t xml:space="preserve"> 2016, doi:10.1093/trstmh/trw048.</w:t>
      </w:r>
    </w:p>
    <w:p w14:paraId="76A071E4" w14:textId="77777777" w:rsidR="005620D3" w:rsidRPr="005620D3" w:rsidRDefault="005620D3" w:rsidP="005620D3">
      <w:pPr>
        <w:pStyle w:val="Bibliography"/>
        <w:rPr>
          <w:lang w:val="en-GB"/>
        </w:rPr>
      </w:pPr>
      <w:r w:rsidRPr="005620D3">
        <w:rPr>
          <w:lang w:val="en-GB"/>
        </w:rPr>
        <w:t xml:space="preserve">27. </w:t>
      </w:r>
      <w:r w:rsidRPr="005620D3">
        <w:rPr>
          <w:lang w:val="en-GB"/>
        </w:rPr>
        <w:tab/>
        <w:t xml:space="preserve">Jørgensen PS, Wernli D, Carroll SP, Dunn RR, Harbarth S, Levin SA, So AD, Schlüter M, Laxminarayan R: </w:t>
      </w:r>
      <w:r w:rsidRPr="005620D3">
        <w:rPr>
          <w:b/>
          <w:bCs/>
          <w:lang w:val="en-GB"/>
        </w:rPr>
        <w:t>Use antimicrobials wisely</w:t>
      </w:r>
      <w:r w:rsidRPr="005620D3">
        <w:rPr>
          <w:lang w:val="en-GB"/>
        </w:rPr>
        <w:t xml:space="preserve">. </w:t>
      </w:r>
      <w:r w:rsidRPr="005620D3">
        <w:rPr>
          <w:i/>
          <w:iCs/>
          <w:lang w:val="en-GB"/>
        </w:rPr>
        <w:t>Nature</w:t>
      </w:r>
      <w:r w:rsidRPr="005620D3">
        <w:rPr>
          <w:lang w:val="en-GB"/>
        </w:rPr>
        <w:t xml:space="preserve"> 2016, </w:t>
      </w:r>
      <w:r w:rsidRPr="005620D3">
        <w:rPr>
          <w:b/>
          <w:bCs/>
          <w:lang w:val="en-GB"/>
        </w:rPr>
        <w:t>537</w:t>
      </w:r>
      <w:r w:rsidRPr="005620D3">
        <w:rPr>
          <w:lang w:val="en-GB"/>
        </w:rPr>
        <w:t>:159–161.</w:t>
      </w:r>
    </w:p>
    <w:p w14:paraId="043E2F91" w14:textId="77777777" w:rsidR="005620D3" w:rsidRPr="005620D3" w:rsidRDefault="005620D3" w:rsidP="005620D3">
      <w:pPr>
        <w:pStyle w:val="Bibliography"/>
        <w:rPr>
          <w:lang w:val="en-GB"/>
        </w:rPr>
      </w:pPr>
      <w:r w:rsidRPr="005620D3">
        <w:rPr>
          <w:lang w:val="en-GB"/>
        </w:rPr>
        <w:t xml:space="preserve">28. </w:t>
      </w:r>
      <w:r w:rsidRPr="005620D3">
        <w:rPr>
          <w:lang w:val="en-GB"/>
        </w:rPr>
        <w:tab/>
        <w:t xml:space="preserve">Wernli D, Jørgensen PS, Morel CM, Carroll S, Harbarth S, Levrat N, Pittet D: </w:t>
      </w:r>
      <w:r w:rsidRPr="005620D3">
        <w:rPr>
          <w:b/>
          <w:bCs/>
          <w:lang w:val="en-GB"/>
        </w:rPr>
        <w:t>Mapping global policy discourse on antimicrobial resistance</w:t>
      </w:r>
      <w:r w:rsidRPr="005620D3">
        <w:rPr>
          <w:lang w:val="en-GB"/>
        </w:rPr>
        <w:t xml:space="preserve">. </w:t>
      </w:r>
      <w:r w:rsidRPr="005620D3">
        <w:rPr>
          <w:i/>
          <w:iCs/>
          <w:lang w:val="en-GB"/>
        </w:rPr>
        <w:t>BMJ Global Health</w:t>
      </w:r>
      <w:r w:rsidRPr="005620D3">
        <w:rPr>
          <w:lang w:val="en-GB"/>
        </w:rPr>
        <w:t xml:space="preserve"> 2017, </w:t>
      </w:r>
      <w:r w:rsidRPr="005620D3">
        <w:rPr>
          <w:b/>
          <w:bCs/>
          <w:lang w:val="en-GB"/>
        </w:rPr>
        <w:t>2</w:t>
      </w:r>
      <w:r w:rsidRPr="005620D3">
        <w:rPr>
          <w:lang w:val="en-GB"/>
        </w:rPr>
        <w:t>:e000378.</w:t>
      </w:r>
    </w:p>
    <w:p w14:paraId="60B38B57" w14:textId="77777777" w:rsidR="005620D3" w:rsidRPr="005620D3" w:rsidRDefault="005620D3" w:rsidP="005620D3">
      <w:pPr>
        <w:pStyle w:val="Bibliography"/>
        <w:rPr>
          <w:lang w:val="en-GB"/>
        </w:rPr>
      </w:pPr>
      <w:r w:rsidRPr="005620D3">
        <w:rPr>
          <w:lang w:val="en-GB"/>
        </w:rPr>
        <w:t xml:space="preserve">29. </w:t>
      </w:r>
      <w:r w:rsidRPr="005620D3">
        <w:rPr>
          <w:lang w:val="en-GB"/>
        </w:rPr>
        <w:tab/>
        <w:t xml:space="preserve">Iskandar K, Molinier L, Hallit S, Sartelli M, Catena F, Coccolini F, Craig Hardcastle T, Roques C, Salameh P: </w:t>
      </w:r>
      <w:r w:rsidRPr="005620D3">
        <w:rPr>
          <w:b/>
          <w:bCs/>
          <w:lang w:val="en-GB"/>
        </w:rPr>
        <w:t>Drivers of Antibiotic Resistance Transmission in Low- and Middle-Income Countries from a “One Health” Perspective—A Review</w:t>
      </w:r>
      <w:r w:rsidRPr="005620D3">
        <w:rPr>
          <w:lang w:val="en-GB"/>
        </w:rPr>
        <w:t xml:space="preserve">. </w:t>
      </w:r>
      <w:r w:rsidRPr="005620D3">
        <w:rPr>
          <w:i/>
          <w:iCs/>
          <w:lang w:val="en-GB"/>
        </w:rPr>
        <w:t>Antibiotics</w:t>
      </w:r>
      <w:r w:rsidRPr="005620D3">
        <w:rPr>
          <w:lang w:val="en-GB"/>
        </w:rPr>
        <w:t xml:space="preserve"> 2020, </w:t>
      </w:r>
      <w:r w:rsidRPr="005620D3">
        <w:rPr>
          <w:b/>
          <w:bCs/>
          <w:lang w:val="en-GB"/>
        </w:rPr>
        <w:t>9</w:t>
      </w:r>
      <w:r w:rsidRPr="005620D3">
        <w:rPr>
          <w:lang w:val="en-GB"/>
        </w:rPr>
        <w:t>:372.</w:t>
      </w:r>
    </w:p>
    <w:p w14:paraId="62F57540" w14:textId="77777777" w:rsidR="005620D3" w:rsidRPr="005620D3" w:rsidRDefault="005620D3" w:rsidP="005620D3">
      <w:pPr>
        <w:pStyle w:val="Bibliography"/>
        <w:rPr>
          <w:lang w:val="en-GB"/>
        </w:rPr>
      </w:pPr>
      <w:r w:rsidRPr="005620D3">
        <w:rPr>
          <w:lang w:val="en-GB"/>
        </w:rPr>
        <w:lastRenderedPageBreak/>
        <w:t xml:space="preserve">30. </w:t>
      </w:r>
      <w:r w:rsidRPr="005620D3">
        <w:rPr>
          <w:lang w:val="en-GB"/>
        </w:rPr>
        <w:tab/>
        <w:t xml:space="preserve">Zheng D, Yin G, Liu M, Chen C, Jiang Y, Hou L, Zheng Y: </w:t>
      </w:r>
      <w:r w:rsidRPr="005620D3">
        <w:rPr>
          <w:b/>
          <w:bCs/>
          <w:lang w:val="en-GB"/>
        </w:rPr>
        <w:t>A systematic review of antibiotics and antibiotic resistance genes in estuarine and coastal environments</w:t>
      </w:r>
      <w:r w:rsidRPr="005620D3">
        <w:rPr>
          <w:lang w:val="en-GB"/>
        </w:rPr>
        <w:t xml:space="preserve">. </w:t>
      </w:r>
      <w:r w:rsidRPr="005620D3">
        <w:rPr>
          <w:i/>
          <w:iCs/>
          <w:lang w:val="en-GB"/>
        </w:rPr>
        <w:t>Science of The Total Environment</w:t>
      </w:r>
      <w:r w:rsidRPr="005620D3">
        <w:rPr>
          <w:lang w:val="en-GB"/>
        </w:rPr>
        <w:t xml:space="preserve"> 2021, </w:t>
      </w:r>
      <w:r w:rsidRPr="005620D3">
        <w:rPr>
          <w:b/>
          <w:bCs/>
          <w:lang w:val="en-GB"/>
        </w:rPr>
        <w:t>777</w:t>
      </w:r>
      <w:r w:rsidRPr="005620D3">
        <w:rPr>
          <w:lang w:val="en-GB"/>
        </w:rPr>
        <w:t>:146009.</w:t>
      </w:r>
    </w:p>
    <w:p w14:paraId="7DA0009F" w14:textId="77777777" w:rsidR="005620D3" w:rsidRPr="005620D3" w:rsidRDefault="005620D3" w:rsidP="005620D3">
      <w:pPr>
        <w:pStyle w:val="Bibliography"/>
        <w:rPr>
          <w:lang w:val="en-GB"/>
        </w:rPr>
      </w:pPr>
      <w:r w:rsidRPr="005620D3">
        <w:rPr>
          <w:lang w:val="en-GB"/>
        </w:rPr>
        <w:t xml:space="preserve">31. </w:t>
      </w:r>
      <w:r w:rsidRPr="005620D3">
        <w:rPr>
          <w:lang w:val="en-GB"/>
        </w:rPr>
        <w:tab/>
        <w:t xml:space="preserve">Torres NF, Chibi B, Middleton LE, Solomon VP, Mashamba-Thompson TP: </w:t>
      </w:r>
      <w:r w:rsidRPr="005620D3">
        <w:rPr>
          <w:b/>
          <w:bCs/>
          <w:lang w:val="en-GB"/>
        </w:rPr>
        <w:t>Evidence of factors influencing self-medication with antibiotics in low and middle-income countries: a systematic scoping review</w:t>
      </w:r>
      <w:r w:rsidRPr="005620D3">
        <w:rPr>
          <w:lang w:val="en-GB"/>
        </w:rPr>
        <w:t xml:space="preserve">. </w:t>
      </w:r>
      <w:r w:rsidRPr="005620D3">
        <w:rPr>
          <w:i/>
          <w:iCs/>
          <w:lang w:val="en-GB"/>
        </w:rPr>
        <w:t>Public Health</w:t>
      </w:r>
      <w:r w:rsidRPr="005620D3">
        <w:rPr>
          <w:lang w:val="en-GB"/>
        </w:rPr>
        <w:t xml:space="preserve"> 2019, </w:t>
      </w:r>
      <w:r w:rsidRPr="005620D3">
        <w:rPr>
          <w:b/>
          <w:bCs/>
          <w:lang w:val="en-GB"/>
        </w:rPr>
        <w:t>168</w:t>
      </w:r>
      <w:r w:rsidRPr="005620D3">
        <w:rPr>
          <w:lang w:val="en-GB"/>
        </w:rPr>
        <w:t>:92–101.</w:t>
      </w:r>
    </w:p>
    <w:p w14:paraId="7E44D4EF" w14:textId="77777777" w:rsidR="005620D3" w:rsidRPr="005620D3" w:rsidRDefault="005620D3" w:rsidP="005620D3">
      <w:pPr>
        <w:pStyle w:val="Bibliography"/>
        <w:rPr>
          <w:lang w:val="en-GB"/>
        </w:rPr>
      </w:pPr>
      <w:r w:rsidRPr="005620D3">
        <w:rPr>
          <w:lang w:val="en-GB"/>
        </w:rPr>
        <w:t xml:space="preserve">32. </w:t>
      </w:r>
      <w:r w:rsidRPr="005620D3">
        <w:rPr>
          <w:lang w:val="en-GB"/>
        </w:rPr>
        <w:tab/>
        <w:t xml:space="preserve">Manrakhan A: </w:t>
      </w:r>
      <w:r w:rsidRPr="005620D3">
        <w:rPr>
          <w:b/>
          <w:bCs/>
          <w:lang w:val="en-GB"/>
        </w:rPr>
        <w:t>Pre-harvest management of the oriental fruit fly</w:t>
      </w:r>
      <w:r w:rsidRPr="005620D3">
        <w:rPr>
          <w:lang w:val="en-GB"/>
        </w:rPr>
        <w:t xml:space="preserve">. </w:t>
      </w:r>
      <w:r w:rsidRPr="005620D3">
        <w:rPr>
          <w:i/>
          <w:iCs/>
          <w:lang w:val="en-GB"/>
        </w:rPr>
        <w:t>CAB Reviews: Perspectives in Agriculture, Veterinary Science, Nutrition and Natural Resources</w:t>
      </w:r>
      <w:r w:rsidRPr="005620D3">
        <w:rPr>
          <w:lang w:val="en-GB"/>
        </w:rPr>
        <w:t xml:space="preserve"> 2018, </w:t>
      </w:r>
      <w:r w:rsidRPr="005620D3">
        <w:rPr>
          <w:b/>
          <w:bCs/>
          <w:lang w:val="en-GB"/>
        </w:rPr>
        <w:t>15</w:t>
      </w:r>
      <w:r w:rsidRPr="005620D3">
        <w:rPr>
          <w:lang w:val="en-GB"/>
        </w:rPr>
        <w:t>.</w:t>
      </w:r>
    </w:p>
    <w:p w14:paraId="31A9DAB9" w14:textId="77777777" w:rsidR="005620D3" w:rsidRPr="005620D3" w:rsidRDefault="005620D3" w:rsidP="005620D3">
      <w:pPr>
        <w:pStyle w:val="Bibliography"/>
        <w:rPr>
          <w:lang w:val="en-GB"/>
        </w:rPr>
      </w:pPr>
      <w:r w:rsidRPr="005620D3">
        <w:rPr>
          <w:lang w:val="en-GB"/>
        </w:rPr>
        <w:t xml:space="preserve">33. </w:t>
      </w:r>
      <w:r w:rsidRPr="005620D3">
        <w:rPr>
          <w:lang w:val="en-GB"/>
        </w:rPr>
        <w:tab/>
        <w:t xml:space="preserve">Mutamiswa R, Nyamukondiwa C, Chikowore G, Chidawanyika F: </w:t>
      </w:r>
      <w:r w:rsidRPr="005620D3">
        <w:rPr>
          <w:b/>
          <w:bCs/>
          <w:lang w:val="en-GB"/>
        </w:rPr>
        <w:t>Overview of oriental fruit fly, Bactrocera dorsalis (Hendel) (Diptera: Tephritidae) in Africa: From invasion, bio-ecology to sustainable management</w:t>
      </w:r>
      <w:r w:rsidRPr="005620D3">
        <w:rPr>
          <w:lang w:val="en-GB"/>
        </w:rPr>
        <w:t xml:space="preserve">. </w:t>
      </w:r>
      <w:r w:rsidRPr="005620D3">
        <w:rPr>
          <w:i/>
          <w:iCs/>
          <w:lang w:val="en-GB"/>
        </w:rPr>
        <w:t>Crop Protection</w:t>
      </w:r>
      <w:r w:rsidRPr="005620D3">
        <w:rPr>
          <w:lang w:val="en-GB"/>
        </w:rPr>
        <w:t xml:space="preserve"> 2021, </w:t>
      </w:r>
      <w:r w:rsidRPr="005620D3">
        <w:rPr>
          <w:b/>
          <w:bCs/>
          <w:lang w:val="en-GB"/>
        </w:rPr>
        <w:t>141</w:t>
      </w:r>
      <w:r w:rsidRPr="005620D3">
        <w:rPr>
          <w:lang w:val="en-GB"/>
        </w:rPr>
        <w:t>:105492.</w:t>
      </w:r>
    </w:p>
    <w:p w14:paraId="5C38B576" w14:textId="77777777" w:rsidR="005620D3" w:rsidRPr="005620D3" w:rsidRDefault="005620D3" w:rsidP="005620D3">
      <w:pPr>
        <w:pStyle w:val="Bibliography"/>
        <w:rPr>
          <w:lang w:val="en-GB"/>
        </w:rPr>
      </w:pPr>
      <w:r w:rsidRPr="005620D3">
        <w:rPr>
          <w:lang w:val="en-GB"/>
        </w:rPr>
        <w:t xml:space="preserve">34. </w:t>
      </w:r>
      <w:r w:rsidRPr="005620D3">
        <w:rPr>
          <w:lang w:val="en-GB"/>
        </w:rPr>
        <w:tab/>
        <w:t xml:space="preserve">Zeng Y, Reddy GVP, Li Z, Qin Y, Wang Y, Pan X, Jiang F, Gao F, Zhao ZH: </w:t>
      </w:r>
      <w:r w:rsidRPr="005620D3">
        <w:rPr>
          <w:b/>
          <w:bCs/>
          <w:lang w:val="en-GB"/>
        </w:rPr>
        <w:t>Global distribution and invasion pattern of oriental fruit fly, Bactrocera dorsalis (Diptera: Tephritidae)</w:t>
      </w:r>
      <w:r w:rsidRPr="005620D3">
        <w:rPr>
          <w:lang w:val="en-GB"/>
        </w:rPr>
        <w:t xml:space="preserve">. </w:t>
      </w:r>
      <w:r w:rsidRPr="005620D3">
        <w:rPr>
          <w:i/>
          <w:iCs/>
          <w:lang w:val="en-GB"/>
        </w:rPr>
        <w:t>Journal of Applied Entomology</w:t>
      </w:r>
      <w:r w:rsidRPr="005620D3">
        <w:rPr>
          <w:lang w:val="en-GB"/>
        </w:rPr>
        <w:t xml:space="preserve"> 2019, </w:t>
      </w:r>
      <w:r w:rsidRPr="005620D3">
        <w:rPr>
          <w:b/>
          <w:bCs/>
          <w:lang w:val="en-GB"/>
        </w:rPr>
        <w:t>143</w:t>
      </w:r>
      <w:r w:rsidRPr="005620D3">
        <w:rPr>
          <w:lang w:val="en-GB"/>
        </w:rPr>
        <w:t>:165–176.</w:t>
      </w:r>
    </w:p>
    <w:p w14:paraId="069649EF" w14:textId="77777777" w:rsidR="005620D3" w:rsidRPr="005620D3" w:rsidRDefault="005620D3" w:rsidP="005620D3">
      <w:pPr>
        <w:pStyle w:val="Bibliography"/>
        <w:rPr>
          <w:lang w:val="en-GB"/>
        </w:rPr>
      </w:pPr>
      <w:r w:rsidRPr="005620D3">
        <w:rPr>
          <w:lang w:val="en-GB"/>
        </w:rPr>
        <w:t xml:space="preserve">35. </w:t>
      </w:r>
      <w:r w:rsidRPr="005620D3">
        <w:rPr>
          <w:lang w:val="en-GB"/>
        </w:rPr>
        <w:tab/>
        <w:t xml:space="preserve">Githiomi C, Muriithi B, Irungu P, Mwungu CM, Diiro G, Affognon H, Mburu J, Ekesi S: </w:t>
      </w:r>
      <w:r w:rsidRPr="005620D3">
        <w:rPr>
          <w:b/>
          <w:bCs/>
          <w:lang w:val="en-GB"/>
        </w:rPr>
        <w:t>Economic analysis of spillover effects of an integrated pest management (IPM) strategy for suppression of mango fruit fly in Kenya</w:t>
      </w:r>
      <w:r w:rsidRPr="005620D3">
        <w:rPr>
          <w:lang w:val="en-GB"/>
        </w:rPr>
        <w:t xml:space="preserve">. </w:t>
      </w:r>
      <w:r w:rsidRPr="005620D3">
        <w:rPr>
          <w:i/>
          <w:iCs/>
          <w:lang w:val="en-GB"/>
        </w:rPr>
        <w:t>Food Policy</w:t>
      </w:r>
      <w:r w:rsidRPr="005620D3">
        <w:rPr>
          <w:lang w:val="en-GB"/>
        </w:rPr>
        <w:t xml:space="preserve"> 2019, </w:t>
      </w:r>
      <w:r w:rsidRPr="005620D3">
        <w:rPr>
          <w:b/>
          <w:bCs/>
          <w:lang w:val="en-GB"/>
        </w:rPr>
        <w:t>84</w:t>
      </w:r>
      <w:r w:rsidRPr="005620D3">
        <w:rPr>
          <w:lang w:val="en-GB"/>
        </w:rPr>
        <w:t>:121–132.</w:t>
      </w:r>
    </w:p>
    <w:p w14:paraId="4E9F160A" w14:textId="77777777" w:rsidR="005620D3" w:rsidRPr="005620D3" w:rsidRDefault="005620D3" w:rsidP="005620D3">
      <w:pPr>
        <w:pStyle w:val="Bibliography"/>
        <w:rPr>
          <w:lang w:val="en-GB"/>
        </w:rPr>
      </w:pPr>
      <w:r w:rsidRPr="005620D3">
        <w:rPr>
          <w:lang w:val="en-GB"/>
        </w:rPr>
        <w:t xml:space="preserve">36. </w:t>
      </w:r>
      <w:r w:rsidRPr="005620D3">
        <w:rPr>
          <w:lang w:val="en-GB"/>
        </w:rPr>
        <w:tab/>
        <w:t xml:space="preserve">José L, Cugala D, Santos L, Meyer M de: </w:t>
      </w:r>
      <w:r w:rsidRPr="005620D3">
        <w:rPr>
          <w:b/>
          <w:bCs/>
          <w:lang w:val="en-GB"/>
        </w:rPr>
        <w:t>Assessment of the socio-economic impact of the invasive fruit fly Bactrocera invadens (Diptera: Tephritidae) in Mozambique.</w:t>
      </w:r>
      <w:r w:rsidRPr="005620D3">
        <w:rPr>
          <w:lang w:val="en-GB"/>
        </w:rPr>
        <w:t xml:space="preserve">  RUFORUM; 2014.</w:t>
      </w:r>
    </w:p>
    <w:p w14:paraId="481D4AA9" w14:textId="77777777" w:rsidR="005620D3" w:rsidRPr="005620D3" w:rsidRDefault="005620D3" w:rsidP="005620D3">
      <w:pPr>
        <w:pStyle w:val="Bibliography"/>
        <w:rPr>
          <w:lang w:val="en-GB"/>
        </w:rPr>
      </w:pPr>
      <w:r w:rsidRPr="005620D3">
        <w:rPr>
          <w:lang w:val="en-GB"/>
        </w:rPr>
        <w:t xml:space="preserve">37. </w:t>
      </w:r>
      <w:r w:rsidRPr="005620D3">
        <w:rPr>
          <w:lang w:val="en-GB"/>
        </w:rPr>
        <w:tab/>
      </w:r>
      <w:r w:rsidRPr="005620D3">
        <w:rPr>
          <w:b/>
          <w:bCs/>
          <w:lang w:val="en-GB"/>
        </w:rPr>
        <w:t>Global programme for the prevention and control of h5n1 highly pathogenic avian influenza</w:t>
      </w:r>
      <w:r w:rsidRPr="005620D3">
        <w:rPr>
          <w:lang w:val="en-GB"/>
        </w:rPr>
        <w:t xml:space="preserve">. 2008, </w:t>
      </w:r>
    </w:p>
    <w:p w14:paraId="26C604BF" w14:textId="77777777" w:rsidR="005620D3" w:rsidRPr="005620D3" w:rsidRDefault="005620D3" w:rsidP="005620D3">
      <w:pPr>
        <w:pStyle w:val="Bibliography"/>
        <w:rPr>
          <w:lang w:val="en-GB"/>
        </w:rPr>
      </w:pPr>
      <w:r w:rsidRPr="005620D3">
        <w:rPr>
          <w:lang w:val="en-GB"/>
        </w:rPr>
        <w:t xml:space="preserve">38. </w:t>
      </w:r>
      <w:r w:rsidRPr="005620D3">
        <w:rPr>
          <w:lang w:val="en-GB"/>
        </w:rPr>
        <w:tab/>
        <w:t xml:space="preserve">Paul MC, Figuié M, Kovitvadhi A, Valeix S, Wongnarkpet S, Poolkhet C, Kasemsuwan S, Ducrot C, Roger F, Binot A: </w:t>
      </w:r>
      <w:r w:rsidRPr="005620D3">
        <w:rPr>
          <w:b/>
          <w:bCs/>
          <w:lang w:val="en-GB"/>
        </w:rPr>
        <w:t>Collective resistance to HPAI H5N1 surveillance in the Thai cockfighting community: Insights from a social anthropology study</w:t>
      </w:r>
      <w:r w:rsidRPr="005620D3">
        <w:rPr>
          <w:lang w:val="en-GB"/>
        </w:rPr>
        <w:t xml:space="preserve">. </w:t>
      </w:r>
      <w:r w:rsidRPr="005620D3">
        <w:rPr>
          <w:i/>
          <w:iCs/>
          <w:lang w:val="en-GB"/>
        </w:rPr>
        <w:t>Preventive Veterinary Medicine</w:t>
      </w:r>
      <w:r w:rsidRPr="005620D3">
        <w:rPr>
          <w:lang w:val="en-GB"/>
        </w:rPr>
        <w:t xml:space="preserve"> 2015, </w:t>
      </w:r>
      <w:r w:rsidRPr="005620D3">
        <w:rPr>
          <w:b/>
          <w:bCs/>
          <w:lang w:val="en-GB"/>
        </w:rPr>
        <w:t>120</w:t>
      </w:r>
      <w:r w:rsidRPr="005620D3">
        <w:rPr>
          <w:lang w:val="en-GB"/>
        </w:rPr>
        <w:t>:106–114.</w:t>
      </w:r>
    </w:p>
    <w:p w14:paraId="15B0D494" w14:textId="77777777" w:rsidR="005620D3" w:rsidRPr="005620D3" w:rsidRDefault="005620D3" w:rsidP="005620D3">
      <w:pPr>
        <w:pStyle w:val="Bibliography"/>
        <w:rPr>
          <w:lang w:val="en-GB"/>
        </w:rPr>
      </w:pPr>
      <w:r w:rsidRPr="005620D3">
        <w:rPr>
          <w:lang w:val="en-GB"/>
        </w:rPr>
        <w:t xml:space="preserve">39. </w:t>
      </w:r>
      <w:r w:rsidRPr="005620D3">
        <w:rPr>
          <w:lang w:val="en-GB"/>
        </w:rPr>
        <w:tab/>
        <w:t xml:space="preserve">To KK, Ng KH, Que T-L, Chan JM, Tsang K-Y, Tsang AK, Chen H, Yuen K-Y: </w:t>
      </w:r>
      <w:r w:rsidRPr="005620D3">
        <w:rPr>
          <w:b/>
          <w:bCs/>
          <w:lang w:val="en-GB"/>
        </w:rPr>
        <w:t>Avian influenza A H5N1 virus: a continuous threat to humans</w:t>
      </w:r>
      <w:r w:rsidRPr="005620D3">
        <w:rPr>
          <w:lang w:val="en-GB"/>
        </w:rPr>
        <w:t xml:space="preserve">. </w:t>
      </w:r>
      <w:r w:rsidRPr="005620D3">
        <w:rPr>
          <w:i/>
          <w:iCs/>
          <w:lang w:val="en-GB"/>
        </w:rPr>
        <w:t>Emerging Microbes &amp; Infections</w:t>
      </w:r>
      <w:r w:rsidRPr="005620D3">
        <w:rPr>
          <w:lang w:val="en-GB"/>
        </w:rPr>
        <w:t xml:space="preserve"> 2012, </w:t>
      </w:r>
      <w:r w:rsidRPr="005620D3">
        <w:rPr>
          <w:b/>
          <w:bCs/>
          <w:lang w:val="en-GB"/>
        </w:rPr>
        <w:t>1</w:t>
      </w:r>
      <w:r w:rsidRPr="005620D3">
        <w:rPr>
          <w:lang w:val="en-GB"/>
        </w:rPr>
        <w:t>:e25.</w:t>
      </w:r>
    </w:p>
    <w:p w14:paraId="3BD7E64A" w14:textId="77777777" w:rsidR="005620D3" w:rsidRPr="005620D3" w:rsidRDefault="005620D3" w:rsidP="005620D3">
      <w:pPr>
        <w:pStyle w:val="Bibliography"/>
        <w:rPr>
          <w:lang w:val="en-GB"/>
        </w:rPr>
      </w:pPr>
      <w:r w:rsidRPr="005620D3">
        <w:rPr>
          <w:lang w:val="en-GB"/>
        </w:rPr>
        <w:t xml:space="preserve">40. </w:t>
      </w:r>
      <w:r w:rsidRPr="005620D3">
        <w:rPr>
          <w:lang w:val="en-GB"/>
        </w:rPr>
        <w:tab/>
        <w:t xml:space="preserve">Anson V. Koehler JMPPLFJCFHSI: </w:t>
      </w:r>
      <w:r w:rsidRPr="005620D3">
        <w:rPr>
          <w:b/>
          <w:bCs/>
          <w:lang w:val="en-GB"/>
        </w:rPr>
        <w:t>Genetic evidence of intercontinental movement of avian influenza in a migratory bird: the northern pintail (</w:t>
      </w:r>
      <w:r w:rsidRPr="005620D3">
        <w:rPr>
          <w:b/>
          <w:bCs/>
          <w:i/>
          <w:iCs/>
          <w:lang w:val="en-GB"/>
        </w:rPr>
        <w:t>Anas acuta</w:t>
      </w:r>
      <w:r w:rsidRPr="005620D3">
        <w:rPr>
          <w:b/>
          <w:bCs/>
          <w:lang w:val="en-GB"/>
        </w:rPr>
        <w:t>)</w:t>
      </w:r>
      <w:r w:rsidRPr="005620D3">
        <w:rPr>
          <w:lang w:val="en-GB"/>
        </w:rPr>
        <w:t xml:space="preserve">. </w:t>
      </w:r>
      <w:r w:rsidRPr="005620D3">
        <w:rPr>
          <w:i/>
          <w:iCs/>
          <w:lang w:val="en-GB"/>
        </w:rPr>
        <w:t>Molecular Ecology</w:t>
      </w:r>
      <w:r w:rsidRPr="005620D3">
        <w:rPr>
          <w:lang w:val="en-GB"/>
        </w:rPr>
        <w:t xml:space="preserve"> 2008, </w:t>
      </w:r>
      <w:r w:rsidRPr="005620D3">
        <w:rPr>
          <w:b/>
          <w:bCs/>
          <w:lang w:val="en-GB"/>
        </w:rPr>
        <w:t>17</w:t>
      </w:r>
      <w:r w:rsidRPr="005620D3">
        <w:rPr>
          <w:lang w:val="en-GB"/>
        </w:rPr>
        <w:t>:4754–4762.</w:t>
      </w:r>
    </w:p>
    <w:p w14:paraId="64AA8B62" w14:textId="77777777" w:rsidR="005620D3" w:rsidRPr="005620D3" w:rsidRDefault="005620D3" w:rsidP="005620D3">
      <w:pPr>
        <w:pStyle w:val="Bibliography"/>
        <w:rPr>
          <w:lang w:val="en-GB"/>
        </w:rPr>
      </w:pPr>
      <w:r w:rsidRPr="005620D3">
        <w:rPr>
          <w:lang w:val="en-GB"/>
        </w:rPr>
        <w:t xml:space="preserve">41. </w:t>
      </w:r>
      <w:r w:rsidRPr="005620D3">
        <w:rPr>
          <w:lang w:val="en-GB"/>
        </w:rPr>
        <w:tab/>
        <w:t xml:space="preserve">Ali BM, van der Werf W, Oude Lansink A: </w:t>
      </w:r>
      <w:r w:rsidRPr="005620D3">
        <w:rPr>
          <w:b/>
          <w:bCs/>
          <w:lang w:val="en-GB"/>
        </w:rPr>
        <w:t>Assessment of the environmental impacts of Xylella fastidiosa subsp. pauca in Puglia</w:t>
      </w:r>
      <w:r w:rsidRPr="005620D3">
        <w:rPr>
          <w:lang w:val="en-GB"/>
        </w:rPr>
        <w:t xml:space="preserve">. </w:t>
      </w:r>
      <w:r w:rsidRPr="005620D3">
        <w:rPr>
          <w:i/>
          <w:iCs/>
          <w:lang w:val="en-GB"/>
        </w:rPr>
        <w:t>Crop Protection</w:t>
      </w:r>
      <w:r w:rsidRPr="005620D3">
        <w:rPr>
          <w:lang w:val="en-GB"/>
        </w:rPr>
        <w:t xml:space="preserve"> 2021, </w:t>
      </w:r>
      <w:r w:rsidRPr="005620D3">
        <w:rPr>
          <w:b/>
          <w:bCs/>
          <w:lang w:val="en-GB"/>
        </w:rPr>
        <w:t>142</w:t>
      </w:r>
      <w:r w:rsidRPr="005620D3">
        <w:rPr>
          <w:lang w:val="en-GB"/>
        </w:rPr>
        <w:t>:105519.</w:t>
      </w:r>
    </w:p>
    <w:p w14:paraId="7DB21B05" w14:textId="77777777" w:rsidR="005620D3" w:rsidRPr="005620D3" w:rsidRDefault="005620D3" w:rsidP="005620D3">
      <w:pPr>
        <w:pStyle w:val="Bibliography"/>
        <w:rPr>
          <w:lang w:val="en-GB"/>
        </w:rPr>
      </w:pPr>
      <w:r w:rsidRPr="005620D3">
        <w:rPr>
          <w:lang w:val="en-GB"/>
        </w:rPr>
        <w:t xml:space="preserve">42. </w:t>
      </w:r>
      <w:r w:rsidRPr="005620D3">
        <w:rPr>
          <w:lang w:val="en-GB"/>
        </w:rPr>
        <w:tab/>
        <w:t xml:space="preserve">Semeraro T, Gatto E, Buccolieri R, Vergine M, Gao Z, De Bellis L, Luvisi A: </w:t>
      </w:r>
      <w:r w:rsidRPr="005620D3">
        <w:rPr>
          <w:b/>
          <w:bCs/>
          <w:lang w:val="en-GB"/>
        </w:rPr>
        <w:t>Changes in Olive Urban Forests Infected by Xylella fastidiosa: Impact on Microclimate and Social Health</w:t>
      </w:r>
      <w:r w:rsidRPr="005620D3">
        <w:rPr>
          <w:lang w:val="en-GB"/>
        </w:rPr>
        <w:t xml:space="preserve">. </w:t>
      </w:r>
      <w:r w:rsidRPr="005620D3">
        <w:rPr>
          <w:i/>
          <w:iCs/>
          <w:lang w:val="en-GB"/>
        </w:rPr>
        <w:t>International Journal of Environmental Research and Public Health</w:t>
      </w:r>
      <w:r w:rsidRPr="005620D3">
        <w:rPr>
          <w:lang w:val="en-GB"/>
        </w:rPr>
        <w:t xml:space="preserve"> 2019, </w:t>
      </w:r>
      <w:r w:rsidRPr="005620D3">
        <w:rPr>
          <w:b/>
          <w:bCs/>
          <w:lang w:val="en-GB"/>
        </w:rPr>
        <w:t>16</w:t>
      </w:r>
      <w:r w:rsidRPr="005620D3">
        <w:rPr>
          <w:lang w:val="en-GB"/>
        </w:rPr>
        <w:t>:2642.</w:t>
      </w:r>
    </w:p>
    <w:p w14:paraId="34C388A7" w14:textId="77777777" w:rsidR="005620D3" w:rsidRPr="005620D3" w:rsidRDefault="005620D3" w:rsidP="005620D3">
      <w:pPr>
        <w:pStyle w:val="Bibliography"/>
        <w:rPr>
          <w:lang w:val="en-GB"/>
        </w:rPr>
      </w:pPr>
      <w:r w:rsidRPr="005620D3">
        <w:rPr>
          <w:lang w:val="en-GB"/>
        </w:rPr>
        <w:t xml:space="preserve">43. </w:t>
      </w:r>
      <w:r w:rsidRPr="005620D3">
        <w:rPr>
          <w:lang w:val="en-GB"/>
        </w:rPr>
        <w:tab/>
        <w:t xml:space="preserve">Semeraro T, Buccolieri R, Vergine M, Bellis LD, Luvisi A, Emmanuel R, Marwan N: </w:t>
      </w:r>
      <w:r w:rsidRPr="005620D3">
        <w:rPr>
          <w:b/>
          <w:bCs/>
          <w:lang w:val="en-GB"/>
        </w:rPr>
        <w:t>Analysis of Olive Grove Destruction by Xylella fastidiosa Bacterium on the Land Surface Temperature in Salento Detected Using Satellite Images</w:t>
      </w:r>
      <w:r w:rsidRPr="005620D3">
        <w:rPr>
          <w:lang w:val="en-GB"/>
        </w:rPr>
        <w:t xml:space="preserve">. </w:t>
      </w:r>
      <w:r w:rsidRPr="005620D3">
        <w:rPr>
          <w:i/>
          <w:iCs/>
          <w:lang w:val="en-GB"/>
        </w:rPr>
        <w:t>Forests</w:t>
      </w:r>
      <w:r w:rsidRPr="005620D3">
        <w:rPr>
          <w:lang w:val="en-GB"/>
        </w:rPr>
        <w:t xml:space="preserve"> 2021, </w:t>
      </w:r>
      <w:r w:rsidRPr="005620D3">
        <w:rPr>
          <w:b/>
          <w:bCs/>
          <w:lang w:val="en-GB"/>
        </w:rPr>
        <w:t>12</w:t>
      </w:r>
      <w:r w:rsidRPr="005620D3">
        <w:rPr>
          <w:lang w:val="en-GB"/>
        </w:rPr>
        <w:t>.</w:t>
      </w:r>
    </w:p>
    <w:p w14:paraId="4C5E2FA1" w14:textId="77777777" w:rsidR="005620D3" w:rsidRPr="005620D3" w:rsidRDefault="005620D3" w:rsidP="005620D3">
      <w:pPr>
        <w:pStyle w:val="Bibliography"/>
        <w:rPr>
          <w:lang w:val="en-GB"/>
        </w:rPr>
      </w:pPr>
      <w:r w:rsidRPr="005620D3">
        <w:rPr>
          <w:lang w:val="en-GB"/>
        </w:rPr>
        <w:lastRenderedPageBreak/>
        <w:t xml:space="preserve">44. </w:t>
      </w:r>
      <w:r w:rsidRPr="005620D3">
        <w:rPr>
          <w:lang w:val="en-GB"/>
        </w:rPr>
        <w:tab/>
        <w:t xml:space="preserve">Colella C, Carradore R, Cerroni A: </w:t>
      </w:r>
      <w:r w:rsidRPr="005620D3">
        <w:rPr>
          <w:b/>
          <w:bCs/>
          <w:lang w:val="en-GB"/>
        </w:rPr>
        <w:t>Problem Setting and Problem Solving in the Case of Olive Quick Decline Syndrome in Apulia, Italy: A Sociological Approach</w:t>
      </w:r>
      <w:r w:rsidRPr="005620D3">
        <w:rPr>
          <w:lang w:val="en-GB"/>
        </w:rPr>
        <w:t xml:space="preserve">. </w:t>
      </w:r>
      <w:r w:rsidRPr="005620D3">
        <w:rPr>
          <w:i/>
          <w:iCs/>
          <w:lang w:val="en-GB"/>
        </w:rPr>
        <w:t>Phytopathology</w:t>
      </w:r>
      <w:r w:rsidRPr="005620D3">
        <w:rPr>
          <w:lang w:val="en-GB"/>
        </w:rPr>
        <w:t xml:space="preserve"> 2019, </w:t>
      </w:r>
      <w:r w:rsidRPr="005620D3">
        <w:rPr>
          <w:b/>
          <w:bCs/>
          <w:lang w:val="en-GB"/>
        </w:rPr>
        <w:t>109</w:t>
      </w:r>
      <w:r w:rsidRPr="005620D3">
        <w:rPr>
          <w:lang w:val="en-GB"/>
        </w:rPr>
        <w:t>:187–199.</w:t>
      </w:r>
    </w:p>
    <w:p w14:paraId="54561FD5" w14:textId="77777777" w:rsidR="005620D3" w:rsidRPr="005620D3" w:rsidRDefault="005620D3" w:rsidP="005620D3">
      <w:pPr>
        <w:pStyle w:val="Bibliography"/>
        <w:rPr>
          <w:lang w:val="en-GB"/>
        </w:rPr>
      </w:pPr>
      <w:r w:rsidRPr="005620D3">
        <w:rPr>
          <w:lang w:val="en-GB"/>
        </w:rPr>
        <w:t xml:space="preserve">45. </w:t>
      </w:r>
      <w:r w:rsidRPr="005620D3">
        <w:rPr>
          <w:lang w:val="en-GB"/>
        </w:rPr>
        <w:tab/>
        <w:t xml:space="preserve">Schneider K, van der Werf W, Cendoya M, Mourits M, Navas-Cortés JA, Vicent A, Lansink AO: </w:t>
      </w:r>
      <w:r w:rsidRPr="005620D3">
        <w:rPr>
          <w:b/>
          <w:bCs/>
          <w:lang w:val="en-GB"/>
        </w:rPr>
        <w:t>Impact of Xylella fastidiosa subspecies pauca in European olives</w:t>
      </w:r>
      <w:r w:rsidRPr="005620D3">
        <w:rPr>
          <w:lang w:val="en-GB"/>
        </w:rPr>
        <w:t xml:space="preserve">. </w:t>
      </w:r>
      <w:r w:rsidRPr="005620D3">
        <w:rPr>
          <w:i/>
          <w:iCs/>
          <w:lang w:val="en-GB"/>
        </w:rPr>
        <w:t>Proceedings of the National Academy of Sciences of the United States of America</w:t>
      </w:r>
      <w:r w:rsidRPr="005620D3">
        <w:rPr>
          <w:lang w:val="en-GB"/>
        </w:rPr>
        <w:t xml:space="preserve"> 2020, </w:t>
      </w:r>
      <w:r w:rsidRPr="005620D3">
        <w:rPr>
          <w:b/>
          <w:bCs/>
          <w:lang w:val="en-GB"/>
        </w:rPr>
        <w:t>117</w:t>
      </w:r>
      <w:r w:rsidRPr="005620D3">
        <w:rPr>
          <w:lang w:val="en-GB"/>
        </w:rPr>
        <w:t>:9250–9259.</w:t>
      </w:r>
    </w:p>
    <w:p w14:paraId="0710213F" w14:textId="77777777" w:rsidR="005620D3" w:rsidRPr="005620D3" w:rsidRDefault="005620D3" w:rsidP="005620D3">
      <w:pPr>
        <w:pStyle w:val="Bibliography"/>
        <w:rPr>
          <w:lang w:val="en-GB"/>
        </w:rPr>
      </w:pPr>
      <w:r w:rsidRPr="005620D3">
        <w:rPr>
          <w:lang w:val="en-GB"/>
        </w:rPr>
        <w:t xml:space="preserve">46. </w:t>
      </w:r>
      <w:r w:rsidRPr="005620D3">
        <w:rPr>
          <w:lang w:val="en-GB"/>
        </w:rPr>
        <w:tab/>
        <w:t xml:space="preserve">Health (PLH) EP on P, Bragard C, Dehnen-Schmutz K, Di Serio F, Gonthier P, Jacques M-A, Jaques Miret JA, Justesen AF, MacLeod A, Magnusson CS, et al.: </w:t>
      </w:r>
      <w:r w:rsidRPr="005620D3">
        <w:rPr>
          <w:b/>
          <w:bCs/>
          <w:lang w:val="en-GB"/>
        </w:rPr>
        <w:t>Update of the Scientific Opinion on the risks to plant health posed by Xylella fastidiosa in the EU territory</w:t>
      </w:r>
      <w:r w:rsidRPr="005620D3">
        <w:rPr>
          <w:lang w:val="en-GB"/>
        </w:rPr>
        <w:t xml:space="preserve">. </w:t>
      </w:r>
      <w:r w:rsidRPr="005620D3">
        <w:rPr>
          <w:i/>
          <w:iCs/>
          <w:lang w:val="en-GB"/>
        </w:rPr>
        <w:t>EFSA Journal</w:t>
      </w:r>
      <w:r w:rsidRPr="005620D3">
        <w:rPr>
          <w:lang w:val="en-GB"/>
        </w:rPr>
        <w:t xml:space="preserve"> 2019, </w:t>
      </w:r>
      <w:r w:rsidRPr="005620D3">
        <w:rPr>
          <w:b/>
          <w:bCs/>
          <w:lang w:val="en-GB"/>
        </w:rPr>
        <w:t>17</w:t>
      </w:r>
      <w:r w:rsidRPr="005620D3">
        <w:rPr>
          <w:lang w:val="en-GB"/>
        </w:rPr>
        <w:t>:e05665.</w:t>
      </w:r>
    </w:p>
    <w:p w14:paraId="10D832D3" w14:textId="77777777" w:rsidR="005620D3" w:rsidRPr="005620D3" w:rsidRDefault="005620D3" w:rsidP="005620D3">
      <w:pPr>
        <w:pStyle w:val="Bibliography"/>
        <w:rPr>
          <w:lang w:val="en-GB"/>
        </w:rPr>
      </w:pPr>
      <w:r w:rsidRPr="005620D3">
        <w:rPr>
          <w:lang w:val="en-GB"/>
        </w:rPr>
        <w:t xml:space="preserve">47. </w:t>
      </w:r>
      <w:r w:rsidRPr="005620D3">
        <w:rPr>
          <w:lang w:val="en-GB"/>
        </w:rPr>
        <w:tab/>
        <w:t xml:space="preserve">Abbott A: </w:t>
      </w:r>
      <w:r w:rsidRPr="005620D3">
        <w:rPr>
          <w:b/>
          <w:bCs/>
          <w:lang w:val="en-GB"/>
        </w:rPr>
        <w:t>Scientists blamed for olive-tree ruin</w:t>
      </w:r>
      <w:r w:rsidRPr="005620D3">
        <w:rPr>
          <w:lang w:val="en-GB"/>
        </w:rPr>
        <w:t xml:space="preserve">. </w:t>
      </w:r>
      <w:r w:rsidRPr="005620D3">
        <w:rPr>
          <w:i/>
          <w:iCs/>
          <w:lang w:val="en-GB"/>
        </w:rPr>
        <w:t>Nature</w:t>
      </w:r>
      <w:r w:rsidRPr="005620D3">
        <w:rPr>
          <w:lang w:val="en-GB"/>
        </w:rPr>
        <w:t xml:space="preserve"> 2015, </w:t>
      </w:r>
      <w:r w:rsidRPr="005620D3">
        <w:rPr>
          <w:b/>
          <w:bCs/>
          <w:lang w:val="en-GB"/>
        </w:rPr>
        <w:t>522</w:t>
      </w:r>
      <w:r w:rsidRPr="005620D3">
        <w:rPr>
          <w:lang w:val="en-GB"/>
        </w:rPr>
        <w:t>:13–14.</w:t>
      </w:r>
    </w:p>
    <w:p w14:paraId="51228053" w14:textId="77777777" w:rsidR="005620D3" w:rsidRPr="005620D3" w:rsidRDefault="005620D3" w:rsidP="005620D3">
      <w:pPr>
        <w:pStyle w:val="Bibliography"/>
        <w:rPr>
          <w:lang w:val="en-GB"/>
        </w:rPr>
      </w:pPr>
      <w:r w:rsidRPr="005620D3">
        <w:rPr>
          <w:lang w:val="en-GB"/>
        </w:rPr>
        <w:t xml:space="preserve">48. </w:t>
      </w:r>
      <w:r w:rsidRPr="005620D3">
        <w:rPr>
          <w:lang w:val="en-GB"/>
        </w:rPr>
        <w:tab/>
        <w:t xml:space="preserve">Abbott A: </w:t>
      </w:r>
      <w:r w:rsidRPr="005620D3">
        <w:rPr>
          <w:b/>
          <w:bCs/>
          <w:lang w:val="en-GB"/>
        </w:rPr>
        <w:t>Italian scientists under investigation after olive-tree deaths</w:t>
      </w:r>
      <w:r w:rsidRPr="005620D3">
        <w:rPr>
          <w:lang w:val="en-GB"/>
        </w:rPr>
        <w:t xml:space="preserve">. </w:t>
      </w:r>
      <w:r w:rsidRPr="005620D3">
        <w:rPr>
          <w:i/>
          <w:iCs/>
          <w:lang w:val="en-GB"/>
        </w:rPr>
        <w:t>Nature</w:t>
      </w:r>
      <w:r w:rsidRPr="005620D3">
        <w:rPr>
          <w:lang w:val="en-GB"/>
        </w:rPr>
        <w:t xml:space="preserve"> 2015, doi:10.1038/nature.2015.19078.</w:t>
      </w:r>
    </w:p>
    <w:p w14:paraId="33A1C86B" w14:textId="77777777" w:rsidR="005620D3" w:rsidRPr="005620D3" w:rsidRDefault="005620D3" w:rsidP="005620D3">
      <w:pPr>
        <w:pStyle w:val="Bibliography"/>
        <w:rPr>
          <w:lang w:val="en-GB"/>
        </w:rPr>
      </w:pPr>
      <w:r w:rsidRPr="005620D3">
        <w:rPr>
          <w:lang w:val="en-GB"/>
        </w:rPr>
        <w:t xml:space="preserve">49. </w:t>
      </w:r>
      <w:r w:rsidRPr="005620D3">
        <w:rPr>
          <w:lang w:val="en-GB"/>
        </w:rPr>
        <w:tab/>
        <w:t xml:space="preserve">Morelli M, García-Madero JM, Jos Á, Saldarelli P, Dongiovanni C, Kovacova M, Saponari M, Baños Arjona A, Hackl E, Webb S, et al.: </w:t>
      </w:r>
      <w:r w:rsidRPr="005620D3">
        <w:rPr>
          <w:b/>
          <w:bCs/>
          <w:lang w:val="en-GB"/>
        </w:rPr>
        <w:t>Xylella fastidiosa in Olive: A Review of Control Attempts and Current Management</w:t>
      </w:r>
      <w:r w:rsidRPr="005620D3">
        <w:rPr>
          <w:lang w:val="en-GB"/>
        </w:rPr>
        <w:t xml:space="preserve">. </w:t>
      </w:r>
      <w:r w:rsidRPr="005620D3">
        <w:rPr>
          <w:i/>
          <w:iCs/>
          <w:lang w:val="en-GB"/>
        </w:rPr>
        <w:t>Microorganisms</w:t>
      </w:r>
      <w:r w:rsidRPr="005620D3">
        <w:rPr>
          <w:lang w:val="en-GB"/>
        </w:rPr>
        <w:t xml:space="preserve"> 2021, </w:t>
      </w:r>
      <w:r w:rsidRPr="005620D3">
        <w:rPr>
          <w:b/>
          <w:bCs/>
          <w:lang w:val="en-GB"/>
        </w:rPr>
        <w:t>9</w:t>
      </w:r>
      <w:r w:rsidRPr="005620D3">
        <w:rPr>
          <w:lang w:val="en-GB"/>
        </w:rPr>
        <w:t>:1771.</w:t>
      </w:r>
    </w:p>
    <w:p w14:paraId="609289A9" w14:textId="77777777" w:rsidR="005620D3" w:rsidRPr="005620D3" w:rsidRDefault="005620D3" w:rsidP="005620D3">
      <w:pPr>
        <w:pStyle w:val="Bibliography"/>
        <w:rPr>
          <w:lang w:val="en-GB"/>
        </w:rPr>
      </w:pPr>
      <w:r w:rsidRPr="005620D3">
        <w:rPr>
          <w:lang w:val="en-GB"/>
        </w:rPr>
        <w:t xml:space="preserve">50. </w:t>
      </w:r>
      <w:r w:rsidRPr="005620D3">
        <w:rPr>
          <w:lang w:val="en-GB"/>
        </w:rPr>
        <w:tab/>
        <w:t xml:space="preserve">Cunty A, Legendre B, de Jerphanion P, Dousset C, Forveille A, Paillard S, Olivier V: </w:t>
      </w:r>
      <w:r w:rsidRPr="005620D3">
        <w:rPr>
          <w:b/>
          <w:bCs/>
          <w:lang w:val="en-GB"/>
        </w:rPr>
        <w:t>Update of the Xylella fastidiosa outbreak in France: two new variants detected and a new region affected</w:t>
      </w:r>
      <w:r w:rsidRPr="005620D3">
        <w:rPr>
          <w:lang w:val="en-GB"/>
        </w:rPr>
        <w:t xml:space="preserve">. </w:t>
      </w:r>
      <w:r w:rsidRPr="005620D3">
        <w:rPr>
          <w:i/>
          <w:iCs/>
          <w:lang w:val="en-GB"/>
        </w:rPr>
        <w:t>Eur J Plant Pathol</w:t>
      </w:r>
      <w:r w:rsidRPr="005620D3">
        <w:rPr>
          <w:lang w:val="en-GB"/>
        </w:rPr>
        <w:t xml:space="preserve"> 2022, </w:t>
      </w:r>
      <w:r w:rsidRPr="005620D3">
        <w:rPr>
          <w:b/>
          <w:bCs/>
          <w:lang w:val="en-GB"/>
        </w:rPr>
        <w:t>163</w:t>
      </w:r>
      <w:r w:rsidRPr="005620D3">
        <w:rPr>
          <w:lang w:val="en-GB"/>
        </w:rPr>
        <w:t>:505–510.</w:t>
      </w:r>
    </w:p>
    <w:p w14:paraId="70B7FB99" w14:textId="77777777" w:rsidR="005620D3" w:rsidRPr="005620D3" w:rsidRDefault="005620D3" w:rsidP="005620D3">
      <w:pPr>
        <w:pStyle w:val="Bibliography"/>
        <w:rPr>
          <w:lang w:val="en-GB"/>
        </w:rPr>
      </w:pPr>
      <w:r w:rsidRPr="005620D3">
        <w:rPr>
          <w:lang w:val="en-GB"/>
        </w:rPr>
        <w:t xml:space="preserve">51. </w:t>
      </w:r>
      <w:r w:rsidRPr="005620D3">
        <w:rPr>
          <w:lang w:val="en-GB"/>
        </w:rPr>
        <w:tab/>
        <w:t xml:space="preserve">Olmo D, Nieto A, Borràs D, Montesinos M, Adrover F, Pascual A, Gost PA, Quetglas B, Urbano A, García J de D, et al.: </w:t>
      </w:r>
      <w:r w:rsidRPr="005620D3">
        <w:rPr>
          <w:b/>
          <w:bCs/>
          <w:lang w:val="en-GB"/>
        </w:rPr>
        <w:t>Landscape Epidemiology of Xylella fastidiosa in the Balearic Islands</w:t>
      </w:r>
      <w:r w:rsidRPr="005620D3">
        <w:rPr>
          <w:lang w:val="en-GB"/>
        </w:rPr>
        <w:t xml:space="preserve">. </w:t>
      </w:r>
      <w:r w:rsidRPr="005620D3">
        <w:rPr>
          <w:i/>
          <w:iCs/>
          <w:lang w:val="en-GB"/>
        </w:rPr>
        <w:t>Agronomy</w:t>
      </w:r>
      <w:r w:rsidRPr="005620D3">
        <w:rPr>
          <w:lang w:val="en-GB"/>
        </w:rPr>
        <w:t xml:space="preserve"> 2021, </w:t>
      </w:r>
      <w:r w:rsidRPr="005620D3">
        <w:rPr>
          <w:b/>
          <w:bCs/>
          <w:lang w:val="en-GB"/>
        </w:rPr>
        <w:t>11</w:t>
      </w:r>
      <w:r w:rsidRPr="005620D3">
        <w:rPr>
          <w:lang w:val="en-GB"/>
        </w:rPr>
        <w:t>:473.</w:t>
      </w:r>
    </w:p>
    <w:p w14:paraId="5D3C094D" w14:textId="77777777" w:rsidR="005620D3" w:rsidRPr="005620D3" w:rsidRDefault="005620D3" w:rsidP="005620D3">
      <w:pPr>
        <w:pStyle w:val="Bibliography"/>
        <w:rPr>
          <w:lang w:val="en-GB"/>
        </w:rPr>
      </w:pPr>
      <w:r w:rsidRPr="005620D3">
        <w:rPr>
          <w:lang w:val="en-GB"/>
        </w:rPr>
        <w:t xml:space="preserve">52. </w:t>
      </w:r>
      <w:r w:rsidRPr="005620D3">
        <w:rPr>
          <w:lang w:val="en-GB"/>
        </w:rPr>
        <w:tab/>
        <w:t xml:space="preserve">Cline TD, Karlsson EA, Freiden P, Seufzer BJ, Rehg JE, Webby RJ, Schultz-Cherry S: </w:t>
      </w:r>
      <w:r w:rsidRPr="005620D3">
        <w:rPr>
          <w:b/>
          <w:bCs/>
          <w:lang w:val="en-GB"/>
        </w:rPr>
        <w:t>Increased Pathogenicity of a Reassortant 2009 Pandemic H1N1 Influenza Virus Containing an H5N1 Hemagglutinin.</w:t>
      </w:r>
      <w:r w:rsidRPr="005620D3">
        <w:rPr>
          <w:lang w:val="en-GB"/>
        </w:rPr>
        <w:t xml:space="preserve"> </w:t>
      </w:r>
      <w:r w:rsidRPr="005620D3">
        <w:rPr>
          <w:i/>
          <w:iCs/>
          <w:lang w:val="en-GB"/>
        </w:rPr>
        <w:t>Journal of virology</w:t>
      </w:r>
      <w:r w:rsidRPr="005620D3">
        <w:rPr>
          <w:lang w:val="en-GB"/>
        </w:rPr>
        <w:t xml:space="preserve"> 2011, </w:t>
      </w:r>
      <w:r w:rsidRPr="005620D3">
        <w:rPr>
          <w:b/>
          <w:bCs/>
          <w:lang w:val="en-GB"/>
        </w:rPr>
        <w:t>85</w:t>
      </w:r>
      <w:r w:rsidRPr="005620D3">
        <w:rPr>
          <w:lang w:val="en-GB"/>
        </w:rPr>
        <w:t>:12262–70.</w:t>
      </w:r>
    </w:p>
    <w:p w14:paraId="633DBE64" w14:textId="77777777" w:rsidR="005620D3" w:rsidRPr="005620D3" w:rsidRDefault="005620D3" w:rsidP="005620D3">
      <w:pPr>
        <w:pStyle w:val="Bibliography"/>
        <w:rPr>
          <w:lang w:val="en-GB"/>
        </w:rPr>
      </w:pPr>
      <w:r w:rsidRPr="005620D3">
        <w:rPr>
          <w:lang w:val="en-GB"/>
        </w:rPr>
        <w:t xml:space="preserve">53. </w:t>
      </w:r>
      <w:r w:rsidRPr="005620D3">
        <w:rPr>
          <w:lang w:val="en-GB"/>
        </w:rPr>
        <w:tab/>
        <w:t xml:space="preserve">Zehender G, Pariani E, Piralla A, Lai A, Gabanelli E, Ranghiero A, Ebranati E, Amendola A, Campanini G, Rovida F, et al.: </w:t>
      </w:r>
      <w:r w:rsidRPr="005620D3">
        <w:rPr>
          <w:b/>
          <w:bCs/>
          <w:lang w:val="en-GB"/>
        </w:rPr>
        <w:t>Reconstruction of the Evolutionary Dynamics of the A(H1N1)pdm09 Influenza Virus in Italy during the Pandemic and Post-Pandemic Phases</w:t>
      </w:r>
      <w:r w:rsidRPr="005620D3">
        <w:rPr>
          <w:lang w:val="en-GB"/>
        </w:rPr>
        <w:t xml:space="preserve">. </w:t>
      </w:r>
      <w:r w:rsidRPr="005620D3">
        <w:rPr>
          <w:i/>
          <w:iCs/>
          <w:lang w:val="en-GB"/>
        </w:rPr>
        <w:t>Plos One</w:t>
      </w:r>
      <w:r w:rsidRPr="005620D3">
        <w:rPr>
          <w:lang w:val="en-GB"/>
        </w:rPr>
        <w:t xml:space="preserve"> 2012, </w:t>
      </w:r>
      <w:r w:rsidRPr="005620D3">
        <w:rPr>
          <w:b/>
          <w:bCs/>
          <w:lang w:val="en-GB"/>
        </w:rPr>
        <w:t>7</w:t>
      </w:r>
      <w:r w:rsidRPr="005620D3">
        <w:rPr>
          <w:lang w:val="en-GB"/>
        </w:rPr>
        <w:t>.</w:t>
      </w:r>
    </w:p>
    <w:p w14:paraId="52BDDFFD" w14:textId="77777777" w:rsidR="005620D3" w:rsidRPr="005620D3" w:rsidRDefault="005620D3" w:rsidP="005620D3">
      <w:pPr>
        <w:pStyle w:val="Bibliography"/>
        <w:rPr>
          <w:lang w:val="en-GB"/>
        </w:rPr>
      </w:pPr>
      <w:r w:rsidRPr="005620D3">
        <w:rPr>
          <w:lang w:val="en-GB"/>
        </w:rPr>
        <w:t xml:space="preserve">54. </w:t>
      </w:r>
      <w:r w:rsidRPr="005620D3">
        <w:rPr>
          <w:lang w:val="en-GB"/>
        </w:rPr>
        <w:tab/>
        <w:t xml:space="preserve">Van Kerkhove MD, Asikainen T, Becker NG, Bjorge S, Desenclos J-C, dos Santos T, Fraser C, Leung GM, Lipsitch M, Longini IM, et al.: </w:t>
      </w:r>
      <w:r w:rsidRPr="005620D3">
        <w:rPr>
          <w:b/>
          <w:bCs/>
          <w:lang w:val="en-GB"/>
        </w:rPr>
        <w:t>Studies needed to address public health challenges of the 2009 H1N1 influenza pandemic: insights from modeling.</w:t>
      </w:r>
      <w:r w:rsidRPr="005620D3">
        <w:rPr>
          <w:lang w:val="en-GB"/>
        </w:rPr>
        <w:t xml:space="preserve"> </w:t>
      </w:r>
      <w:r w:rsidRPr="005620D3">
        <w:rPr>
          <w:i/>
          <w:iCs/>
          <w:lang w:val="en-GB"/>
        </w:rPr>
        <w:t>PLoS medicine</w:t>
      </w:r>
      <w:r w:rsidRPr="005620D3">
        <w:rPr>
          <w:lang w:val="en-GB"/>
        </w:rPr>
        <w:t xml:space="preserve"> 2010, </w:t>
      </w:r>
      <w:r w:rsidRPr="005620D3">
        <w:rPr>
          <w:b/>
          <w:bCs/>
          <w:lang w:val="en-GB"/>
        </w:rPr>
        <w:t>7</w:t>
      </w:r>
      <w:r w:rsidRPr="005620D3">
        <w:rPr>
          <w:lang w:val="en-GB"/>
        </w:rPr>
        <w:t>:e1000275.</w:t>
      </w:r>
    </w:p>
    <w:p w14:paraId="5946C8B2" w14:textId="77777777" w:rsidR="005620D3" w:rsidRPr="005620D3" w:rsidRDefault="005620D3" w:rsidP="005620D3">
      <w:pPr>
        <w:pStyle w:val="Bibliography"/>
        <w:rPr>
          <w:lang w:val="en-GB"/>
        </w:rPr>
      </w:pPr>
      <w:r w:rsidRPr="005620D3">
        <w:rPr>
          <w:lang w:val="en-GB"/>
        </w:rPr>
        <w:t xml:space="preserve">55. </w:t>
      </w:r>
      <w:r w:rsidRPr="005620D3">
        <w:rPr>
          <w:lang w:val="en-GB"/>
        </w:rPr>
        <w:tab/>
        <w:t xml:space="preserve">Abdussamad J, Aris-Brosou S: </w:t>
      </w:r>
      <w:r w:rsidRPr="005620D3">
        <w:rPr>
          <w:b/>
          <w:bCs/>
          <w:lang w:val="en-GB"/>
        </w:rPr>
        <w:t>The nonadaptive nature of the H1N1 2009 Swine Flu pandemic contrasts with the adaptive facilitation of transmission to a new host</w:t>
      </w:r>
      <w:r w:rsidRPr="005620D3">
        <w:rPr>
          <w:lang w:val="en-GB"/>
        </w:rPr>
        <w:t xml:space="preserve">. </w:t>
      </w:r>
      <w:r w:rsidRPr="005620D3">
        <w:rPr>
          <w:i/>
          <w:iCs/>
          <w:lang w:val="en-GB"/>
        </w:rPr>
        <w:t>Bmc Evolutionary Biology</w:t>
      </w:r>
      <w:r w:rsidRPr="005620D3">
        <w:rPr>
          <w:lang w:val="en-GB"/>
        </w:rPr>
        <w:t xml:space="preserve"> 2011, </w:t>
      </w:r>
      <w:r w:rsidRPr="005620D3">
        <w:rPr>
          <w:b/>
          <w:bCs/>
          <w:lang w:val="en-GB"/>
        </w:rPr>
        <w:t>11</w:t>
      </w:r>
      <w:r w:rsidRPr="005620D3">
        <w:rPr>
          <w:lang w:val="en-GB"/>
        </w:rPr>
        <w:t>.</w:t>
      </w:r>
    </w:p>
    <w:p w14:paraId="0B8E4210" w14:textId="77777777" w:rsidR="005620D3" w:rsidRPr="005620D3" w:rsidRDefault="005620D3" w:rsidP="005620D3">
      <w:pPr>
        <w:pStyle w:val="Bibliography"/>
        <w:rPr>
          <w:lang w:val="en-GB"/>
        </w:rPr>
      </w:pPr>
      <w:r w:rsidRPr="005620D3">
        <w:rPr>
          <w:lang w:val="en-GB"/>
        </w:rPr>
        <w:t xml:space="preserve">56. </w:t>
      </w:r>
      <w:r w:rsidRPr="005620D3">
        <w:rPr>
          <w:lang w:val="en-GB"/>
        </w:rPr>
        <w:tab/>
        <w:t xml:space="preserve">Dupre SI, Harvey CA, Holland MB: </w:t>
      </w:r>
      <w:r w:rsidRPr="005620D3">
        <w:rPr>
          <w:b/>
          <w:bCs/>
          <w:lang w:val="en-GB"/>
        </w:rPr>
        <w:t>The impact of coffee leaf rust on migration by smallholder coffee farmers in Guatemala</w:t>
      </w:r>
      <w:r w:rsidRPr="005620D3">
        <w:rPr>
          <w:lang w:val="en-GB"/>
        </w:rPr>
        <w:t xml:space="preserve">. </w:t>
      </w:r>
      <w:r w:rsidRPr="005620D3">
        <w:rPr>
          <w:i/>
          <w:iCs/>
          <w:lang w:val="en-GB"/>
        </w:rPr>
        <w:t>World Development</w:t>
      </w:r>
      <w:r w:rsidRPr="005620D3">
        <w:rPr>
          <w:lang w:val="en-GB"/>
        </w:rPr>
        <w:t xml:space="preserve"> 2022, </w:t>
      </w:r>
      <w:r w:rsidRPr="005620D3">
        <w:rPr>
          <w:b/>
          <w:bCs/>
          <w:lang w:val="en-GB"/>
        </w:rPr>
        <w:t>156</w:t>
      </w:r>
      <w:r w:rsidRPr="005620D3">
        <w:rPr>
          <w:lang w:val="en-GB"/>
        </w:rPr>
        <w:t>:105918.</w:t>
      </w:r>
    </w:p>
    <w:p w14:paraId="6B891AC7" w14:textId="77777777" w:rsidR="005620D3" w:rsidRPr="005620D3" w:rsidRDefault="005620D3" w:rsidP="005620D3">
      <w:pPr>
        <w:pStyle w:val="Bibliography"/>
        <w:rPr>
          <w:lang w:val="en-GB"/>
        </w:rPr>
      </w:pPr>
      <w:r w:rsidRPr="005620D3">
        <w:rPr>
          <w:lang w:val="en-GB"/>
        </w:rPr>
        <w:lastRenderedPageBreak/>
        <w:t xml:space="preserve">57. </w:t>
      </w:r>
      <w:r w:rsidRPr="005620D3">
        <w:rPr>
          <w:lang w:val="en-GB"/>
        </w:rPr>
        <w:tab/>
        <w:t xml:space="preserve">Avelino J, Cristancho M, Georgiou S, Imbach P, Aguilar L, Bornemann G, Läderach P, Anzueto F, Hruska AJ, Morales C: </w:t>
      </w:r>
      <w:r w:rsidRPr="005620D3">
        <w:rPr>
          <w:b/>
          <w:bCs/>
          <w:lang w:val="en-GB"/>
        </w:rPr>
        <w:t>The coffee rust crises in Colombia and Central America (2008–2013): impacts, plausible causes and proposed solutions</w:t>
      </w:r>
      <w:r w:rsidRPr="005620D3">
        <w:rPr>
          <w:lang w:val="en-GB"/>
        </w:rPr>
        <w:t xml:space="preserve">. </w:t>
      </w:r>
      <w:r w:rsidRPr="005620D3">
        <w:rPr>
          <w:i/>
          <w:iCs/>
          <w:lang w:val="en-GB"/>
        </w:rPr>
        <w:t>Food Security</w:t>
      </w:r>
      <w:r w:rsidRPr="005620D3">
        <w:rPr>
          <w:lang w:val="en-GB"/>
        </w:rPr>
        <w:t xml:space="preserve"> 2015, </w:t>
      </w:r>
      <w:r w:rsidRPr="005620D3">
        <w:rPr>
          <w:b/>
          <w:bCs/>
          <w:lang w:val="en-GB"/>
        </w:rPr>
        <w:t>7</w:t>
      </w:r>
      <w:r w:rsidRPr="005620D3">
        <w:rPr>
          <w:lang w:val="en-GB"/>
        </w:rPr>
        <w:t>:303–321.</w:t>
      </w:r>
    </w:p>
    <w:p w14:paraId="05D542A0" w14:textId="77777777" w:rsidR="005620D3" w:rsidRPr="005620D3" w:rsidRDefault="005620D3" w:rsidP="005620D3">
      <w:pPr>
        <w:pStyle w:val="Bibliography"/>
        <w:rPr>
          <w:lang w:val="en-GB"/>
        </w:rPr>
      </w:pPr>
      <w:r w:rsidRPr="005620D3">
        <w:rPr>
          <w:lang w:val="en-GB"/>
        </w:rPr>
        <w:t xml:space="preserve">58. </w:t>
      </w:r>
      <w:r w:rsidRPr="005620D3">
        <w:rPr>
          <w:lang w:val="en-GB"/>
        </w:rPr>
        <w:tab/>
        <w:t xml:space="preserve">McCook S, Vandermeer J: </w:t>
      </w:r>
      <w:r w:rsidRPr="005620D3">
        <w:rPr>
          <w:b/>
          <w:bCs/>
          <w:lang w:val="en-GB"/>
        </w:rPr>
        <w:t>The Big Rust and the Red Queen: Long-term perspectives on coffee rust research</w:t>
      </w:r>
      <w:r w:rsidRPr="005620D3">
        <w:rPr>
          <w:lang w:val="en-GB"/>
        </w:rPr>
        <w:t xml:space="preserve">. </w:t>
      </w:r>
      <w:r w:rsidRPr="005620D3">
        <w:rPr>
          <w:i/>
          <w:iCs/>
          <w:lang w:val="en-GB"/>
        </w:rPr>
        <w:t>Phytopathology</w:t>
      </w:r>
      <w:r w:rsidRPr="005620D3">
        <w:rPr>
          <w:lang w:val="en-GB"/>
        </w:rPr>
        <w:t xml:space="preserve"> 2015, </w:t>
      </w:r>
      <w:r w:rsidRPr="005620D3">
        <w:rPr>
          <w:b/>
          <w:bCs/>
          <w:lang w:val="en-GB"/>
        </w:rPr>
        <w:t>105</w:t>
      </w:r>
      <w:r w:rsidRPr="005620D3">
        <w:rPr>
          <w:lang w:val="en-GB"/>
        </w:rPr>
        <w:t>:1164–1173.</w:t>
      </w:r>
    </w:p>
    <w:p w14:paraId="6169B131" w14:textId="77777777" w:rsidR="005620D3" w:rsidRPr="005620D3" w:rsidRDefault="005620D3" w:rsidP="005620D3">
      <w:pPr>
        <w:pStyle w:val="Bibliography"/>
        <w:rPr>
          <w:lang w:val="en-GB"/>
        </w:rPr>
      </w:pPr>
      <w:r w:rsidRPr="005620D3">
        <w:rPr>
          <w:lang w:val="en-GB"/>
        </w:rPr>
        <w:t xml:space="preserve">59. </w:t>
      </w:r>
      <w:r w:rsidRPr="005620D3">
        <w:rPr>
          <w:lang w:val="en-GB"/>
        </w:rPr>
        <w:tab/>
        <w:t xml:space="preserve">Lynch C: </w:t>
      </w:r>
      <w:r w:rsidRPr="005620D3">
        <w:rPr>
          <w:b/>
          <w:bCs/>
          <w:lang w:val="en-GB"/>
        </w:rPr>
        <w:t>The Impacts of Warming Coffee: The Climate Change-Coffee-Migration Nexus in the Northern Triangle of Central America</w:t>
      </w:r>
      <w:r w:rsidRPr="005620D3">
        <w:rPr>
          <w:lang w:val="en-GB"/>
        </w:rPr>
        <w:t xml:space="preserve">. </w:t>
      </w:r>
      <w:r w:rsidRPr="005620D3">
        <w:rPr>
          <w:i/>
          <w:iCs/>
          <w:lang w:val="en-GB"/>
        </w:rPr>
        <w:t>Independent Study Project (ISP) Collection</w:t>
      </w:r>
      <w:r w:rsidRPr="005620D3">
        <w:rPr>
          <w:lang w:val="en-GB"/>
        </w:rPr>
        <w:t xml:space="preserve"> 2019, </w:t>
      </w:r>
    </w:p>
    <w:p w14:paraId="2EBF8011" w14:textId="77777777" w:rsidR="005620D3" w:rsidRPr="005620D3" w:rsidRDefault="005620D3" w:rsidP="005620D3">
      <w:pPr>
        <w:pStyle w:val="Bibliography"/>
        <w:rPr>
          <w:lang w:val="en-GB"/>
        </w:rPr>
      </w:pPr>
      <w:r w:rsidRPr="005620D3">
        <w:rPr>
          <w:lang w:val="en-GB"/>
        </w:rPr>
        <w:t xml:space="preserve">60. </w:t>
      </w:r>
      <w:r w:rsidRPr="005620D3">
        <w:rPr>
          <w:lang w:val="en-GB"/>
        </w:rPr>
        <w:tab/>
        <w:t xml:space="preserve">Ruiz-de-Oña C, Rivera-Castañeda P, Merlín-Uribe Y: </w:t>
      </w:r>
      <w:r w:rsidRPr="005620D3">
        <w:rPr>
          <w:b/>
          <w:bCs/>
          <w:lang w:val="en-GB"/>
        </w:rPr>
        <w:t>Coffee, Migration and Climatic Changes: Challenging Adaptation Dichotomic Narratives in a Transborder Region</w:t>
      </w:r>
      <w:r w:rsidRPr="005620D3">
        <w:rPr>
          <w:lang w:val="en-GB"/>
        </w:rPr>
        <w:t xml:space="preserve">. </w:t>
      </w:r>
      <w:r w:rsidRPr="005620D3">
        <w:rPr>
          <w:i/>
          <w:iCs/>
          <w:lang w:val="en-GB"/>
        </w:rPr>
        <w:t>Social Sciences</w:t>
      </w:r>
      <w:r w:rsidRPr="005620D3">
        <w:rPr>
          <w:lang w:val="en-GB"/>
        </w:rPr>
        <w:t xml:space="preserve"> 2019, </w:t>
      </w:r>
      <w:r w:rsidRPr="005620D3">
        <w:rPr>
          <w:b/>
          <w:bCs/>
          <w:lang w:val="en-GB"/>
        </w:rPr>
        <w:t>8</w:t>
      </w:r>
      <w:r w:rsidRPr="005620D3">
        <w:rPr>
          <w:lang w:val="en-GB"/>
        </w:rPr>
        <w:t>:323.</w:t>
      </w:r>
    </w:p>
    <w:p w14:paraId="03A0C8CC" w14:textId="77777777" w:rsidR="005620D3" w:rsidRPr="005620D3" w:rsidRDefault="005620D3" w:rsidP="005620D3">
      <w:pPr>
        <w:pStyle w:val="Bibliography"/>
        <w:rPr>
          <w:lang w:val="en-GB"/>
        </w:rPr>
      </w:pPr>
      <w:r w:rsidRPr="005620D3">
        <w:rPr>
          <w:lang w:val="en-GB"/>
        </w:rPr>
        <w:t xml:space="preserve">61. </w:t>
      </w:r>
      <w:r w:rsidRPr="005620D3">
        <w:rPr>
          <w:lang w:val="en-GB"/>
        </w:rPr>
        <w:tab/>
        <w:t xml:space="preserve">McCook S: </w:t>
      </w:r>
      <w:r w:rsidRPr="005620D3">
        <w:rPr>
          <w:i/>
          <w:iCs/>
          <w:lang w:val="en-GB"/>
        </w:rPr>
        <w:t>Coffee Is Not Forever: A Global History of the Coffee Leaf Rust</w:t>
      </w:r>
      <w:r w:rsidRPr="005620D3">
        <w:rPr>
          <w:lang w:val="en-GB"/>
        </w:rPr>
        <w:t>. Ohio University Press; 2019.</w:t>
      </w:r>
    </w:p>
    <w:p w14:paraId="4A43EB90" w14:textId="77777777" w:rsidR="005620D3" w:rsidRPr="005620D3" w:rsidRDefault="005620D3" w:rsidP="005620D3">
      <w:pPr>
        <w:pStyle w:val="Bibliography"/>
        <w:rPr>
          <w:lang w:val="en-GB"/>
        </w:rPr>
      </w:pPr>
      <w:r w:rsidRPr="005620D3">
        <w:rPr>
          <w:lang w:val="en-GB"/>
        </w:rPr>
        <w:t xml:space="preserve">62. </w:t>
      </w:r>
      <w:r w:rsidRPr="005620D3">
        <w:rPr>
          <w:lang w:val="en-GB"/>
        </w:rPr>
        <w:tab/>
        <w:t xml:space="preserve">Liu ZY, Shi WF, Qin CF: </w:t>
      </w:r>
      <w:r w:rsidRPr="005620D3">
        <w:rPr>
          <w:b/>
          <w:bCs/>
          <w:lang w:val="en-GB"/>
        </w:rPr>
        <w:t>The evolution of Zika virus from Asia to the Americas</w:t>
      </w:r>
      <w:r w:rsidRPr="005620D3">
        <w:rPr>
          <w:lang w:val="en-GB"/>
        </w:rPr>
        <w:t xml:space="preserve">. </w:t>
      </w:r>
      <w:r w:rsidRPr="005620D3">
        <w:rPr>
          <w:i/>
          <w:iCs/>
          <w:lang w:val="en-GB"/>
        </w:rPr>
        <w:t>Nature Reviews Microbiology</w:t>
      </w:r>
      <w:r w:rsidRPr="005620D3">
        <w:rPr>
          <w:lang w:val="en-GB"/>
        </w:rPr>
        <w:t xml:space="preserve"> 2019, </w:t>
      </w:r>
      <w:r w:rsidRPr="005620D3">
        <w:rPr>
          <w:b/>
          <w:bCs/>
          <w:lang w:val="en-GB"/>
        </w:rPr>
        <w:t>17</w:t>
      </w:r>
      <w:r w:rsidRPr="005620D3">
        <w:rPr>
          <w:lang w:val="en-GB"/>
        </w:rPr>
        <w:t>:131–139.</w:t>
      </w:r>
    </w:p>
    <w:p w14:paraId="2AB0C8A8" w14:textId="77777777" w:rsidR="005620D3" w:rsidRPr="005620D3" w:rsidRDefault="005620D3" w:rsidP="005620D3">
      <w:pPr>
        <w:pStyle w:val="Bibliography"/>
        <w:rPr>
          <w:lang w:val="en-GB"/>
        </w:rPr>
      </w:pPr>
      <w:r w:rsidRPr="005620D3">
        <w:rPr>
          <w:lang w:val="en-GB"/>
        </w:rPr>
        <w:t xml:space="preserve">63. </w:t>
      </w:r>
      <w:r w:rsidRPr="005620D3">
        <w:rPr>
          <w:lang w:val="en-GB"/>
        </w:rPr>
        <w:tab/>
        <w:t xml:space="preserve">Faria NR, Azevedo R d. S d. S, Kraemer MUG, Souza R, Cunha MS, Hill SC, Theze J, Bonsall MB, Bowden TA, Rissanen I, et al.: </w:t>
      </w:r>
      <w:r w:rsidRPr="005620D3">
        <w:rPr>
          <w:b/>
          <w:bCs/>
          <w:lang w:val="en-GB"/>
        </w:rPr>
        <w:t>Zika virus in the Americas: Early epidemiological and genetic findings</w:t>
      </w:r>
      <w:r w:rsidRPr="005620D3">
        <w:rPr>
          <w:lang w:val="en-GB"/>
        </w:rPr>
        <w:t xml:space="preserve">. </w:t>
      </w:r>
      <w:r w:rsidRPr="005620D3">
        <w:rPr>
          <w:i/>
          <w:iCs/>
          <w:lang w:val="en-GB"/>
        </w:rPr>
        <w:t>Science</w:t>
      </w:r>
      <w:r w:rsidRPr="005620D3">
        <w:rPr>
          <w:lang w:val="en-GB"/>
        </w:rPr>
        <w:t xml:space="preserve"> 2016, </w:t>
      </w:r>
      <w:r w:rsidRPr="005620D3">
        <w:rPr>
          <w:b/>
          <w:bCs/>
          <w:lang w:val="en-GB"/>
        </w:rPr>
        <w:t>5036</w:t>
      </w:r>
      <w:r w:rsidRPr="005620D3">
        <w:rPr>
          <w:lang w:val="en-GB"/>
        </w:rPr>
        <w:t>:1–9.</w:t>
      </w:r>
    </w:p>
    <w:p w14:paraId="5B0EAA99" w14:textId="77777777" w:rsidR="005620D3" w:rsidRPr="005620D3" w:rsidRDefault="005620D3" w:rsidP="005620D3">
      <w:pPr>
        <w:pStyle w:val="Bibliography"/>
        <w:rPr>
          <w:lang w:val="en-GB"/>
        </w:rPr>
      </w:pPr>
      <w:r w:rsidRPr="005620D3">
        <w:rPr>
          <w:lang w:val="en-GB"/>
        </w:rPr>
        <w:t xml:space="preserve">64. </w:t>
      </w:r>
      <w:r w:rsidRPr="005620D3">
        <w:rPr>
          <w:lang w:val="en-GB"/>
        </w:rPr>
        <w:tab/>
        <w:t xml:space="preserve">Seabra SG, Libin PJK, Theys K, Zhukova A, Potter BI, Nebenzahl-Guimaraes H, Gorbalenya AE, Sidorov IA, Pimentel V, Pingarilho M, et al.: </w:t>
      </w:r>
      <w:r w:rsidRPr="005620D3">
        <w:rPr>
          <w:b/>
          <w:bCs/>
          <w:lang w:val="en-GB"/>
        </w:rPr>
        <w:t>Genome-wide diversity of Zika virus: Exploring spatio-temporal dynamics to guide a new nomenclature proposal</w:t>
      </w:r>
      <w:r w:rsidRPr="005620D3">
        <w:rPr>
          <w:lang w:val="en-GB"/>
        </w:rPr>
        <w:t xml:space="preserve">. </w:t>
      </w:r>
      <w:r w:rsidRPr="005620D3">
        <w:rPr>
          <w:i/>
          <w:iCs/>
          <w:lang w:val="en-GB"/>
        </w:rPr>
        <w:t>Virus Evolution</w:t>
      </w:r>
      <w:r w:rsidRPr="005620D3">
        <w:rPr>
          <w:lang w:val="en-GB"/>
        </w:rPr>
        <w:t xml:space="preserve"> 2022, </w:t>
      </w:r>
      <w:r w:rsidRPr="005620D3">
        <w:rPr>
          <w:b/>
          <w:bCs/>
          <w:lang w:val="en-GB"/>
        </w:rPr>
        <w:t>8</w:t>
      </w:r>
      <w:r w:rsidRPr="005620D3">
        <w:rPr>
          <w:lang w:val="en-GB"/>
        </w:rPr>
        <w:t>:veac029.</w:t>
      </w:r>
    </w:p>
    <w:p w14:paraId="5CB39A0E" w14:textId="77777777" w:rsidR="005620D3" w:rsidRPr="005620D3" w:rsidRDefault="005620D3" w:rsidP="005620D3">
      <w:pPr>
        <w:pStyle w:val="Bibliography"/>
        <w:rPr>
          <w:lang w:val="en-GB"/>
        </w:rPr>
      </w:pPr>
      <w:r w:rsidRPr="005620D3">
        <w:rPr>
          <w:lang w:val="en-GB"/>
        </w:rPr>
        <w:t xml:space="preserve">65. </w:t>
      </w:r>
      <w:r w:rsidRPr="005620D3">
        <w:rPr>
          <w:lang w:val="en-GB"/>
        </w:rPr>
        <w:tab/>
        <w:t xml:space="preserve">Ali S, Gugliemini O, Harber S, Harrison A, Houle L, Ivory J, Kersten S, Khan R, Kim J, LeBoa C, et al.: </w:t>
      </w:r>
      <w:r w:rsidRPr="005620D3">
        <w:rPr>
          <w:b/>
          <w:bCs/>
          <w:lang w:val="en-GB"/>
        </w:rPr>
        <w:t>Environmental and Social Change Drive the Explosive Emergence of Zika Virus in the Americas</w:t>
      </w:r>
      <w:r w:rsidRPr="005620D3">
        <w:rPr>
          <w:lang w:val="en-GB"/>
        </w:rPr>
        <w:t xml:space="preserve">. </w:t>
      </w:r>
      <w:r w:rsidRPr="005620D3">
        <w:rPr>
          <w:i/>
          <w:iCs/>
          <w:lang w:val="en-GB"/>
        </w:rPr>
        <w:t>PLoS Neglected Tropical Diseases</w:t>
      </w:r>
      <w:r w:rsidRPr="005620D3">
        <w:rPr>
          <w:lang w:val="en-GB"/>
        </w:rPr>
        <w:t xml:space="preserve"> 2017, </w:t>
      </w:r>
      <w:r w:rsidRPr="005620D3">
        <w:rPr>
          <w:b/>
          <w:bCs/>
          <w:lang w:val="en-GB"/>
        </w:rPr>
        <w:t>11</w:t>
      </w:r>
      <w:r w:rsidRPr="005620D3">
        <w:rPr>
          <w:lang w:val="en-GB"/>
        </w:rPr>
        <w:t>:1–16.</w:t>
      </w:r>
    </w:p>
    <w:p w14:paraId="7129E931" w14:textId="77777777" w:rsidR="005620D3" w:rsidRPr="005620D3" w:rsidRDefault="005620D3" w:rsidP="005620D3">
      <w:pPr>
        <w:pStyle w:val="Bibliography"/>
        <w:rPr>
          <w:lang w:val="en-GB"/>
        </w:rPr>
      </w:pPr>
      <w:r w:rsidRPr="005620D3">
        <w:rPr>
          <w:lang w:val="en-GB"/>
        </w:rPr>
        <w:t xml:space="preserve">66. </w:t>
      </w:r>
      <w:r w:rsidRPr="005620D3">
        <w:rPr>
          <w:lang w:val="en-GB"/>
        </w:rPr>
        <w:tab/>
        <w:t xml:space="preserve">Berg JVD, Prasanna BM, Midega CAO, Ronald PC, Carrière Y, Tabashnik BE: </w:t>
      </w:r>
      <w:r w:rsidRPr="005620D3">
        <w:rPr>
          <w:b/>
          <w:bCs/>
          <w:lang w:val="en-GB"/>
        </w:rPr>
        <w:t>Forum Managing Fall Armyworm in Africa : Can Bt Maize Sustainably Improve Control ?</w:t>
      </w:r>
      <w:r w:rsidRPr="005620D3">
        <w:rPr>
          <w:lang w:val="en-GB"/>
        </w:rPr>
        <w:t xml:space="preserve"> 2021, </w:t>
      </w:r>
    </w:p>
    <w:p w14:paraId="6FE40265" w14:textId="77777777" w:rsidR="005620D3" w:rsidRPr="005620D3" w:rsidRDefault="005620D3" w:rsidP="005620D3">
      <w:pPr>
        <w:pStyle w:val="Bibliography"/>
        <w:rPr>
          <w:lang w:val="en-GB"/>
        </w:rPr>
      </w:pPr>
      <w:r w:rsidRPr="005620D3">
        <w:rPr>
          <w:lang w:val="en-GB"/>
        </w:rPr>
        <w:t xml:space="preserve">67. </w:t>
      </w:r>
      <w:r w:rsidRPr="005620D3">
        <w:rPr>
          <w:lang w:val="en-GB"/>
        </w:rPr>
        <w:tab/>
        <w:t xml:space="preserve">Akinyemi AO: </w:t>
      </w:r>
      <w:r w:rsidRPr="005620D3">
        <w:rPr>
          <w:b/>
          <w:bCs/>
          <w:lang w:val="en-GB"/>
        </w:rPr>
        <w:t>Exploring integrated pest management strategies in the control of the fall armyworm in smallholder organic agriculture farms in Africa</w:t>
      </w:r>
      <w:r w:rsidRPr="005620D3">
        <w:rPr>
          <w:lang w:val="en-GB"/>
        </w:rPr>
        <w:t xml:space="preserve">. </w:t>
      </w:r>
      <w:r w:rsidRPr="005620D3">
        <w:rPr>
          <w:i/>
          <w:iCs/>
          <w:lang w:val="en-GB"/>
        </w:rPr>
        <w:t>Agro-Science</w:t>
      </w:r>
      <w:r w:rsidRPr="005620D3">
        <w:rPr>
          <w:lang w:val="en-GB"/>
        </w:rPr>
        <w:t xml:space="preserve"> 2021, </w:t>
      </w:r>
      <w:r w:rsidRPr="005620D3">
        <w:rPr>
          <w:b/>
          <w:bCs/>
          <w:lang w:val="en-GB"/>
        </w:rPr>
        <w:t>20</w:t>
      </w:r>
      <w:r w:rsidRPr="005620D3">
        <w:rPr>
          <w:lang w:val="en-GB"/>
        </w:rPr>
        <w:t>:65–70.</w:t>
      </w:r>
    </w:p>
    <w:p w14:paraId="193CD7CD" w14:textId="77777777" w:rsidR="005620D3" w:rsidRPr="005620D3" w:rsidRDefault="005620D3" w:rsidP="005620D3">
      <w:pPr>
        <w:pStyle w:val="Bibliography"/>
        <w:rPr>
          <w:lang w:val="en-GB"/>
        </w:rPr>
      </w:pPr>
      <w:r w:rsidRPr="005620D3">
        <w:rPr>
          <w:lang w:val="en-GB"/>
        </w:rPr>
        <w:t xml:space="preserve">68. </w:t>
      </w:r>
      <w:r w:rsidRPr="005620D3">
        <w:rPr>
          <w:lang w:val="en-GB"/>
        </w:rPr>
        <w:tab/>
        <w:t xml:space="preserve">Early R, González-Moreno P, Murphy ST, Day R: </w:t>
      </w:r>
      <w:r w:rsidRPr="005620D3">
        <w:rPr>
          <w:b/>
          <w:bCs/>
          <w:lang w:val="en-GB"/>
        </w:rPr>
        <w:t>Forecasting the global extent of invasion of the cereal pest Spodoptera frugiperda, the fall armyworm</w:t>
      </w:r>
      <w:r w:rsidRPr="005620D3">
        <w:rPr>
          <w:lang w:val="en-GB"/>
        </w:rPr>
        <w:t xml:space="preserve">. </w:t>
      </w:r>
      <w:r w:rsidRPr="005620D3">
        <w:rPr>
          <w:i/>
          <w:iCs/>
          <w:lang w:val="en-GB"/>
        </w:rPr>
        <w:t>NeoBiota</w:t>
      </w:r>
      <w:r w:rsidRPr="005620D3">
        <w:rPr>
          <w:lang w:val="en-GB"/>
        </w:rPr>
        <w:t xml:space="preserve"> 2018, </w:t>
      </w:r>
      <w:r w:rsidRPr="005620D3">
        <w:rPr>
          <w:b/>
          <w:bCs/>
          <w:lang w:val="en-GB"/>
        </w:rPr>
        <w:t>50</w:t>
      </w:r>
      <w:r w:rsidRPr="005620D3">
        <w:rPr>
          <w:lang w:val="en-GB"/>
        </w:rPr>
        <w:t>:25–50.</w:t>
      </w:r>
    </w:p>
    <w:p w14:paraId="4E2F97BB" w14:textId="77777777" w:rsidR="005620D3" w:rsidRPr="005620D3" w:rsidRDefault="005620D3" w:rsidP="005620D3">
      <w:pPr>
        <w:pStyle w:val="Bibliography"/>
        <w:rPr>
          <w:lang w:val="en-GB"/>
        </w:rPr>
      </w:pPr>
      <w:r w:rsidRPr="005620D3">
        <w:rPr>
          <w:lang w:val="en-GB"/>
        </w:rPr>
        <w:t xml:space="preserve">69. </w:t>
      </w:r>
      <w:r w:rsidRPr="005620D3">
        <w:rPr>
          <w:lang w:val="en-GB"/>
        </w:rPr>
        <w:tab/>
        <w:t xml:space="preserve">De Groote H, Kimenju SC, Munyua B, Palmas S, Kassie M, Bruce A: </w:t>
      </w:r>
      <w:r w:rsidRPr="005620D3">
        <w:rPr>
          <w:b/>
          <w:bCs/>
          <w:lang w:val="en-GB"/>
        </w:rPr>
        <w:t>Spread and impact of fall armyworm (Spodoptera frugiperda J.E. Smith) in maize production areas of Kenya</w:t>
      </w:r>
      <w:r w:rsidRPr="005620D3">
        <w:rPr>
          <w:lang w:val="en-GB"/>
        </w:rPr>
        <w:t xml:space="preserve">. </w:t>
      </w:r>
      <w:r w:rsidRPr="005620D3">
        <w:rPr>
          <w:i/>
          <w:iCs/>
          <w:lang w:val="en-GB"/>
        </w:rPr>
        <w:t>Agriculture, Ecosystems and Environment</w:t>
      </w:r>
      <w:r w:rsidRPr="005620D3">
        <w:rPr>
          <w:lang w:val="en-GB"/>
        </w:rPr>
        <w:t xml:space="preserve"> 2020, </w:t>
      </w:r>
      <w:r w:rsidRPr="005620D3">
        <w:rPr>
          <w:b/>
          <w:bCs/>
          <w:lang w:val="en-GB"/>
        </w:rPr>
        <w:t>292</w:t>
      </w:r>
      <w:r w:rsidRPr="005620D3">
        <w:rPr>
          <w:lang w:val="en-GB"/>
        </w:rPr>
        <w:t>:106804.</w:t>
      </w:r>
    </w:p>
    <w:p w14:paraId="12DCCCFC" w14:textId="77777777" w:rsidR="005620D3" w:rsidRPr="005620D3" w:rsidRDefault="005620D3" w:rsidP="005620D3">
      <w:pPr>
        <w:pStyle w:val="Bibliography"/>
        <w:rPr>
          <w:lang w:val="en-GB"/>
        </w:rPr>
      </w:pPr>
      <w:r w:rsidRPr="005620D3">
        <w:rPr>
          <w:lang w:val="en-GB"/>
        </w:rPr>
        <w:t xml:space="preserve">70. </w:t>
      </w:r>
      <w:r w:rsidRPr="005620D3">
        <w:rPr>
          <w:lang w:val="en-GB"/>
        </w:rPr>
        <w:tab/>
        <w:t xml:space="preserve">Tay WT, Rane RV, Padovan A, Walsh TK, Elfekih S, Downes S, Nam K, d’Alençon E, Zhang J, Wu Y, et al.: </w:t>
      </w:r>
      <w:r w:rsidRPr="005620D3">
        <w:rPr>
          <w:b/>
          <w:bCs/>
          <w:lang w:val="en-GB"/>
        </w:rPr>
        <w:t>Global population genomic signature of Spodoptera frugiperda (fall armyworm) supports complex introduction events across the Old World</w:t>
      </w:r>
      <w:r w:rsidRPr="005620D3">
        <w:rPr>
          <w:lang w:val="en-GB"/>
        </w:rPr>
        <w:t xml:space="preserve">. </w:t>
      </w:r>
      <w:r w:rsidRPr="005620D3">
        <w:rPr>
          <w:i/>
          <w:iCs/>
          <w:lang w:val="en-GB"/>
        </w:rPr>
        <w:t>Commun Biol</w:t>
      </w:r>
      <w:r w:rsidRPr="005620D3">
        <w:rPr>
          <w:lang w:val="en-GB"/>
        </w:rPr>
        <w:t xml:space="preserve"> 2022, </w:t>
      </w:r>
      <w:r w:rsidRPr="005620D3">
        <w:rPr>
          <w:b/>
          <w:bCs/>
          <w:lang w:val="en-GB"/>
        </w:rPr>
        <w:t>5</w:t>
      </w:r>
      <w:r w:rsidRPr="005620D3">
        <w:rPr>
          <w:lang w:val="en-GB"/>
        </w:rPr>
        <w:t>:1–15.</w:t>
      </w:r>
    </w:p>
    <w:p w14:paraId="3BB0902D" w14:textId="77777777" w:rsidR="005620D3" w:rsidRPr="005620D3" w:rsidRDefault="005620D3" w:rsidP="005620D3">
      <w:pPr>
        <w:pStyle w:val="Bibliography"/>
        <w:rPr>
          <w:lang w:val="en-GB"/>
        </w:rPr>
      </w:pPr>
      <w:r w:rsidRPr="005620D3">
        <w:rPr>
          <w:lang w:val="en-GB"/>
        </w:rPr>
        <w:t xml:space="preserve">71. </w:t>
      </w:r>
      <w:r w:rsidRPr="005620D3">
        <w:rPr>
          <w:lang w:val="en-GB"/>
        </w:rPr>
        <w:tab/>
        <w:t xml:space="preserve">Tambo JA, Kansiime MK, Rwomushana I, Mugambi I, Nunda W, Mloza Banda C, Nyamutukwa S, Makale F, Day R: </w:t>
      </w:r>
      <w:r w:rsidRPr="005620D3">
        <w:rPr>
          <w:b/>
          <w:bCs/>
          <w:lang w:val="en-GB"/>
        </w:rPr>
        <w:t>Impact of fall armyworm invasion on household income and food security in Zimbabwe</w:t>
      </w:r>
      <w:r w:rsidRPr="005620D3">
        <w:rPr>
          <w:lang w:val="en-GB"/>
        </w:rPr>
        <w:t xml:space="preserve">. </w:t>
      </w:r>
      <w:r w:rsidRPr="005620D3">
        <w:rPr>
          <w:i/>
          <w:iCs/>
          <w:lang w:val="en-GB"/>
        </w:rPr>
        <w:t>Food and Energy Security</w:t>
      </w:r>
      <w:r w:rsidRPr="005620D3">
        <w:rPr>
          <w:lang w:val="en-GB"/>
        </w:rPr>
        <w:t xml:space="preserve"> 2021, </w:t>
      </w:r>
      <w:r w:rsidRPr="005620D3">
        <w:rPr>
          <w:b/>
          <w:bCs/>
          <w:lang w:val="en-GB"/>
        </w:rPr>
        <w:t>10</w:t>
      </w:r>
      <w:r w:rsidRPr="005620D3">
        <w:rPr>
          <w:lang w:val="en-GB"/>
        </w:rPr>
        <w:t>:e281.</w:t>
      </w:r>
    </w:p>
    <w:p w14:paraId="7F97E3C3" w14:textId="77777777" w:rsidR="005620D3" w:rsidRPr="005620D3" w:rsidRDefault="005620D3" w:rsidP="005620D3">
      <w:pPr>
        <w:pStyle w:val="Bibliography"/>
        <w:rPr>
          <w:lang w:val="en-GB"/>
        </w:rPr>
      </w:pPr>
      <w:r w:rsidRPr="005620D3">
        <w:rPr>
          <w:lang w:val="en-GB"/>
        </w:rPr>
        <w:lastRenderedPageBreak/>
        <w:t xml:space="preserve">72. </w:t>
      </w:r>
      <w:r w:rsidRPr="005620D3">
        <w:rPr>
          <w:lang w:val="en-GB"/>
        </w:rPr>
        <w:tab/>
        <w:t xml:space="preserve">Nagoshi RN, Goergen G, Koffi D, Agboka K, Adjevi AKM, Du Plessis H, Van den Berg J, Tepa-Yotto GT, Winsou JK, Meagher RL, et al.: </w:t>
      </w:r>
      <w:r w:rsidRPr="005620D3">
        <w:rPr>
          <w:b/>
          <w:bCs/>
          <w:lang w:val="en-GB"/>
        </w:rPr>
        <w:t>Genetic studies of fall armyworm indicate a new introduction into Africa and identify limits to its migratory behavior</w:t>
      </w:r>
      <w:r w:rsidRPr="005620D3">
        <w:rPr>
          <w:lang w:val="en-GB"/>
        </w:rPr>
        <w:t xml:space="preserve">. </w:t>
      </w:r>
      <w:r w:rsidRPr="005620D3">
        <w:rPr>
          <w:i/>
          <w:iCs/>
          <w:lang w:val="en-GB"/>
        </w:rPr>
        <w:t>Sci Rep</w:t>
      </w:r>
      <w:r w:rsidRPr="005620D3">
        <w:rPr>
          <w:lang w:val="en-GB"/>
        </w:rPr>
        <w:t xml:space="preserve"> 2022, </w:t>
      </w:r>
      <w:r w:rsidRPr="005620D3">
        <w:rPr>
          <w:b/>
          <w:bCs/>
          <w:lang w:val="en-GB"/>
        </w:rPr>
        <w:t>12</w:t>
      </w:r>
      <w:r w:rsidRPr="005620D3">
        <w:rPr>
          <w:lang w:val="en-GB"/>
        </w:rPr>
        <w:t>:1941.</w:t>
      </w:r>
    </w:p>
    <w:p w14:paraId="0109B2BE" w14:textId="77777777" w:rsidR="005620D3" w:rsidRPr="005620D3" w:rsidRDefault="005620D3" w:rsidP="005620D3">
      <w:pPr>
        <w:pStyle w:val="Bibliography"/>
        <w:rPr>
          <w:lang w:val="en-GB"/>
        </w:rPr>
      </w:pPr>
      <w:r w:rsidRPr="005620D3">
        <w:rPr>
          <w:lang w:val="en-GB"/>
        </w:rPr>
        <w:t xml:space="preserve">73. </w:t>
      </w:r>
      <w:r w:rsidRPr="005620D3">
        <w:rPr>
          <w:lang w:val="en-GB"/>
        </w:rPr>
        <w:tab/>
        <w:t xml:space="preserve">Olivares B, Lobo Luján D, Navas Cortés J, Landa B, Rey JC, Gómez J: </w:t>
      </w:r>
      <w:r w:rsidRPr="005620D3">
        <w:rPr>
          <w:b/>
          <w:bCs/>
          <w:lang w:val="en-GB"/>
        </w:rPr>
        <w:t>Fusarium Wilt of Bananas: A Review of Agro-Environmental Factors in the Venezuelan Production System Affecting Its Development</w:t>
      </w:r>
      <w:r w:rsidRPr="005620D3">
        <w:rPr>
          <w:lang w:val="en-GB"/>
        </w:rPr>
        <w:t xml:space="preserve">. </w:t>
      </w:r>
      <w:r w:rsidRPr="005620D3">
        <w:rPr>
          <w:i/>
          <w:iCs/>
          <w:lang w:val="en-GB"/>
        </w:rPr>
        <w:t>Agronomy</w:t>
      </w:r>
      <w:r w:rsidRPr="005620D3">
        <w:rPr>
          <w:lang w:val="en-GB"/>
        </w:rPr>
        <w:t xml:space="preserve"> 2021, </w:t>
      </w:r>
      <w:r w:rsidRPr="005620D3">
        <w:rPr>
          <w:b/>
          <w:bCs/>
          <w:lang w:val="en-GB"/>
        </w:rPr>
        <w:t>11</w:t>
      </w:r>
      <w:r w:rsidRPr="005620D3">
        <w:rPr>
          <w:lang w:val="en-GB"/>
        </w:rPr>
        <w:t>:1–24.</w:t>
      </w:r>
    </w:p>
    <w:p w14:paraId="6C1AE316" w14:textId="77777777" w:rsidR="005620D3" w:rsidRPr="005620D3" w:rsidRDefault="005620D3" w:rsidP="005620D3">
      <w:pPr>
        <w:pStyle w:val="Bibliography"/>
        <w:rPr>
          <w:lang w:val="en-GB"/>
        </w:rPr>
      </w:pPr>
      <w:r w:rsidRPr="005620D3">
        <w:rPr>
          <w:lang w:val="en-GB"/>
        </w:rPr>
        <w:t xml:space="preserve">74. </w:t>
      </w:r>
      <w:r w:rsidRPr="005620D3">
        <w:rPr>
          <w:lang w:val="en-GB"/>
        </w:rPr>
        <w:tab/>
        <w:t xml:space="preserve">Kema GHJ, Drenth A, Dita M, Jansen K, Vellema S, Stoorvogel JJ: </w:t>
      </w:r>
      <w:r w:rsidRPr="005620D3">
        <w:rPr>
          <w:b/>
          <w:bCs/>
          <w:lang w:val="en-GB"/>
        </w:rPr>
        <w:t>Editorial: Fusarium Wilt of Banana, a Recurring Threat to Global Banana Production</w:t>
      </w:r>
      <w:r w:rsidRPr="005620D3">
        <w:rPr>
          <w:lang w:val="en-GB"/>
        </w:rPr>
        <w:t xml:space="preserve">. </w:t>
      </w:r>
      <w:r w:rsidRPr="005620D3">
        <w:rPr>
          <w:i/>
          <w:iCs/>
          <w:lang w:val="en-GB"/>
        </w:rPr>
        <w:t>Frontiers in Plant Science</w:t>
      </w:r>
      <w:r w:rsidRPr="005620D3">
        <w:rPr>
          <w:lang w:val="en-GB"/>
        </w:rPr>
        <w:t xml:space="preserve"> 2021, </w:t>
      </w:r>
      <w:r w:rsidRPr="005620D3">
        <w:rPr>
          <w:b/>
          <w:bCs/>
          <w:lang w:val="en-GB"/>
        </w:rPr>
        <w:t>11</w:t>
      </w:r>
      <w:r w:rsidRPr="005620D3">
        <w:rPr>
          <w:lang w:val="en-GB"/>
        </w:rPr>
        <w:t>.</w:t>
      </w:r>
    </w:p>
    <w:p w14:paraId="5E86A872" w14:textId="77777777" w:rsidR="005620D3" w:rsidRPr="005620D3" w:rsidRDefault="005620D3" w:rsidP="005620D3">
      <w:pPr>
        <w:pStyle w:val="Bibliography"/>
        <w:rPr>
          <w:lang w:val="en-GB"/>
        </w:rPr>
      </w:pPr>
      <w:r w:rsidRPr="005620D3">
        <w:rPr>
          <w:lang w:val="en-GB"/>
        </w:rPr>
        <w:t xml:space="preserve">75. </w:t>
      </w:r>
      <w:r w:rsidRPr="005620D3">
        <w:rPr>
          <w:lang w:val="en-GB"/>
        </w:rPr>
        <w:tab/>
        <w:t xml:space="preserve">Wu T: </w:t>
      </w:r>
      <w:r w:rsidRPr="005620D3">
        <w:rPr>
          <w:b/>
          <w:bCs/>
          <w:lang w:val="en-GB"/>
        </w:rPr>
        <w:t>The socioeconomic and environmental drivers of the COVID-19 pandemic: A review</w:t>
      </w:r>
      <w:r w:rsidRPr="005620D3">
        <w:rPr>
          <w:lang w:val="en-GB"/>
        </w:rPr>
        <w:t xml:space="preserve">. </w:t>
      </w:r>
      <w:r w:rsidRPr="005620D3">
        <w:rPr>
          <w:i/>
          <w:iCs/>
          <w:lang w:val="en-GB"/>
        </w:rPr>
        <w:t>Ambio</w:t>
      </w:r>
      <w:r w:rsidRPr="005620D3">
        <w:rPr>
          <w:lang w:val="en-GB"/>
        </w:rPr>
        <w:t xml:space="preserve"> 2021, </w:t>
      </w:r>
      <w:r w:rsidRPr="005620D3">
        <w:rPr>
          <w:b/>
          <w:bCs/>
          <w:lang w:val="en-GB"/>
        </w:rPr>
        <w:t>50</w:t>
      </w:r>
      <w:r w:rsidRPr="005620D3">
        <w:rPr>
          <w:lang w:val="en-GB"/>
        </w:rPr>
        <w:t>:822–833.</w:t>
      </w:r>
    </w:p>
    <w:p w14:paraId="6EF9008B" w14:textId="77777777" w:rsidR="005620D3" w:rsidRPr="005620D3" w:rsidRDefault="005620D3" w:rsidP="005620D3">
      <w:pPr>
        <w:pStyle w:val="Bibliography"/>
        <w:rPr>
          <w:lang w:val="en-GB"/>
        </w:rPr>
      </w:pPr>
      <w:r w:rsidRPr="005620D3">
        <w:rPr>
          <w:lang w:val="en-GB"/>
        </w:rPr>
        <w:t xml:space="preserve">76. </w:t>
      </w:r>
      <w:r w:rsidRPr="005620D3">
        <w:rPr>
          <w:lang w:val="en-GB"/>
        </w:rPr>
        <w:tab/>
        <w:t xml:space="preserve">Worobey M, Levy JI, Serrano LM, Crits-Christoph A, Pekar JE, Goldstein SA, Rasmussen AL, Kraemer MUG, Newman C, Koopmans MPG, et al.: </w:t>
      </w:r>
      <w:r w:rsidRPr="005620D3">
        <w:rPr>
          <w:b/>
          <w:bCs/>
          <w:lang w:val="en-GB"/>
        </w:rPr>
        <w:t>The Huanan Seafood Wholesale Market in Wuhan was the early epicenter of the COVID-19 pandemic</w:t>
      </w:r>
      <w:r w:rsidRPr="005620D3">
        <w:rPr>
          <w:lang w:val="en-GB"/>
        </w:rPr>
        <w:t xml:space="preserve">. </w:t>
      </w:r>
      <w:r w:rsidRPr="005620D3">
        <w:rPr>
          <w:i/>
          <w:iCs/>
          <w:lang w:val="en-GB"/>
        </w:rPr>
        <w:t>Science</w:t>
      </w:r>
      <w:r w:rsidRPr="005620D3">
        <w:rPr>
          <w:lang w:val="en-GB"/>
        </w:rPr>
        <w:t xml:space="preserve"> 2022, </w:t>
      </w:r>
      <w:r w:rsidRPr="005620D3">
        <w:rPr>
          <w:b/>
          <w:bCs/>
          <w:lang w:val="en-GB"/>
        </w:rPr>
        <w:t>0</w:t>
      </w:r>
      <w:r w:rsidRPr="005620D3">
        <w:rPr>
          <w:lang w:val="en-GB"/>
        </w:rPr>
        <w:t>:abp8715.</w:t>
      </w:r>
    </w:p>
    <w:p w14:paraId="6196BA3F" w14:textId="77777777" w:rsidR="005620D3" w:rsidRPr="005620D3" w:rsidRDefault="005620D3" w:rsidP="005620D3">
      <w:pPr>
        <w:pStyle w:val="Bibliography"/>
        <w:rPr>
          <w:lang w:val="en-GB"/>
        </w:rPr>
      </w:pPr>
      <w:r w:rsidRPr="005620D3">
        <w:rPr>
          <w:lang w:val="en-GB"/>
        </w:rPr>
        <w:t xml:space="preserve">77. </w:t>
      </w:r>
      <w:r w:rsidRPr="005620D3">
        <w:rPr>
          <w:lang w:val="en-GB"/>
        </w:rPr>
        <w:tab/>
        <w:t xml:space="preserve">Zambrano-Monserrate MA, Ruano MA, Sanchez-Alcalde L: </w:t>
      </w:r>
      <w:r w:rsidRPr="005620D3">
        <w:rPr>
          <w:b/>
          <w:bCs/>
          <w:lang w:val="en-GB"/>
        </w:rPr>
        <w:t>Indirect effects of COVID-19 on the environment</w:t>
      </w:r>
      <w:r w:rsidRPr="005620D3">
        <w:rPr>
          <w:lang w:val="en-GB"/>
        </w:rPr>
        <w:t xml:space="preserve">. </w:t>
      </w:r>
      <w:r w:rsidRPr="005620D3">
        <w:rPr>
          <w:i/>
          <w:iCs/>
          <w:lang w:val="en-GB"/>
        </w:rPr>
        <w:t>Science of The Total Environment</w:t>
      </w:r>
      <w:r w:rsidRPr="005620D3">
        <w:rPr>
          <w:lang w:val="en-GB"/>
        </w:rPr>
        <w:t xml:space="preserve"> 2020, </w:t>
      </w:r>
      <w:r w:rsidRPr="005620D3">
        <w:rPr>
          <w:b/>
          <w:bCs/>
          <w:lang w:val="en-GB"/>
        </w:rPr>
        <w:t>728</w:t>
      </w:r>
      <w:r w:rsidRPr="005620D3">
        <w:rPr>
          <w:lang w:val="en-GB"/>
        </w:rPr>
        <w:t>:138813.</w:t>
      </w:r>
    </w:p>
    <w:p w14:paraId="6E73F680" w14:textId="77777777" w:rsidR="005620D3" w:rsidRDefault="005620D3" w:rsidP="005620D3">
      <w:pPr>
        <w:pStyle w:val="Bibliography"/>
      </w:pPr>
      <w:r w:rsidRPr="005620D3">
        <w:rPr>
          <w:lang w:val="en-GB"/>
        </w:rPr>
        <w:t xml:space="preserve">78. </w:t>
      </w:r>
      <w:r w:rsidRPr="005620D3">
        <w:rPr>
          <w:lang w:val="en-GB"/>
        </w:rPr>
        <w:tab/>
        <w:t xml:space="preserve">Diffenbaugh NS: </w:t>
      </w:r>
      <w:r w:rsidRPr="005620D3">
        <w:rPr>
          <w:b/>
          <w:bCs/>
          <w:lang w:val="en-GB"/>
        </w:rPr>
        <w:t>COVID-19 and the Environment: Short-Run and Potential Long-Run Impacts</w:t>
      </w:r>
      <w:r w:rsidRPr="005620D3">
        <w:rPr>
          <w:lang w:val="en-GB"/>
        </w:rPr>
        <w:t xml:space="preserve">. </w:t>
      </w:r>
      <w:r>
        <w:rPr>
          <w:i/>
          <w:iCs/>
        </w:rPr>
        <w:t>Annual Review of Environment and Resources</w:t>
      </w:r>
      <w:r>
        <w:t xml:space="preserve"> 2022, </w:t>
      </w:r>
      <w:r>
        <w:rPr>
          <w:b/>
          <w:bCs/>
        </w:rPr>
        <w:t>47</w:t>
      </w:r>
      <w:r>
        <w:t>:65–90.</w:t>
      </w:r>
    </w:p>
    <w:p w14:paraId="7102D534" w14:textId="16C160CE" w:rsidR="00CF6BEA" w:rsidRPr="00CF6BEA" w:rsidRDefault="00CF6BEA" w:rsidP="00CF6BEA">
      <w:pPr>
        <w:rPr>
          <w:lang w:val="en-GB"/>
        </w:rPr>
      </w:pPr>
      <w:r>
        <w:rPr>
          <w:lang w:val="en-GB"/>
        </w:rPr>
        <w:fldChar w:fldCharType="end"/>
      </w:r>
    </w:p>
    <w:sectPr w:rsidR="00CF6BEA" w:rsidRPr="00CF6BEA" w:rsidSect="005F460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90B751" w14:textId="77777777" w:rsidR="005F06BA" w:rsidRDefault="005F06BA" w:rsidP="00EB1E08">
      <w:pPr>
        <w:spacing w:after="0" w:line="240" w:lineRule="auto"/>
      </w:pPr>
      <w:r>
        <w:separator/>
      </w:r>
    </w:p>
  </w:endnote>
  <w:endnote w:type="continuationSeparator" w:id="0">
    <w:p w14:paraId="03AF1E1D" w14:textId="77777777" w:rsidR="005F06BA" w:rsidRDefault="005F06BA" w:rsidP="00EB1E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5540836"/>
      <w:docPartObj>
        <w:docPartGallery w:val="Page Numbers (Bottom of Page)"/>
        <w:docPartUnique/>
      </w:docPartObj>
    </w:sdtPr>
    <w:sdtEndPr>
      <w:rPr>
        <w:noProof/>
      </w:rPr>
    </w:sdtEndPr>
    <w:sdtContent>
      <w:p w14:paraId="3939567B" w14:textId="3409689B" w:rsidR="00EB1E08" w:rsidRDefault="00EB1E0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5B5F53" w14:textId="77777777" w:rsidR="00EB1E08" w:rsidRDefault="00EB1E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FC14AB" w14:textId="77777777" w:rsidR="005F06BA" w:rsidRDefault="005F06BA" w:rsidP="00EB1E08">
      <w:pPr>
        <w:spacing w:after="0" w:line="240" w:lineRule="auto"/>
      </w:pPr>
      <w:r>
        <w:separator/>
      </w:r>
    </w:p>
  </w:footnote>
  <w:footnote w:type="continuationSeparator" w:id="0">
    <w:p w14:paraId="39F76466" w14:textId="77777777" w:rsidR="005F06BA" w:rsidRDefault="005F06BA" w:rsidP="00EB1E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5787A"/>
    <w:multiLevelType w:val="hybridMultilevel"/>
    <w:tmpl w:val="A9B4F712"/>
    <w:lvl w:ilvl="0" w:tplc="FA2E6A2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84127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0BE"/>
    <w:rsid w:val="00004C90"/>
    <w:rsid w:val="00057516"/>
    <w:rsid w:val="00076401"/>
    <w:rsid w:val="0008408A"/>
    <w:rsid w:val="0009727D"/>
    <w:rsid w:val="000A36E6"/>
    <w:rsid w:val="000A54B1"/>
    <w:rsid w:val="000F3368"/>
    <w:rsid w:val="00114366"/>
    <w:rsid w:val="00155FBC"/>
    <w:rsid w:val="00157223"/>
    <w:rsid w:val="00167B3F"/>
    <w:rsid w:val="00172DD5"/>
    <w:rsid w:val="001D6974"/>
    <w:rsid w:val="001F3E82"/>
    <w:rsid w:val="002215CD"/>
    <w:rsid w:val="0023493A"/>
    <w:rsid w:val="00286558"/>
    <w:rsid w:val="002A0E19"/>
    <w:rsid w:val="002A447C"/>
    <w:rsid w:val="002B679D"/>
    <w:rsid w:val="002C7B60"/>
    <w:rsid w:val="002E785F"/>
    <w:rsid w:val="003044CE"/>
    <w:rsid w:val="00332A9C"/>
    <w:rsid w:val="00377A35"/>
    <w:rsid w:val="003E6D53"/>
    <w:rsid w:val="003F58D4"/>
    <w:rsid w:val="00401680"/>
    <w:rsid w:val="00404029"/>
    <w:rsid w:val="0040691F"/>
    <w:rsid w:val="004102AE"/>
    <w:rsid w:val="004133A4"/>
    <w:rsid w:val="00431031"/>
    <w:rsid w:val="00440E74"/>
    <w:rsid w:val="00442861"/>
    <w:rsid w:val="00452092"/>
    <w:rsid w:val="00454E94"/>
    <w:rsid w:val="00461D68"/>
    <w:rsid w:val="004634A5"/>
    <w:rsid w:val="004675E9"/>
    <w:rsid w:val="00482A24"/>
    <w:rsid w:val="004832AA"/>
    <w:rsid w:val="004845E0"/>
    <w:rsid w:val="004A7CF3"/>
    <w:rsid w:val="004C254D"/>
    <w:rsid w:val="004D5E3B"/>
    <w:rsid w:val="0051074B"/>
    <w:rsid w:val="00511FC5"/>
    <w:rsid w:val="00515B4A"/>
    <w:rsid w:val="00520038"/>
    <w:rsid w:val="00524343"/>
    <w:rsid w:val="00544AD0"/>
    <w:rsid w:val="00552736"/>
    <w:rsid w:val="005620D3"/>
    <w:rsid w:val="005706A3"/>
    <w:rsid w:val="00571DCE"/>
    <w:rsid w:val="005876EA"/>
    <w:rsid w:val="00594BA1"/>
    <w:rsid w:val="005A4CDF"/>
    <w:rsid w:val="005C0D1E"/>
    <w:rsid w:val="005C293A"/>
    <w:rsid w:val="005C2BDB"/>
    <w:rsid w:val="005E3E08"/>
    <w:rsid w:val="005F06BA"/>
    <w:rsid w:val="005F4604"/>
    <w:rsid w:val="006006F9"/>
    <w:rsid w:val="006035FA"/>
    <w:rsid w:val="006134FD"/>
    <w:rsid w:val="00642C48"/>
    <w:rsid w:val="00665E04"/>
    <w:rsid w:val="006674D3"/>
    <w:rsid w:val="006B7C90"/>
    <w:rsid w:val="006E2F1C"/>
    <w:rsid w:val="006E334B"/>
    <w:rsid w:val="006E39D4"/>
    <w:rsid w:val="0077684F"/>
    <w:rsid w:val="007B6503"/>
    <w:rsid w:val="00806142"/>
    <w:rsid w:val="0082163A"/>
    <w:rsid w:val="00830BCF"/>
    <w:rsid w:val="0085307C"/>
    <w:rsid w:val="00853625"/>
    <w:rsid w:val="008611B1"/>
    <w:rsid w:val="008677E5"/>
    <w:rsid w:val="008A0A0E"/>
    <w:rsid w:val="008B6DA5"/>
    <w:rsid w:val="008B70BE"/>
    <w:rsid w:val="008D74D3"/>
    <w:rsid w:val="008E4A6C"/>
    <w:rsid w:val="009001EC"/>
    <w:rsid w:val="00921501"/>
    <w:rsid w:val="009244CC"/>
    <w:rsid w:val="009709E9"/>
    <w:rsid w:val="009979D0"/>
    <w:rsid w:val="009A08BE"/>
    <w:rsid w:val="009A6EF2"/>
    <w:rsid w:val="009B373E"/>
    <w:rsid w:val="009D17B7"/>
    <w:rsid w:val="009E5C40"/>
    <w:rsid w:val="009E7265"/>
    <w:rsid w:val="009F122C"/>
    <w:rsid w:val="00A3008D"/>
    <w:rsid w:val="00A31825"/>
    <w:rsid w:val="00A32A4A"/>
    <w:rsid w:val="00A42C32"/>
    <w:rsid w:val="00A545F8"/>
    <w:rsid w:val="00A664AB"/>
    <w:rsid w:val="00AA0FB5"/>
    <w:rsid w:val="00AC0F33"/>
    <w:rsid w:val="00AC40F3"/>
    <w:rsid w:val="00AE6270"/>
    <w:rsid w:val="00AF3776"/>
    <w:rsid w:val="00AF56B5"/>
    <w:rsid w:val="00B07FE5"/>
    <w:rsid w:val="00B146F0"/>
    <w:rsid w:val="00B42561"/>
    <w:rsid w:val="00B606EA"/>
    <w:rsid w:val="00B65ED6"/>
    <w:rsid w:val="00B72EF4"/>
    <w:rsid w:val="00B975AC"/>
    <w:rsid w:val="00C15337"/>
    <w:rsid w:val="00C3024F"/>
    <w:rsid w:val="00C408A0"/>
    <w:rsid w:val="00C45E6B"/>
    <w:rsid w:val="00C84D65"/>
    <w:rsid w:val="00CA6AB9"/>
    <w:rsid w:val="00CC66E0"/>
    <w:rsid w:val="00CD07A1"/>
    <w:rsid w:val="00CE15FB"/>
    <w:rsid w:val="00CF40A4"/>
    <w:rsid w:val="00CF6BEA"/>
    <w:rsid w:val="00D34DC7"/>
    <w:rsid w:val="00D83D85"/>
    <w:rsid w:val="00DF3EEA"/>
    <w:rsid w:val="00E32236"/>
    <w:rsid w:val="00E346AB"/>
    <w:rsid w:val="00EB1E08"/>
    <w:rsid w:val="00EC608A"/>
    <w:rsid w:val="00ED3336"/>
    <w:rsid w:val="00EE219D"/>
    <w:rsid w:val="00EF0FD8"/>
    <w:rsid w:val="00F067CE"/>
    <w:rsid w:val="00F167F7"/>
    <w:rsid w:val="00F253AE"/>
    <w:rsid w:val="00F27237"/>
    <w:rsid w:val="00F360BC"/>
    <w:rsid w:val="00F73010"/>
    <w:rsid w:val="00F800AA"/>
    <w:rsid w:val="00FB02F6"/>
    <w:rsid w:val="00FB2E7F"/>
  </w:rsids>
  <m:mathPr>
    <m:mathFont m:val="Cambria Math"/>
    <m:brkBin m:val="before"/>
    <m:brkBinSub m:val="--"/>
    <m:smallFrac m:val="0"/>
    <m:dispDef/>
    <m:lMargin m:val="0"/>
    <m:rMargin m:val="0"/>
    <m:defJc m:val="centerGroup"/>
    <m:wrapIndent m:val="1440"/>
    <m:intLim m:val="subSup"/>
    <m:naryLim m:val="undOvr"/>
  </m:mathPr>
  <w:themeFontLang w:val="en-S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2228F"/>
  <w15:docId w15:val="{6BEE1FAB-203C-47A6-80D5-724046210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4A6C"/>
    <w:pPr>
      <w:keepNext/>
      <w:keepLines/>
      <w:spacing w:before="240" w:after="0"/>
      <w:outlineLvl w:val="0"/>
    </w:pPr>
    <w:rPr>
      <w:rFonts w:asciiTheme="majorHAnsi" w:eastAsiaTheme="majorEastAsia" w:hAnsiTheme="majorHAnsi" w:cstheme="majorBidi"/>
      <w:b/>
      <w:bCs/>
      <w:color w:val="2F5496" w:themeColor="accent1" w:themeShade="BF"/>
      <w:sz w:val="32"/>
      <w:szCs w:val="3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B70BE"/>
    <w:rPr>
      <w:color w:val="0563C1" w:themeColor="hyperlink"/>
      <w:u w:val="single"/>
    </w:rPr>
  </w:style>
  <w:style w:type="character" w:styleId="UnresolvedMention">
    <w:name w:val="Unresolved Mention"/>
    <w:basedOn w:val="DefaultParagraphFont"/>
    <w:uiPriority w:val="99"/>
    <w:semiHidden/>
    <w:unhideWhenUsed/>
    <w:rsid w:val="008B70BE"/>
    <w:rPr>
      <w:color w:val="605E5C"/>
      <w:shd w:val="clear" w:color="auto" w:fill="E1DFDD"/>
    </w:rPr>
  </w:style>
  <w:style w:type="character" w:styleId="Strong">
    <w:name w:val="Strong"/>
    <w:basedOn w:val="DefaultParagraphFont"/>
    <w:uiPriority w:val="22"/>
    <w:qFormat/>
    <w:rsid w:val="008B70BE"/>
    <w:rPr>
      <w:b/>
      <w:bCs/>
    </w:rPr>
  </w:style>
  <w:style w:type="table" w:styleId="TableGrid">
    <w:name w:val="Table Grid"/>
    <w:basedOn w:val="TableNormal"/>
    <w:uiPriority w:val="39"/>
    <w:rsid w:val="00332A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32A9C"/>
    <w:pPr>
      <w:ind w:left="720"/>
      <w:contextualSpacing/>
    </w:pPr>
  </w:style>
  <w:style w:type="paragraph" w:styleId="Bibliography">
    <w:name w:val="Bibliography"/>
    <w:basedOn w:val="Normal"/>
    <w:next w:val="Normal"/>
    <w:uiPriority w:val="37"/>
    <w:unhideWhenUsed/>
    <w:rsid w:val="00CF6BEA"/>
    <w:pPr>
      <w:tabs>
        <w:tab w:val="left" w:pos="504"/>
      </w:tabs>
      <w:spacing w:after="240" w:line="240" w:lineRule="auto"/>
      <w:ind w:left="504" w:hanging="504"/>
    </w:pPr>
  </w:style>
  <w:style w:type="character" w:customStyle="1" w:styleId="Heading1Char">
    <w:name w:val="Heading 1 Char"/>
    <w:basedOn w:val="DefaultParagraphFont"/>
    <w:link w:val="Heading1"/>
    <w:uiPriority w:val="9"/>
    <w:rsid w:val="008E4A6C"/>
    <w:rPr>
      <w:rFonts w:asciiTheme="majorHAnsi" w:eastAsiaTheme="majorEastAsia" w:hAnsiTheme="majorHAnsi" w:cstheme="majorBidi"/>
      <w:b/>
      <w:bCs/>
      <w:color w:val="2F5496" w:themeColor="accent1" w:themeShade="BF"/>
      <w:sz w:val="32"/>
      <w:szCs w:val="32"/>
      <w:lang w:val="en-GB"/>
    </w:rPr>
  </w:style>
  <w:style w:type="paragraph" w:styleId="Title">
    <w:name w:val="Title"/>
    <w:basedOn w:val="Normal"/>
    <w:next w:val="Normal"/>
    <w:link w:val="TitleChar"/>
    <w:uiPriority w:val="10"/>
    <w:qFormat/>
    <w:rsid w:val="007B650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503"/>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EB1E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1E08"/>
  </w:style>
  <w:style w:type="paragraph" w:styleId="Footer">
    <w:name w:val="footer"/>
    <w:basedOn w:val="Normal"/>
    <w:link w:val="FooterChar"/>
    <w:uiPriority w:val="99"/>
    <w:unhideWhenUsed/>
    <w:rsid w:val="00EB1E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1E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4556991">
      <w:bodyDiv w:val="1"/>
      <w:marLeft w:val="0"/>
      <w:marRight w:val="0"/>
      <w:marTop w:val="0"/>
      <w:marBottom w:val="0"/>
      <w:divBdr>
        <w:top w:val="none" w:sz="0" w:space="0" w:color="auto"/>
        <w:left w:val="none" w:sz="0" w:space="0" w:color="auto"/>
        <w:bottom w:val="none" w:sz="0" w:space="0" w:color="auto"/>
        <w:right w:val="none" w:sz="0" w:space="0" w:color="auto"/>
      </w:divBdr>
    </w:div>
    <w:div w:id="619919994">
      <w:bodyDiv w:val="1"/>
      <w:marLeft w:val="0"/>
      <w:marRight w:val="0"/>
      <w:marTop w:val="0"/>
      <w:marBottom w:val="0"/>
      <w:divBdr>
        <w:top w:val="none" w:sz="0" w:space="0" w:color="auto"/>
        <w:left w:val="none" w:sz="0" w:space="0" w:color="auto"/>
        <w:bottom w:val="none" w:sz="0" w:space="0" w:color="auto"/>
        <w:right w:val="none" w:sz="0" w:space="0" w:color="auto"/>
      </w:divBdr>
    </w:div>
    <w:div w:id="747700962">
      <w:bodyDiv w:val="1"/>
      <w:marLeft w:val="0"/>
      <w:marRight w:val="0"/>
      <w:marTop w:val="0"/>
      <w:marBottom w:val="0"/>
      <w:divBdr>
        <w:top w:val="none" w:sz="0" w:space="0" w:color="auto"/>
        <w:left w:val="none" w:sz="0" w:space="0" w:color="auto"/>
        <w:bottom w:val="none" w:sz="0" w:space="0" w:color="auto"/>
        <w:right w:val="none" w:sz="0" w:space="0" w:color="auto"/>
      </w:divBdr>
    </w:div>
    <w:div w:id="1127702323">
      <w:bodyDiv w:val="1"/>
      <w:marLeft w:val="0"/>
      <w:marRight w:val="0"/>
      <w:marTop w:val="0"/>
      <w:marBottom w:val="0"/>
      <w:divBdr>
        <w:top w:val="none" w:sz="0" w:space="0" w:color="auto"/>
        <w:left w:val="none" w:sz="0" w:space="0" w:color="auto"/>
        <w:bottom w:val="none" w:sz="0" w:space="0" w:color="auto"/>
        <w:right w:val="none" w:sz="0" w:space="0" w:color="auto"/>
      </w:divBdr>
    </w:div>
    <w:div w:id="17469996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C9DA4E-1136-4642-BDA3-0169636A22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27988</Words>
  <Characters>159537</Characters>
  <Application>Microsoft Office Word</Application>
  <DocSecurity>0</DocSecurity>
  <Lines>1329</Lines>
  <Paragraphs>374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Søgaard Jørgensen</dc:creator>
  <cp:keywords/>
  <dc:description/>
  <cp:lastModifiedBy>Peter Søgaard Jørgensen</cp:lastModifiedBy>
  <cp:revision>2</cp:revision>
  <cp:lastPrinted>2022-09-02T15:38:00Z</cp:lastPrinted>
  <dcterms:created xsi:type="dcterms:W3CDTF">2023-02-01T20:16:00Z</dcterms:created>
  <dcterms:modified xsi:type="dcterms:W3CDTF">2023-02-01T20:16:00Z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zotero-version="6.0.20"&gt;&lt;session id="xExYlBfp"/&gt;&lt;style id="http://www.zotero.org/styles/current-opinion-in-environmental-sustainability" hasBibliography="1" bibliographyStyleHasBeenSet="1"/&gt;&lt;prefs&gt;&lt;pref name="fieldType" value="Field</vt:lpwstr>
  </property>
  <property fmtid="{D5CDD505-2E9C-101B-9397-08002B2CF9AE}" pid="3" name="ZOTERO_PREF_2">
    <vt:lpwstr>"/&gt;&lt;/prefs&gt;&lt;/data&gt;</vt:lpwstr>
  </property>
</Properties>
</file>