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7A3A10"/>
          <w:sz w:val="56"/>
          <w:szCs w:val="56"/>
        </w:rPr>
        <w:t xml:space="preserve">Ancient World Simulation</w:t>
      </w:r>
    </w:p>
    <w:p>
      <w:pPr>
        <w:spacing w:after="400"/>
        <w:jc w:val="center"/>
      </w:pPr>
      <w:r>
        <w:rPr>
          <w:color w:val="A07040"/>
          <w:sz w:val="36"/>
          <w:szCs w:val="36"/>
        </w:rPr>
        <w:t xml:space="preserve">Standards Alignment Document</w:t>
      </w:r>
    </w:p>
    <w:p>
      <w:pPr>
        <w:spacing w:after="1200"/>
        <w:jc w:val="center"/>
      </w:pPr>
      <w:r>
        <w:rPr>
          <w:i/>
          <w:iCs/>
          <w:color w:val="555555"/>
          <w:sz w:val="22"/>
          <w:szCs w:val="22"/>
        </w:rPr>
        <w:t xml:space="preserve">How the simulation maps to NCSS C3 Framework, AP World History, and Common Core Literacy standards</w:t>
      </w:r>
    </w:p>
    <w:p>
      <w:pPr>
        <w:spacing w:after="200"/>
        <w:jc w:val="center"/>
      </w:pPr>
      <w:r>
        <w:rPr>
          <w:color w:val="555555"/>
          <w:sz w:val="20"/>
          <w:szCs w:val="20"/>
        </w:rPr>
        <w:t xml:space="preserve">Prepared by Aaron · Bishop Diego High School</w:t>
      </w:r>
    </w:p>
    <w:p>
      <w:pPr>
        <w:spacing w:after="2400"/>
        <w:jc w:val="center"/>
      </w:pPr>
      <w:r>
        <w:rPr>
          <w:color w:val="888888"/>
          <w:sz w:val="20"/>
          <w:szCs w:val="20"/>
        </w:rPr>
        <w:t xml:space="preserve">Version 1.0</w:t>
      </w:r>
    </w:p>
    <w:p>
      <w:r>
        <w:br w:type="page"/>
      </w:r>
    </w:p>
    <w:p>
      <w:pPr>
        <w:pStyle w:val="Heading1"/>
        <w:spacing w:after="120" w:before="240"/>
      </w:pPr>
      <w:r>
        <w:rPr>
          <w:b/>
          <w:bCs/>
          <w:color w:val="7A3A10"/>
        </w:rPr>
        <w:t xml:space="preserve">Overview</w:t>
      </w:r>
    </w:p>
    <w:p>
      <w:pPr>
        <w:spacing w:after="120"/>
      </w:pPr>
      <w:r>
        <w:t xml:space="preserve">Ancient World Simulation is a classroom civilization game covering the period from the first settlements through the Fall of Rome, approximately 3000 BCE to 476 CE. Students lead one of 24 historical civilizations across 24 turns, making decisions about building, religion, science, culture, war, and diplomacy. Each turn surfaces real primary sources and historical dilemmas.</w:t>
      </w:r>
    </w:p>
    <w:p>
      <w:pPr>
        <w:spacing w:after="120"/>
      </w:pPr>
      <w:r>
        <w:t xml:space="preserve">This document maps the simulation to three widely-adopted frameworks used in high-school world history and social studies instruction. For each framework, the table lists the relevant standard or skill and the specific game mechanic, screen, or artifact that addresses it.</w:t>
      </w:r>
    </w:p>
    <w:p>
      <w:pPr>
        <w:spacing w:after="120"/>
      </w:pPr>
      <w:r>
        <w:rPr>
          <w:b/>
          <w:bCs/>
        </w:rPr>
        <w:t xml:space="preserve">Three design commitments make this alignment possible:</w:t>
      </w:r>
    </w:p>
    <w:p>
      <w:pPr>
        <w:pStyle w:val="ListParagraph"/>
        <w:numPr>
          <w:ilvl w:val="0"/>
          <w:numId w:val="2"/>
        </w:numPr>
        <w:spacing w:after="60"/>
      </w:pPr>
      <w:r>
        <w:t xml:space="preserve">Primary sources are embedded, not optional. Every world event includes a period-appropriate excerpt with sourcing and analysis prompts.</w:t>
      </w:r>
    </w:p>
    <w:p>
      <w:pPr>
        <w:pStyle w:val="ListParagraph"/>
        <w:numPr>
          <w:ilvl w:val="0"/>
          <w:numId w:val="2"/>
        </w:numPr>
        <w:spacing w:after="60"/>
      </w:pPr>
      <w:r>
        <w:t xml:space="preserve">Decisions are logged and reviewable. Every student's choices persist so teachers can see reasoning over time.</w:t>
      </w:r>
    </w:p>
    <w:p>
      <w:pPr>
        <w:pStyle w:val="ListParagraph"/>
        <w:numPr>
          <w:ilvl w:val="0"/>
          <w:numId w:val="2"/>
        </w:numPr>
        <w:spacing w:after="60"/>
      </w:pPr>
      <w:r>
        <w:t xml:space="preserve">The post-game Reflection Turn is a graded artifact. The end-of-game PDF captures comparison to real history, turning-point selection, and three scaffolded reflection responses.</w:t>
      </w:r>
    </w:p>
    <w:p>
      <w:r>
        <w:br w:type="page"/>
      </w:r>
    </w:p>
    <w:p>
      <w:pPr>
        <w:pStyle w:val="Heading1"/>
        <w:spacing w:after="120" w:before="240"/>
      </w:pPr>
      <w:r>
        <w:rPr>
          <w:b/>
          <w:bCs/>
          <w:color w:val="7A3A10"/>
        </w:rPr>
        <w:t xml:space="preserve">NCSS C3 Framework Alignment</w:t>
      </w:r>
    </w:p>
    <w:p>
      <w:pPr>
        <w:spacing w:after="120"/>
      </w:pPr>
      <w:r>
        <w:t xml:space="preserve">The College, Career, and Civic Life (C3) Framework organizes social studies around four dimensions: developing questions and planning inquiries, applying disciplinary concepts and tools, evaluating sources and using evidence, and communicating conclusions and taking informed action. Ancient World Simulation addresses indicators across all four dimensions, with particular strength in Dimension 2 (History) and Dimension 3 (Evaluating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9B894" w:sz="4"/>
              <w:left w:val="single" w:color="C9B894" w:sz="4"/>
              <w:bottom w:val="single" w:color="C9B894" w:sz="4"/>
              <w:right w:val="single" w:color="C9B894" w:sz="4"/>
            </w:tcBorders>
            <w:shd w:fill="F4ECD5" w:val="clear"/>
            <w:tcMar>
              <w:top w:type="dxa" w:w="80"/>
              <w:left w:type="dxa" w:w="120"/>
              <w:bottom w:type="dxa" w:w="80"/>
              <w:right w:type="dxa" w:w="120"/>
            </w:tcMar>
          </w:tcPr>
          <w:p>
            <w:r>
              <w:rPr>
                <w:b/>
                <w:bCs/>
              </w:rPr>
              <w:t xml:space="preserve">Code</w:t>
            </w:r>
          </w:p>
        </w:tc>
        <w:tc>
          <w:tcPr>
            <w:tcW w:type="dxa" w:w="3780"/>
            <w:tcBorders>
              <w:top w:val="single" w:color="C9B894" w:sz="4"/>
              <w:left w:val="single" w:color="C9B894" w:sz="4"/>
              <w:bottom w:val="single" w:color="C9B894" w:sz="4"/>
              <w:right w:val="single" w:color="C9B894" w:sz="4"/>
            </w:tcBorders>
            <w:shd w:fill="F4ECD5" w:val="clear"/>
            <w:tcMar>
              <w:top w:type="dxa" w:w="80"/>
              <w:left w:type="dxa" w:w="120"/>
              <w:bottom w:type="dxa" w:w="80"/>
              <w:right w:type="dxa" w:w="120"/>
            </w:tcMar>
          </w:tcPr>
          <w:p>
            <w:r>
              <w:rPr>
                <w:b/>
                <w:bCs/>
              </w:rPr>
              <w:t xml:space="preserve">Standard</w:t>
            </w:r>
          </w:p>
        </w:tc>
        <w:tc>
          <w:tcPr>
            <w:tcW w:type="dxa" w:w="3780"/>
            <w:tcBorders>
              <w:top w:val="single" w:color="C9B894" w:sz="4"/>
              <w:left w:val="single" w:color="C9B894" w:sz="4"/>
              <w:bottom w:val="single" w:color="C9B894" w:sz="4"/>
              <w:right w:val="single" w:color="C9B894" w:sz="4"/>
            </w:tcBorders>
            <w:shd w:fill="F4ECD5" w:val="clear"/>
            <w:tcMar>
              <w:top w:type="dxa" w:w="80"/>
              <w:left w:type="dxa" w:w="120"/>
              <w:bottom w:type="dxa" w:w="80"/>
              <w:right w:type="dxa" w:w="120"/>
            </w:tcMar>
          </w:tcPr>
          <w:p>
            <w:r>
              <w:rPr>
                <w:b/>
                <w:bCs/>
              </w:rPr>
              <w:t xml:space="preserve">How Ancient World Simulation addresses it</w:t>
            </w:r>
          </w:p>
        </w:tc>
      </w:tr>
      <w:tr>
        <w:tc>
          <w:tcPr>
            <w:tcW w:type="dxa" w:w="180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D1.1.9-12</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Explain how a question reflects an enduring issue in the field.</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Each world-event decision tree frames a historical question (e.g., 'How did early states balance divine kingship with popular consent?') drawn from a real period dilemma.</w:t>
            </w:r>
          </w:p>
        </w:tc>
      </w:tr>
      <w:tr>
        <w:tc>
          <w:tcPr>
            <w:tcW w:type="dxa" w:w="180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D1.5.9-12</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Determine the kinds of sources that will be helpful in answering compelling and supporting questions.</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24 Primary Source panels attach a period-appropriate excerpt (inscription, literary text, law code, eyewitness account) to each world event, prompting students to note source type.</w:t>
            </w:r>
          </w:p>
        </w:tc>
      </w:tr>
      <w:tr>
        <w:tc>
          <w:tcPr>
            <w:tcW w:type="dxa" w:w="180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D2.His.1.9-12</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Evaluate how historical events and developments were shaped by unique circumstances of time and place.</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Reflection Turn requires students to compare their simulation arc to the real civ's arc (CivHistoricalOutcome) and identify what circumstance produced the divergence.</w:t>
            </w:r>
          </w:p>
        </w:tc>
      </w:tr>
      <w:tr>
        <w:tc>
          <w:tcPr>
            <w:tcW w:type="dxa" w:w="180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D2.His.3.9-12</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Use questions about individuals and groups to assess how the significance of their actions changes over time.</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Decision log persists every turn's choice; at turn 24 students select up to three turning points from their own record and justify why those were pivotal.</w:t>
            </w:r>
          </w:p>
        </w:tc>
      </w:tr>
      <w:tr>
        <w:tc>
          <w:tcPr>
            <w:tcW w:type="dxa" w:w="180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D2.His.9.9-12</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Analyze the relationship between historical sources and the secondary interpretations made from them.</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Every primary source panel includes a Sourcing Question ('Who wrote this and why?') and an Analysis Prompt separating evidence from interpretation.</w:t>
            </w:r>
          </w:p>
        </w:tc>
      </w:tr>
      <w:tr>
        <w:tc>
          <w:tcPr>
            <w:tcW w:type="dxa" w:w="180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D2.His.14.9-12</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Analyze multiple and complex causes and effects of events in the past.</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World events surface at least three mechanical effects (resource, tile, diplomacy) per choice. Student sees immediate results and longer-term score track consequences.</w:t>
            </w:r>
          </w:p>
        </w:tc>
      </w:tr>
      <w:tr>
        <w:tc>
          <w:tcPr>
            <w:tcW w:type="dxa" w:w="180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D2.His.16.9-12</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Integrate evidence from multiple relevant historical sources and interpretations.</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Teachers can assign students to triangulate a sim decision against the primary source, the in-game narration, and a secondary reading of their choice.</w:t>
            </w:r>
          </w:p>
        </w:tc>
      </w:tr>
      <w:tr>
        <w:tc>
          <w:tcPr>
            <w:tcW w:type="dxa" w:w="180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D2.Civ.8.9-12</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Evaluate social and political systems in different contexts and how they maintain order.</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Players build governance decisions (religion, laws, alliances) that produce measurable stability outcomes visible in the Scoreboard.</w:t>
            </w:r>
          </w:p>
        </w:tc>
      </w:tr>
      <w:tr>
        <w:tc>
          <w:tcPr>
            <w:tcW w:type="dxa" w:w="180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D3.1.9-12</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Gather relevant information from multiple sources representing a wide range of views.</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Diplomacy panel surfaces rival civs' actions; students read classmate proposals and must weigh them against their own position.</w:t>
            </w:r>
          </w:p>
        </w:tc>
      </w:tr>
      <w:tr>
        <w:tc>
          <w:tcPr>
            <w:tcW w:type="dxa" w:w="180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D4.2.9-12</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Construct explanations using reasoned argument with precise and knowledgeable claims, evidence, and credible counterclaims.</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Reflection Turn's 'would-change' prompt requires students to construct a counterfactual supported by what the sim revealed about their choices.</w:t>
            </w:r>
          </w:p>
        </w:tc>
      </w:tr>
    </w:tbl>
    <w:p>
      <w:r>
        <w:br w:type="page"/>
      </w:r>
    </w:p>
    <w:p>
      <w:pPr>
        <w:pStyle w:val="Heading1"/>
        <w:spacing w:after="120" w:before="240"/>
      </w:pPr>
      <w:r>
        <w:rPr>
          <w:b/>
          <w:bCs/>
          <w:color w:val="7A3A10"/>
        </w:rPr>
        <w:t xml:space="preserve">AP World History Alignment</w:t>
      </w:r>
    </w:p>
    <w:p>
      <w:pPr>
        <w:spacing w:after="120"/>
      </w:pPr>
      <w:r>
        <w:t xml:space="preserve">The AP World History: Modern course framework emphasizes six historical thinking skills and five themes. Ancient World Simulation covers the pre-1200 period that AP World: Modern assumes as prerequisite context, and explicitly builds each of the six historical thinking skills.</w:t>
      </w:r>
    </w:p>
    <w:p>
      <w:pPr>
        <w:pStyle w:val="Heading2"/>
        <w:spacing w:after="120" w:before="240"/>
      </w:pPr>
      <w:r>
        <w:rPr>
          <w:b/>
          <w:bCs/>
          <w:color w:val="7A3A10"/>
        </w:rPr>
        <w:t xml:space="preserve">Historical Thinking Skills and Themes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9B894" w:sz="4"/>
              <w:left w:val="single" w:color="C9B894" w:sz="4"/>
              <w:bottom w:val="single" w:color="C9B894" w:sz="4"/>
              <w:right w:val="single" w:color="C9B894" w:sz="4"/>
            </w:tcBorders>
            <w:shd w:fill="F4ECD5" w:val="clear"/>
            <w:tcMar>
              <w:top w:type="dxa" w:w="80"/>
              <w:left w:type="dxa" w:w="120"/>
              <w:bottom w:type="dxa" w:w="80"/>
              <w:right w:type="dxa" w:w="120"/>
            </w:tcMar>
          </w:tcPr>
          <w:p>
            <w:r>
              <w:rPr>
                <w:b/>
                <w:bCs/>
              </w:rPr>
              <w:t xml:space="preserve">Code</w:t>
            </w:r>
          </w:p>
        </w:tc>
        <w:tc>
          <w:tcPr>
            <w:tcW w:type="dxa" w:w="3780"/>
            <w:tcBorders>
              <w:top w:val="single" w:color="C9B894" w:sz="4"/>
              <w:left w:val="single" w:color="C9B894" w:sz="4"/>
              <w:bottom w:val="single" w:color="C9B894" w:sz="4"/>
              <w:right w:val="single" w:color="C9B894" w:sz="4"/>
            </w:tcBorders>
            <w:shd w:fill="F4ECD5" w:val="clear"/>
            <w:tcMar>
              <w:top w:type="dxa" w:w="80"/>
              <w:left w:type="dxa" w:w="120"/>
              <w:bottom w:type="dxa" w:w="80"/>
              <w:right w:type="dxa" w:w="120"/>
            </w:tcMar>
          </w:tcPr>
          <w:p>
            <w:r>
              <w:rPr>
                <w:b/>
                <w:bCs/>
              </w:rPr>
              <w:t xml:space="preserve">Standard</w:t>
            </w:r>
          </w:p>
        </w:tc>
        <w:tc>
          <w:tcPr>
            <w:tcW w:type="dxa" w:w="3780"/>
            <w:tcBorders>
              <w:top w:val="single" w:color="C9B894" w:sz="4"/>
              <w:left w:val="single" w:color="C9B894" w:sz="4"/>
              <w:bottom w:val="single" w:color="C9B894" w:sz="4"/>
              <w:right w:val="single" w:color="C9B894" w:sz="4"/>
            </w:tcBorders>
            <w:shd w:fill="F4ECD5" w:val="clear"/>
            <w:tcMar>
              <w:top w:type="dxa" w:w="80"/>
              <w:left w:type="dxa" w:w="120"/>
              <w:bottom w:type="dxa" w:w="80"/>
              <w:right w:type="dxa" w:w="120"/>
            </w:tcMar>
          </w:tcPr>
          <w:p>
            <w:r>
              <w:rPr>
                <w:b/>
                <w:bCs/>
              </w:rPr>
              <w:t xml:space="preserve">How Ancient World Simulation addresses it</w:t>
            </w:r>
          </w:p>
        </w:tc>
      </w:tr>
      <w:tr>
        <w:tc>
          <w:tcPr>
            <w:tcW w:type="dxa" w:w="180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KC-1.0 / U1</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The Global Tapestry (c. 1200 - 1450 CE) foundations, though the sim covers prior periods, maps to prerequisite skills.</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Sim runs 3000 BCE - 476 CE, providing background that AP World: Modern assumes but does not teach.</w:t>
            </w:r>
          </w:p>
        </w:tc>
      </w:tr>
      <w:tr>
        <w:tc>
          <w:tcPr>
            <w:tcW w:type="dxa" w:w="180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HT-1</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Developments and Processes: Explain a historical concept, development, or process.</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Every era transition is labeled (Ancient/Classical/Late) and students see development of building, science, religion, and culture systems over time.</w:t>
            </w:r>
          </w:p>
        </w:tc>
      </w:tr>
      <w:tr>
        <w:tc>
          <w:tcPr>
            <w:tcW w:type="dxa" w:w="180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HT-2</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Sourcing and Situation: Explain how a source's point of view, purpose, audience, or historical situation might affect its meaning.</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Primary Source panel's Sourcing Question is explicitly about author, audience, and occasion.</w:t>
            </w:r>
          </w:p>
        </w:tc>
      </w:tr>
      <w:tr>
        <w:tc>
          <w:tcPr>
            <w:tcW w:type="dxa" w:w="180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HT-3</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Claims and Evidence in Sources: Identify and explain a claim made in a primary or secondary source, and evaluate supporting evidence.</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Analysis Prompt field requires students to extract a claim from the excerpt before making decisions.</w:t>
            </w:r>
          </w:p>
        </w:tc>
      </w:tr>
      <w:tr>
        <w:tc>
          <w:tcPr>
            <w:tcW w:type="dxa" w:w="180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HT-4</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Contextualization: Explain how a specific historical development or process is situated within a broader historical context.</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Each world event opens with a 'Context' block locating the dilemma in time and place, including real year.</w:t>
            </w:r>
          </w:p>
        </w:tc>
      </w:tr>
      <w:tr>
        <w:tc>
          <w:tcPr>
            <w:tcW w:type="dxa" w:w="180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HT-5</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Making Connections: Identify patterns among or connections between historical developments and processes.</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Reflection Turn's comparison prompt asks students to connect their sim outcome to the historical civ's end-state.</w:t>
            </w:r>
          </w:p>
        </w:tc>
      </w:tr>
      <w:tr>
        <w:tc>
          <w:tcPr>
            <w:tcW w:type="dxa" w:w="180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HT-6</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Argumentation: Develop an argument.</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End-of-game PDF gathers turning points + reflection responses into a student-written argument, ready for teacher review.</w:t>
            </w:r>
          </w:p>
        </w:tc>
      </w:tr>
      <w:tr>
        <w:tc>
          <w:tcPr>
            <w:tcW w:type="dxa" w:w="180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Theme: GOV</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Governance - the various forms of local, regional, and global structures.</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Diplomacy panel tracks alliance / treaty / neutral / hostile relations between classmates, modeling interstate governance.</w:t>
            </w:r>
          </w:p>
        </w:tc>
      </w:tr>
      <w:tr>
        <w:tc>
          <w:tcPr>
            <w:tcW w:type="dxa" w:w="180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Theme: ECN</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Economic systems - production, exchange, and consumption.</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Trade offers cover four soft currencies (production / science / culture / faith). Students negotiate exchange under scarcity.</w:t>
            </w:r>
          </w:p>
        </w:tc>
      </w:tr>
      <w:tr>
        <w:tc>
          <w:tcPr>
            <w:tcW w:type="dxa" w:w="180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Theme: CDI</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Cultural developments and interactions.</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Religion system (tenet choice) and cultural stage progression surface diffusion and exchange mechanics.</w:t>
            </w:r>
          </w:p>
        </w:tc>
      </w:tr>
      <w:tr>
        <w:tc>
          <w:tcPr>
            <w:tcW w:type="dxa" w:w="180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Theme: SB</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Social interactions and organization.</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Per-period diplomacy relations reveal emergent classroom social order; teacher dashboard makes it visible.</w:t>
            </w:r>
          </w:p>
        </w:tc>
      </w:tr>
    </w:tbl>
    <w:p>
      <w:r>
        <w:br w:type="page"/>
      </w:r>
    </w:p>
    <w:p>
      <w:pPr>
        <w:pStyle w:val="Heading1"/>
        <w:spacing w:after="120" w:before="240"/>
      </w:pPr>
      <w:r>
        <w:rPr>
          <w:b/>
          <w:bCs/>
          <w:color w:val="7A3A10"/>
        </w:rPr>
        <w:t xml:space="preserve">Common Core Literacy Standards (Grades 9-12)</w:t>
      </w:r>
    </w:p>
    <w:p>
      <w:pPr>
        <w:spacing w:after="120"/>
      </w:pPr>
      <w:r>
        <w:t xml:space="preserve">Common Core Reading Standards for Literacy in History/Social Studies (RH) and Writing Standards for Literacy in History/Social Studies (WHST) are embedded throughout the simulation via primary sources, decision prompts, and the reflection writing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9B894" w:sz="4"/>
              <w:left w:val="single" w:color="C9B894" w:sz="4"/>
              <w:bottom w:val="single" w:color="C9B894" w:sz="4"/>
              <w:right w:val="single" w:color="C9B894" w:sz="4"/>
            </w:tcBorders>
            <w:shd w:fill="F4ECD5" w:val="clear"/>
            <w:tcMar>
              <w:top w:type="dxa" w:w="80"/>
              <w:left w:type="dxa" w:w="120"/>
              <w:bottom w:type="dxa" w:w="80"/>
              <w:right w:type="dxa" w:w="120"/>
            </w:tcMar>
          </w:tcPr>
          <w:p>
            <w:r>
              <w:rPr>
                <w:b/>
                <w:bCs/>
              </w:rPr>
              <w:t xml:space="preserve">Code</w:t>
            </w:r>
          </w:p>
        </w:tc>
        <w:tc>
          <w:tcPr>
            <w:tcW w:type="dxa" w:w="3780"/>
            <w:tcBorders>
              <w:top w:val="single" w:color="C9B894" w:sz="4"/>
              <w:left w:val="single" w:color="C9B894" w:sz="4"/>
              <w:bottom w:val="single" w:color="C9B894" w:sz="4"/>
              <w:right w:val="single" w:color="C9B894" w:sz="4"/>
            </w:tcBorders>
            <w:shd w:fill="F4ECD5" w:val="clear"/>
            <w:tcMar>
              <w:top w:type="dxa" w:w="80"/>
              <w:left w:type="dxa" w:w="120"/>
              <w:bottom w:type="dxa" w:w="80"/>
              <w:right w:type="dxa" w:w="120"/>
            </w:tcMar>
          </w:tcPr>
          <w:p>
            <w:r>
              <w:rPr>
                <w:b/>
                <w:bCs/>
              </w:rPr>
              <w:t xml:space="preserve">Standard</w:t>
            </w:r>
          </w:p>
        </w:tc>
        <w:tc>
          <w:tcPr>
            <w:tcW w:type="dxa" w:w="3780"/>
            <w:tcBorders>
              <w:top w:val="single" w:color="C9B894" w:sz="4"/>
              <w:left w:val="single" w:color="C9B894" w:sz="4"/>
              <w:bottom w:val="single" w:color="C9B894" w:sz="4"/>
              <w:right w:val="single" w:color="C9B894" w:sz="4"/>
            </w:tcBorders>
            <w:shd w:fill="F4ECD5" w:val="clear"/>
            <w:tcMar>
              <w:top w:type="dxa" w:w="80"/>
              <w:left w:type="dxa" w:w="120"/>
              <w:bottom w:type="dxa" w:w="80"/>
              <w:right w:type="dxa" w:w="120"/>
            </w:tcMar>
          </w:tcPr>
          <w:p>
            <w:r>
              <w:rPr>
                <w:b/>
                <w:bCs/>
              </w:rPr>
              <w:t xml:space="preserve">How Ancient World Simulation addresses it</w:t>
            </w:r>
          </w:p>
        </w:tc>
      </w:tr>
      <w:tr>
        <w:tc>
          <w:tcPr>
            <w:tcW w:type="dxa" w:w="180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RH.9-10.1</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Cite specific textual evidence to support analysis of primary and secondary sources.</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Primary Source panel shows attribution + excerpt. Reflection prompts ask students to reference specific textual evidence.</w:t>
            </w:r>
          </w:p>
        </w:tc>
      </w:tr>
      <w:tr>
        <w:tc>
          <w:tcPr>
            <w:tcW w:type="dxa" w:w="180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RH.9-10.2</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Determine the central ideas of a primary or secondary source and summarize.</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Context blocks and Analysis Prompts structure summary tasks around each source.</w:t>
            </w:r>
          </w:p>
        </w:tc>
      </w:tr>
      <w:tr>
        <w:tc>
          <w:tcPr>
            <w:tcW w:type="dxa" w:w="180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RH.9-10.6</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Compare the point of view of two or more authors for how they treat the same or similar topics.</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Cross-civ events let students compare perspectives (e.g., Persian Cyrus Cylinder vs. Greek Aeschylus on the Persian Wars).</w:t>
            </w:r>
          </w:p>
        </w:tc>
      </w:tr>
      <w:tr>
        <w:tc>
          <w:tcPr>
            <w:tcW w:type="dxa" w:w="180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RH.9-10.8</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Assess the extent to which the reasoning and evidence in a text support the author's claims.</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Analysis Prompts require students to evaluate how the primary source supports the in-game decision framing.</w:t>
            </w:r>
          </w:p>
        </w:tc>
      </w:tr>
      <w:tr>
        <w:tc>
          <w:tcPr>
            <w:tcW w:type="dxa" w:w="180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RH.11-12.1</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Cite specific textual evidence, connecting insights gained from specific details to an understanding of the text as a whole.</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Reflection Turn's three prompts explicitly request citation of a specific decision or source.</w:t>
            </w:r>
          </w:p>
        </w:tc>
      </w:tr>
      <w:tr>
        <w:tc>
          <w:tcPr>
            <w:tcW w:type="dxa" w:w="180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RH.11-12.3</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Evaluate various explanations for actions or events and determine which best accords with textual evidence.</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Each world event gives 2-3 plausible choices framed by real historical debate; students justify their pick.</w:t>
            </w:r>
          </w:p>
        </w:tc>
      </w:tr>
      <w:tr>
        <w:tc>
          <w:tcPr>
            <w:tcW w:type="dxa" w:w="180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RH.11-12.7</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Integrate and evaluate multiple sources of information presented in diverse formats.</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Sim itself integrates text, map, score tracks, and source excerpts; students synthesize across all formats.</w:t>
            </w:r>
          </w:p>
        </w:tc>
      </w:tr>
      <w:tr>
        <w:tc>
          <w:tcPr>
            <w:tcW w:type="dxa" w:w="180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WHST.9-10.1</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Write arguments focused on discipline-specific content.</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End-of-game PDF captures an argument-style reflection (claim + evidence + counterfactual).</w:t>
            </w:r>
          </w:p>
        </w:tc>
      </w:tr>
      <w:tr>
        <w:tc>
          <w:tcPr>
            <w:tcW w:type="dxa" w:w="180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WHST.9-10.4</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Produce clear and coherent writing appropriate to task, purpose, and audience.</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Reflection prompts are scaffolded for clarity; word-count is visible so students shape responses.</w:t>
            </w:r>
          </w:p>
        </w:tc>
      </w:tr>
      <w:tr>
        <w:tc>
          <w:tcPr>
            <w:tcW w:type="dxa" w:w="180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WHST.11-12.9</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Draw evidence from informational texts to support analysis, reflection, and research.</w:t>
            </w:r>
          </w:p>
        </w:tc>
        <w:tc>
          <w:tcPr>
            <w:tcW w:type="dxa" w:w="3780"/>
            <w:tcBorders>
              <w:top w:val="single" w:color="C9B894" w:sz="4"/>
              <w:left w:val="single" w:color="C9B894" w:sz="4"/>
              <w:bottom w:val="single" w:color="C9B894" w:sz="4"/>
              <w:right w:val="single" w:color="C9B894" w:sz="4"/>
            </w:tcBorders>
            <w:tcMar>
              <w:top w:type="dxa" w:w="80"/>
              <w:left w:type="dxa" w:w="120"/>
              <w:bottom w:type="dxa" w:w="80"/>
              <w:right w:type="dxa" w:w="120"/>
            </w:tcMar>
          </w:tcPr>
          <w:p>
            <w:r>
              <w:rPr>
                <w:b w:val="false"/>
                <w:bCs w:val="false"/>
              </w:rPr>
              <w:t xml:space="preserve">Decision log, primary sources, and score breakdowns are all archived data students cite in the end-of-game summary.</w:t>
            </w:r>
          </w:p>
        </w:tc>
      </w:tr>
    </w:tbl>
    <w:p>
      <w:r>
        <w:br w:type="page"/>
      </w:r>
    </w:p>
    <w:p>
      <w:pPr>
        <w:pStyle w:val="Heading1"/>
        <w:spacing w:after="120" w:before="240"/>
      </w:pPr>
      <w:r>
        <w:rPr>
          <w:b/>
          <w:bCs/>
          <w:color w:val="7A3A10"/>
        </w:rPr>
        <w:t xml:space="preserve">Suggested Classroom Use</w:t>
      </w:r>
    </w:p>
    <w:p>
      <w:pPr>
        <w:pStyle w:val="Heading2"/>
        <w:spacing w:after="120" w:before="240"/>
      </w:pPr>
      <w:r>
        <w:rPr>
          <w:b/>
          <w:bCs/>
          <w:color w:val="7A3A10"/>
        </w:rPr>
        <w:t xml:space="preserve">As a unit capstone</w:t>
      </w:r>
    </w:p>
    <w:p>
      <w:pPr>
        <w:spacing w:after="120"/>
      </w:pPr>
      <w:r>
        <w:t xml:space="preserve">Deploy the simulation at the end of a unit on the ancient world. Students play over 3-5 class periods, then complete the Reflection Turn as the summative assessment. The end-of-game PDF becomes the artifact for grading.</w:t>
      </w:r>
    </w:p>
    <w:p>
      <w:pPr>
        <w:pStyle w:val="Heading2"/>
        <w:spacing w:after="120" w:before="240"/>
      </w:pPr>
      <w:r>
        <w:rPr>
          <w:b/>
          <w:bCs/>
          <w:color w:val="7A3A10"/>
        </w:rPr>
        <w:t xml:space="preserve">As an ongoing thread</w:t>
      </w:r>
    </w:p>
    <w:p>
      <w:pPr>
        <w:spacing w:after="120"/>
      </w:pPr>
      <w:r>
        <w:t xml:space="preserve">Play one turn per week for a semester. Each turn's primary source aligns to a larger reading or lecture. The sim becomes a running laboratory for applying what's taught in class.</w:t>
      </w:r>
    </w:p>
    <w:p>
      <w:pPr>
        <w:pStyle w:val="Heading2"/>
        <w:spacing w:after="120" w:before="240"/>
      </w:pPr>
      <w:r>
        <w:rPr>
          <w:b/>
          <w:bCs/>
          <w:color w:val="7A3A10"/>
        </w:rPr>
        <w:t xml:space="preserve">As a differentiated enrichment</w:t>
      </w:r>
    </w:p>
    <w:p>
      <w:pPr>
        <w:spacing w:after="120"/>
      </w:pPr>
      <w:r>
        <w:t xml:space="preserve">Accelerated students lead civilizations and analyze primary sources in depth. Students needing scaffolding focus on the Build / World / Scoreboard tabs and shorter reflection responses. The Teacher dashboard lets you monitor both tracks at once.</w:t>
      </w:r>
    </w:p>
    <w:p>
      <w:pPr>
        <w:pStyle w:val="Heading2"/>
        <w:spacing w:after="120" w:before="240"/>
      </w:pPr>
      <w:r>
        <w:rPr>
          <w:b/>
          <w:bCs/>
          <w:color w:val="7A3A10"/>
        </w:rPr>
        <w:t xml:space="preserve">Assessment rubric (suggested)</w:t>
      </w:r>
    </w:p>
    <w:p>
      <w:pPr>
        <w:spacing w:after="120"/>
      </w:pPr>
      <w:r>
        <w:t xml:space="preserve">A workable 100-point rubric: Gameplay participation (20), Primary source engagement (20, tracked via Analysis Prompt responses), Turning-point justification (20), Three reflection responses (30), Civ-vs-history comparison argument (10).</w:t>
      </w:r>
    </w:p>
    <w:p>
      <w:r>
        <w:br w:type="page"/>
      </w:r>
    </w:p>
    <w:p>
      <w:pPr>
        <w:pStyle w:val="Heading1"/>
        <w:spacing w:after="120" w:before="240"/>
      </w:pPr>
      <w:r>
        <w:rPr>
          <w:b/>
          <w:bCs/>
          <w:color w:val="7A3A10"/>
        </w:rPr>
        <w:t xml:space="preserve">Appendix A: Primary Sources Used</w:t>
      </w:r>
    </w:p>
    <w:p>
      <w:pPr>
        <w:spacing w:after="120"/>
      </w:pPr>
      <w:r>
        <w:t xml:space="preserve">The 24 world events draw from public-domain English translations of the following sources:</w:t>
      </w:r>
    </w:p>
    <w:p>
      <w:pPr>
        <w:pStyle w:val="ListParagraph"/>
        <w:numPr>
          <w:ilvl w:val="0"/>
          <w:numId w:val="2"/>
        </w:numPr>
        <w:spacing w:after="60"/>
      </w:pPr>
      <w:r>
        <w:t xml:space="preserve">Sumerian King List; Sumerian Farmer's Almanac; Epic of Gilgamesh</w:t>
      </w:r>
    </w:p>
    <w:p>
      <w:pPr>
        <w:pStyle w:val="ListParagraph"/>
        <w:numPr>
          <w:ilvl w:val="0"/>
          <w:numId w:val="2"/>
        </w:numPr>
        <w:spacing w:after="60"/>
      </w:pPr>
      <w:r>
        <w:t xml:space="preserve">Code of Hammurabi; Deuteronomy; Cyrus Cylinder</w:t>
      </w:r>
    </w:p>
    <w:p>
      <w:pPr>
        <w:pStyle w:val="ListParagraph"/>
        <w:numPr>
          <w:ilvl w:val="0"/>
          <w:numId w:val="2"/>
        </w:numPr>
        <w:spacing w:after="60"/>
      </w:pPr>
      <w:r>
        <w:t xml:space="preserve">Ramesses II's Kadesh inscription; Medinet Habu (Sea Peoples)</w:t>
      </w:r>
    </w:p>
    <w:p>
      <w:pPr>
        <w:pStyle w:val="ListParagraph"/>
        <w:numPr>
          <w:ilvl w:val="0"/>
          <w:numId w:val="2"/>
        </w:numPr>
        <w:spacing w:after="60"/>
      </w:pPr>
      <w:r>
        <w:t xml:space="preserve">Ashurnasirpal II and Esarhaddon royal inscriptions</w:t>
      </w:r>
    </w:p>
    <w:p>
      <w:pPr>
        <w:pStyle w:val="ListParagraph"/>
        <w:numPr>
          <w:ilvl w:val="0"/>
          <w:numId w:val="2"/>
        </w:numPr>
        <w:spacing w:after="60"/>
      </w:pPr>
      <w:r>
        <w:t xml:space="preserve">Plato's Timaeus and Apology; Aeschylus's Persians</w:t>
      </w:r>
    </w:p>
    <w:p>
      <w:pPr>
        <w:pStyle w:val="ListParagraph"/>
        <w:numPr>
          <w:ilvl w:val="0"/>
          <w:numId w:val="2"/>
        </w:numPr>
        <w:spacing w:after="60"/>
      </w:pPr>
      <w:r>
        <w:t xml:space="preserve">Arrian's Anabasis Alexandri; Plutarch's Life of Demetrius; Polybius</w:t>
      </w:r>
    </w:p>
    <w:p>
      <w:pPr>
        <w:pStyle w:val="ListParagraph"/>
        <w:numPr>
          <w:ilvl w:val="0"/>
          <w:numId w:val="2"/>
        </w:numPr>
        <w:spacing w:after="60"/>
      </w:pPr>
      <w:r>
        <w:t xml:space="preserve">Res Gestae Divi Augusti; Marcus Aurelius's Meditations; Augustine's City of God</w:t>
      </w:r>
    </w:p>
    <w:p>
      <w:pPr>
        <w:spacing w:after="120"/>
      </w:pPr>
      <w:r>
        <w:t xml:space="preserve"/>
      </w:r>
    </w:p>
    <w:p>
      <w:pPr>
        <w:spacing w:after="120"/>
      </w:pPr>
      <w:r>
        <w:t xml:space="preserve">All excerpts are under 100 words each and include attribution visible to the student.</w:t>
      </w:r>
    </w:p>
    <w:p>
      <w:pPr>
        <w:pStyle w:val="Heading1"/>
        <w:spacing w:after="120" w:before="240"/>
      </w:pPr>
      <w:r>
        <w:rPr>
          <w:b/>
          <w:bCs/>
          <w:color w:val="7A3A10"/>
        </w:rPr>
        <w:t xml:space="preserve">Appendix B: Contact</w:t>
      </w:r>
    </w:p>
    <w:p>
      <w:pPr>
        <w:spacing w:after="120"/>
      </w:pPr>
      <w:r>
        <w:t xml:space="preserve">Questions, feedback, or requests for classroom trials: contact the project owner through the Bishop Diego High School administration.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Ancient World Simulation — Standards Alignment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7A3A10"/>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7A3A10"/>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A07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2026-04-20T05:14:40.348Z</dcterms:created>
  <dcterms:modified xsi:type="dcterms:W3CDTF">2026-04-20T05:14:40.348Z</dcterms:modified>
</cp:coreProperties>
</file>

<file path=docProps/custom.xml><?xml version="1.0" encoding="utf-8"?>
<Properties xmlns="http://schemas.openxmlformats.org/officeDocument/2006/custom-properties" xmlns:vt="http://schemas.openxmlformats.org/officeDocument/2006/docPropsVTypes"/>
</file>