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b/>
          <w:color w:val="A88143"/>
          <w:sz w:val="16"/>
        </w:rPr>
        <w:t>PROJECT HANDOFF  /  30 OCTOBER 2026</w:t>
      </w:r>
    </w:p>
    <w:p>
      <w:pPr>
        <w:pStyle w:val="Title"/>
      </w:pPr>
      <w:r>
        <w:t>MHA Grievance</w:t>
        <w:br/>
        <w:t>Department Workspace</w:t>
      </w:r>
    </w:p>
    <w:p>
      <w:pPr>
        <w:spacing w:after="280"/>
      </w:pPr>
      <w:r>
        <w:rPr>
          <w:color w:val="637586"/>
          <w:sz w:val="24"/>
        </w:rPr>
        <w:t>Editable reference for the multilingual voice-first grievance dashboard prototype</w:t>
      </w:r>
    </w:p>
    <w:tbl>
      <w:tblPr>
        <w:tblW w:type="auto" w:w="0"/>
        <w:jc w:val="center"/>
        <w:tblLook w:firstColumn="1" w:firstRow="1" w:lastColumn="0" w:lastRow="0" w:noHBand="0" w:noVBand="1" w:val="04A0"/>
      </w:tblPr>
      <w:tblGrid>
        <w:gridCol w:w="10166"/>
      </w:tblGrid>
      <w:tr>
        <w:tc>
          <w:tcPr>
            <w:tcW w:type="dxa" w:w="10166"/>
            <w:shd w:fill="EEF4F7"/>
            <w:tcMar>
              <w:top w:w="170" w:type="dxa"/>
              <w:start w:w="200" w:type="dxa"/>
              <w:bottom w:w="170" w:type="dxa"/>
              <w:end w:w="200" w:type="dxa"/>
            </w:tcMar>
          </w:tcPr>
          <w:p>
            <w:pPr>
              <w:spacing w:after="0"/>
            </w:pPr>
            <w:r>
              <w:rPr>
                <w:b/>
                <w:color w:val="1F5B7E"/>
              </w:rPr>
              <w:t xml:space="preserve">Current result  </w:t>
            </w:r>
            <w:r>
              <w:t>A runnable React + TypeScript dashboard prototype with simulated role switching, ward/division filtering, editable role and user management, triage filters, ticket details, and browser-persisted status updates. The interface uses mock data and does not connect to MHA systems or perform real translation/notifications.</w:t>
            </w:r>
          </w:p>
        </w:tc>
      </w:tr>
    </w:tbl>
    <w:p>
      <w:pPr>
        <w:pStyle w:val="Heading1"/>
      </w:pPr>
      <w:r>
        <w:t>1  What is in the workspace</w:t>
      </w:r>
    </w:p>
    <w:tbl>
      <w:tblPr>
        <w:tblStyle w:val="LightShading-Accent1"/>
        <w:tblW w:type="auto" w:w="0"/>
        <w:jc w:val="center"/>
        <w:tblLook w:firstColumn="1" w:firstRow="1" w:lastColumn="0" w:lastRow="0" w:noHBand="0" w:noVBand="1" w:val="04A0"/>
      </w:tblPr>
      <w:tblGrid>
        <w:gridCol w:w="5083"/>
        <w:gridCol w:w="5083"/>
      </w:tblGrid>
      <w:tr>
        <w:tc>
          <w:tcPr>
            <w:tcW w:type="dxa" w:w="5083"/>
            <w:shd w:fill="173A59"/>
          </w:tcPr>
          <w:p>
            <w:r>
              <w:rPr>
                <w:b/>
                <w:color w:val="FFFFFF"/>
                <w:sz w:val="16"/>
              </w:rPr>
              <w:t>File</w:t>
            </w:r>
          </w:p>
        </w:tc>
        <w:tc>
          <w:tcPr>
            <w:tcW w:type="dxa" w:w="5083"/>
            <w:shd w:fill="173A59"/>
          </w:tcPr>
          <w:p>
            <w:r>
              <w:rPr>
                <w:b/>
                <w:color w:val="FFFFFF"/>
                <w:sz w:val="16"/>
              </w:rPr>
              <w:t>Purpose</w:t>
            </w:r>
          </w:p>
        </w:tc>
      </w:tr>
      <w:tr>
        <w:tc>
          <w:tcPr>
            <w:tcW w:type="dxa" w:w="5083"/>
            <w:tcMar>
              <w:top w:w="100" w:type="dxa"/>
              <w:start w:w="120" w:type="dxa"/>
              <w:bottom w:w="100" w:type="dxa"/>
              <w:end w:w="120" w:type="dxa"/>
            </w:tcMar>
            <w:vAlign w:val="center"/>
          </w:tcPr>
          <w:p>
            <w:r>
              <w:rPr>
                <w:rFonts w:ascii="Consolas" w:hAnsi="Consolas"/>
                <w:color w:val="2B5C7D"/>
                <w:sz w:val="16"/>
              </w:rPr>
              <w:t>src/App.tsx</w:t>
            </w:r>
          </w:p>
        </w:tc>
        <w:tc>
          <w:tcPr>
            <w:tcW w:type="dxa" w:w="5083"/>
            <w:tcMar>
              <w:top w:w="100" w:type="dxa"/>
              <w:start w:w="120" w:type="dxa"/>
              <w:bottom w:w="100" w:type="dxa"/>
              <w:end w:w="120" w:type="dxa"/>
            </w:tcMar>
            <w:vAlign w:val="center"/>
          </w:tcPr>
          <w:p>
            <w:r>
              <w:rPr>
                <w:sz w:val="16"/>
              </w:rPr>
              <w:t>Complete dashboard shell, terminal simulator, scope-aware inbox, details drawer, officer action desk, role creation and user onboarding modals.</w:t>
            </w:r>
          </w:p>
        </w:tc>
      </w:tr>
      <w:tr>
        <w:tc>
          <w:tcPr>
            <w:tcW w:type="dxa" w:w="5083"/>
            <w:tcMar>
              <w:top w:w="100" w:type="dxa"/>
              <w:start w:w="120" w:type="dxa"/>
              <w:bottom w:w="100" w:type="dxa"/>
              <w:end w:w="120" w:type="dxa"/>
            </w:tcMar>
            <w:vAlign w:val="center"/>
          </w:tcPr>
          <w:p>
            <w:r>
              <w:rPr>
                <w:rFonts w:ascii="Consolas" w:hAnsi="Consolas"/>
                <w:color w:val="2B5C7D"/>
                <w:sz w:val="16"/>
              </w:rPr>
              <w:t>src/styles.css</w:t>
            </w:r>
          </w:p>
        </w:tc>
        <w:tc>
          <w:tcPr>
            <w:tcW w:type="dxa" w:w="5083"/>
            <w:tcMar>
              <w:top w:w="100" w:type="dxa"/>
              <w:start w:w="120" w:type="dxa"/>
              <w:bottom w:w="100" w:type="dxa"/>
              <w:end w:w="120" w:type="dxa"/>
            </w:tcMar>
            <w:vAlign w:val="center"/>
          </w:tcPr>
          <w:p>
            <w:r>
              <w:rPr>
                <w:sz w:val="16"/>
              </w:rPr>
              <w:t>Responsive visual system for desktop, tablet, and mobile layouts.</w:t>
            </w:r>
          </w:p>
        </w:tc>
      </w:tr>
      <w:tr>
        <w:tc>
          <w:tcPr>
            <w:tcW w:type="dxa" w:w="5083"/>
            <w:tcMar>
              <w:top w:w="100" w:type="dxa"/>
              <w:start w:w="120" w:type="dxa"/>
              <w:bottom w:w="100" w:type="dxa"/>
              <w:end w:w="120" w:type="dxa"/>
            </w:tcMar>
            <w:vAlign w:val="center"/>
          </w:tcPr>
          <w:p>
            <w:r>
              <w:rPr>
                <w:rFonts w:ascii="Consolas" w:hAnsi="Consolas"/>
                <w:color w:val="2B5C7D"/>
                <w:sz w:val="16"/>
              </w:rPr>
              <w:t>src/types/grievance.ts</w:t>
            </w:r>
          </w:p>
        </w:tc>
        <w:tc>
          <w:tcPr>
            <w:tcW w:type="dxa" w:w="5083"/>
            <w:tcMar>
              <w:top w:w="100" w:type="dxa"/>
              <w:start w:w="120" w:type="dxa"/>
              <w:bottom w:w="100" w:type="dxa"/>
              <w:end w:w="120" w:type="dxa"/>
            </w:tcMar>
            <w:vAlign w:val="center"/>
          </w:tcPr>
          <w:p>
            <w:r>
              <w:rPr>
                <w:sz w:val="16"/>
              </w:rPr>
              <w:t>Strict domain types, including role permissions, scope, ticket base fields, and category-specific discriminated payloads.</w:t>
            </w:r>
          </w:p>
        </w:tc>
      </w:tr>
      <w:tr>
        <w:tc>
          <w:tcPr>
            <w:tcW w:type="dxa" w:w="5083"/>
            <w:tcMar>
              <w:top w:w="100" w:type="dxa"/>
              <w:start w:w="120" w:type="dxa"/>
              <w:bottom w:w="100" w:type="dxa"/>
              <w:end w:w="120" w:type="dxa"/>
            </w:tcMar>
            <w:vAlign w:val="center"/>
          </w:tcPr>
          <w:p>
            <w:r>
              <w:rPr>
                <w:rFonts w:ascii="Consolas" w:hAnsi="Consolas"/>
                <w:color w:val="2B5C7D"/>
                <w:sz w:val="16"/>
              </w:rPr>
              <w:t>src/data/mockData.ts</w:t>
            </w:r>
          </w:p>
        </w:tc>
        <w:tc>
          <w:tcPr>
            <w:tcW w:type="dxa" w:w="5083"/>
            <w:tcMar>
              <w:top w:w="100" w:type="dxa"/>
              <w:start w:w="120" w:type="dxa"/>
              <w:bottom w:w="100" w:type="dxa"/>
              <w:end w:w="120" w:type="dxa"/>
            </w:tcMar>
            <w:vAlign w:val="center"/>
          </w:tcPr>
          <w:p>
            <w:r>
              <w:rPr>
                <w:sz w:val="16"/>
              </w:rPr>
              <w:t>Three wards, four demo roles/users, and eight realistic sample grievances.</w:t>
            </w:r>
          </w:p>
        </w:tc>
      </w:tr>
      <w:tr>
        <w:tc>
          <w:tcPr>
            <w:tcW w:type="dxa" w:w="5083"/>
            <w:tcMar>
              <w:top w:w="100" w:type="dxa"/>
              <w:start w:w="120" w:type="dxa"/>
              <w:bottom w:w="100" w:type="dxa"/>
              <w:end w:w="120" w:type="dxa"/>
            </w:tcMar>
            <w:vAlign w:val="center"/>
          </w:tcPr>
          <w:p>
            <w:r>
              <w:rPr>
                <w:rFonts w:ascii="Consolas" w:hAnsi="Consolas"/>
                <w:color w:val="2B5C7D"/>
                <w:sz w:val="16"/>
              </w:rPr>
              <w:t>START_MHA_DASHBOARD.bat</w:t>
            </w:r>
          </w:p>
        </w:tc>
        <w:tc>
          <w:tcPr>
            <w:tcW w:type="dxa" w:w="5083"/>
            <w:tcMar>
              <w:top w:w="100" w:type="dxa"/>
              <w:start w:w="120" w:type="dxa"/>
              <w:bottom w:w="100" w:type="dxa"/>
              <w:end w:w="120" w:type="dxa"/>
            </w:tcMar>
            <w:vAlign w:val="center"/>
          </w:tcPr>
          <w:p>
            <w:r>
              <w:rPr>
                <w:sz w:val="16"/>
              </w:rPr>
              <w:t>Windows launcher: checks Node, installs dependencies on first run, opens the local app and starts Vite.</w:t>
            </w:r>
          </w:p>
        </w:tc>
      </w:tr>
      <w:tr>
        <w:tc>
          <w:tcPr>
            <w:tcW w:type="dxa" w:w="5083"/>
            <w:tcMar>
              <w:top w:w="100" w:type="dxa"/>
              <w:start w:w="120" w:type="dxa"/>
              <w:bottom w:w="100" w:type="dxa"/>
              <w:end w:w="120" w:type="dxa"/>
            </w:tcMar>
            <w:vAlign w:val="center"/>
          </w:tcPr>
          <w:p>
            <w:r>
              <w:rPr>
                <w:rFonts w:ascii="Consolas" w:hAnsi="Consolas"/>
                <w:color w:val="2B5C7D"/>
                <w:sz w:val="16"/>
              </w:rPr>
              <w:t>package.json / vite.config.ts</w:t>
            </w:r>
          </w:p>
        </w:tc>
        <w:tc>
          <w:tcPr>
            <w:tcW w:type="dxa" w:w="5083"/>
            <w:tcMar>
              <w:top w:w="100" w:type="dxa"/>
              <w:start w:w="120" w:type="dxa"/>
              <w:bottom w:w="100" w:type="dxa"/>
              <w:end w:w="120" w:type="dxa"/>
            </w:tcMar>
            <w:vAlign w:val="center"/>
          </w:tcPr>
          <w:p>
            <w:r>
              <w:rPr>
                <w:sz w:val="16"/>
              </w:rPr>
              <w:t>Vite, React, TypeScript and Tailwind v4 project setup.</w:t>
            </w:r>
          </w:p>
        </w:tc>
      </w:tr>
    </w:tbl>
    <w:p>
      <w:pPr>
        <w:pStyle w:val="Heading1"/>
      </w:pPr>
      <w:r>
        <w:t>2  Architecture at a glance</w:t>
      </w:r>
    </w:p>
    <w:p>
      <w:r>
        <w:t>The prototype is a single-page Vite application. The active role and user determine the visible ticket set; localStorage saves demo changes so a judge can switch terminals and revisit the updated queue in the same browser.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89"/>
        <w:gridCol w:w="3389"/>
        <w:gridCol w:w="3389"/>
      </w:tblGrid>
      <w:tr>
        <w:trPr>
          <w:cantSplit/>
        </w:trPr>
        <w:tc>
          <w:tcPr>
            <w:tcW w:type="dxa" w:w="3024"/>
            <w:tcMar>
              <w:top w:w="85" w:type="dxa"/>
              <w:start w:w="135" w:type="dxa"/>
              <w:bottom w:w="85" w:type="dxa"/>
              <w:end w:w="135" w:type="dxa"/>
            </w:tcMar>
            <w:shd w:fill="EAF2F7"/>
          </w:tcPr>
          <w:p>
            <w:r/>
            <w:r>
              <w:rPr>
                <w:b/>
                <w:color w:val="255B7C"/>
                <w:sz w:val="18"/>
              </w:rPr>
              <w:t>ROLE SIMULATOR</w:t>
            </w:r>
            <w:r>
              <w:rPr>
                <w:sz w:val="16"/>
              </w:rPr>
              <w:br/>
              <w:t>Super Admin · Cyber desk · Ward 101 · Multi-ward</w:t>
            </w:r>
          </w:p>
        </w:tc>
        <w:tc>
          <w:tcPr>
            <w:tcW w:type="dxa" w:w="792"/>
            <w:tcMar>
              <w:top w:w="85" w:type="dxa"/>
              <w:start w:w="135" w:type="dxa"/>
              <w:bottom w:w="85" w:type="dxa"/>
              <w:end w:w="135" w:type="dxa"/>
            </w:tcMar>
            <w:shd w:fill="F8F9FA"/>
          </w:tcPr>
          <w:p>
            <w:pPr>
              <w:jc w:val="center"/>
            </w:pPr>
            <w:r/>
            <w:r>
              <w:rPr>
                <w:b/>
                <w:color w:val="AA8446"/>
                <w:sz w:val="30"/>
              </w:rPr>
              <w:t>→</w:t>
            </w:r>
          </w:p>
        </w:tc>
        <w:tc>
          <w:tcPr>
            <w:tcW w:type="dxa" w:w="5112"/>
            <w:tcMar>
              <w:top w:w="85" w:type="dxa"/>
              <w:start w:w="135" w:type="dxa"/>
              <w:bottom w:w="85" w:type="dxa"/>
              <w:end w:w="135" w:type="dxa"/>
            </w:tcMar>
            <w:shd w:fill="F5F7F9"/>
          </w:tcPr>
          <w:p>
            <w:r/>
            <w:r>
              <w:rPr>
                <w:b/>
                <w:color w:val="255B7C"/>
                <w:sz w:val="18"/>
              </w:rPr>
              <w:t>ACCESS RULES</w:t>
            </w:r>
            <w:r>
              <w:rPr>
                <w:sz w:val="16"/>
              </w:rPr>
              <w:br/>
              <w:t>GLOBAL: all tickets</w:t>
              <w:br/>
              <w:t>DIVISION: matching division</w:t>
              <w:br/>
              <w:t>WARD: assigned ward IDs</w:t>
            </w:r>
          </w:p>
        </w:tc>
      </w:tr>
      <w:tr>
        <w:trPr>
          <w:cantSplit/>
        </w:trPr>
        <w:tc>
          <w:tcPr>
            <w:tcW w:type="dxa" w:w="3024"/>
            <w:tcMar>
              <w:top w:w="85" w:type="dxa"/>
              <w:start w:w="135" w:type="dxa"/>
              <w:bottom w:w="85" w:type="dxa"/>
              <w:end w:w="135" w:type="dxa"/>
            </w:tcMar>
            <w:shd w:fill="EAF2F7"/>
          </w:tcPr>
          <w:p>
            <w:r/>
            <w:r>
              <w:rPr>
                <w:b/>
                <w:color w:val="255B7C"/>
                <w:sz w:val="18"/>
              </w:rPr>
              <w:t>DEMO STATE</w:t>
            </w:r>
            <w:r>
              <w:rPr>
                <w:sz w:val="16"/>
              </w:rPr>
              <w:br/>
              <w:t>Roles · Users · Wards · Tickets</w:t>
            </w:r>
          </w:p>
        </w:tc>
        <w:tc>
          <w:tcPr>
            <w:tcW w:type="dxa" w:w="792"/>
            <w:tcMar>
              <w:top w:w="85" w:type="dxa"/>
              <w:start w:w="135" w:type="dxa"/>
              <w:bottom w:w="85" w:type="dxa"/>
              <w:end w:w="135" w:type="dxa"/>
            </w:tcMar>
            <w:shd w:fill="F8F9FA"/>
          </w:tcPr>
          <w:p>
            <w:pPr>
              <w:jc w:val="center"/>
            </w:pPr>
            <w:r/>
            <w:r>
              <w:rPr>
                <w:b/>
                <w:color w:val="AA8446"/>
                <w:sz w:val="30"/>
              </w:rPr>
              <w:t>→</w:t>
            </w:r>
          </w:p>
        </w:tc>
        <w:tc>
          <w:tcPr>
            <w:tcW w:type="dxa" w:w="5112"/>
            <w:tcMar>
              <w:top w:w="85" w:type="dxa"/>
              <w:start w:w="135" w:type="dxa"/>
              <w:bottom w:w="85" w:type="dxa"/>
              <w:end w:w="135" w:type="dxa"/>
            </w:tcMar>
            <w:shd w:fill="F5F7F9"/>
          </w:tcPr>
          <w:p>
            <w:r/>
            <w:r>
              <w:rPr>
                <w:b/>
                <w:color w:val="255B7C"/>
                <w:sz w:val="18"/>
              </w:rPr>
              <w:t>INBOX</w:t>
            </w:r>
            <w:r>
              <w:rPr>
                <w:sz w:val="16"/>
              </w:rPr>
              <w:br/>
              <w:t>Search · status · division filters</w:t>
              <w:br/>
              <w:t>SLA and status indicators</w:t>
            </w:r>
          </w:p>
        </w:tc>
      </w:tr>
      <w:tr>
        <w:trPr>
          <w:cantSplit/>
        </w:trPr>
        <w:tc>
          <w:tcPr>
            <w:tcW w:type="dxa" w:w="3024"/>
            <w:tcMar>
              <w:top w:w="85" w:type="dxa"/>
              <w:start w:w="135" w:type="dxa"/>
              <w:bottom w:w="85" w:type="dxa"/>
              <w:end w:w="135" w:type="dxa"/>
            </w:tcMar>
            <w:shd w:fill="EAF2F7"/>
          </w:tcPr>
          <w:p>
            <w:r/>
            <w:r>
              <w:rPr>
                <w:b/>
                <w:color w:val="255B7C"/>
                <w:sz w:val="18"/>
              </w:rPr>
              <w:t>LOCAL STORAGE</w:t>
            </w:r>
            <w:r>
              <w:rPr>
                <w:sz w:val="16"/>
              </w:rPr>
              <w:br/>
              <w:t>Role and user edits</w:t>
              <w:br/>
              <w:t>Ticket status and ATR</w:t>
            </w:r>
          </w:p>
        </w:tc>
        <w:tc>
          <w:tcPr>
            <w:tcW w:type="dxa" w:w="792"/>
            <w:tcMar>
              <w:top w:w="85" w:type="dxa"/>
              <w:start w:w="135" w:type="dxa"/>
              <w:bottom w:w="85" w:type="dxa"/>
              <w:end w:w="135" w:type="dxa"/>
            </w:tcMar>
            <w:shd w:fill="F8F9FA"/>
          </w:tcPr>
          <w:p>
            <w:pPr>
              <w:jc w:val="center"/>
            </w:pPr>
            <w:r/>
            <w:r>
              <w:rPr>
                <w:b/>
                <w:color w:val="AA8446"/>
                <w:sz w:val="30"/>
              </w:rPr>
              <w:t>→</w:t>
            </w:r>
          </w:p>
        </w:tc>
        <w:tc>
          <w:tcPr>
            <w:tcW w:type="dxa" w:w="5112"/>
            <w:tcMar>
              <w:top w:w="85" w:type="dxa"/>
              <w:start w:w="135" w:type="dxa"/>
              <w:bottom w:w="85" w:type="dxa"/>
              <w:end w:w="135" w:type="dxa"/>
            </w:tcMar>
            <w:shd w:fill="F5F7F9"/>
          </w:tcPr>
          <w:p>
            <w:r/>
            <w:r>
              <w:rPr>
                <w:b/>
                <w:color w:val="255B7C"/>
                <w:sz w:val="18"/>
              </w:rPr>
              <w:t>CASE WORKSPACE</w:t>
            </w:r>
            <w:r>
              <w:rPr>
                <w:sz w:val="16"/>
              </w:rPr>
              <w:br/>
              <w:t>Transcript · incident data · location</w:t>
              <w:br/>
              <w:t>Officer report · simulated response</w:t>
            </w:r>
          </w:p>
        </w:tc>
      </w:tr>
    </w:tbl>
    <w:p>
      <w:pPr>
        <w:pStyle w:val="Heading1"/>
      </w:pPr>
      <w:r>
        <w:t>3  Demo access and behavior</w:t>
      </w:r>
    </w:p>
    <w:p>
      <w:pPr>
        <w:pStyle w:val="ListBullet"/>
      </w:pPr>
      <w:r>
        <w:t>Super Admin (Nodal Officer): GLOBAL scope, all five permissions, creates roles and onboards officers.</w:t>
      </w:r>
    </w:p>
    <w:p>
      <w:pPr>
        <w:pStyle w:val="ListBullet"/>
      </w:pPr>
      <w:r>
        <w:t>Cybercrime Desk Officer: DIVISION scope restricted to Cyber &amp; Information Security.</w:t>
      </w:r>
    </w:p>
    <w:p>
      <w:pPr>
        <w:pStyle w:val="ListBullet"/>
      </w:pPr>
      <w:r>
        <w:t>Ward 101 Inspector: WARD scope restricted to WARD-101.</w:t>
      </w:r>
    </w:p>
    <w:p>
      <w:pPr>
        <w:pStyle w:val="ListBullet"/>
      </w:pPr>
      <w:r>
        <w:t>Multi-Ward Supervisor: WARD scope restricted to WARD-101 and WARD-102.</w:t>
      </w:r>
    </w:p>
    <w:p>
      <w:pPr>
        <w:pStyle w:val="ListBullet"/>
      </w:pPr>
      <w:r>
        <w:t>Use the top-right active terminal selector to switch users instantly. The queue, summary cards, SLA overview, and scope label recalculate from the selected user.</w:t>
      </w:r>
    </w:p>
    <w:p>
      <w:pPr>
        <w:pStyle w:val="ListBullet"/>
      </w:pPr>
      <w:r>
        <w:t>Open a queue row to view transcript, category payload, location, timeline, and the officer action desk. Status and action report persist locally.</w:t>
      </w:r>
    </w:p>
    <w:p>
      <w:pPr>
        <w:pStyle w:val="ListBullet"/>
      </w:pPr>
      <w:r>
        <w:t>As Super Admin, create roles with GLOBAL, DIVISION, or WARD scope and choose permissions. Onboard users and assign ward IDs for ward-scoped roles.</w:t>
      </w:r>
    </w:p>
    <w:p>
      <w:pPr>
        <w:pStyle w:val="ListBullet"/>
      </w:pPr>
      <w:r>
        <w:t>Role management entry points display a helpful message when the active user lacks users:manage permission.</w:t>
      </w:r>
    </w:p>
    <w:p>
      <w:pPr>
        <w:pStyle w:val="Heading1"/>
      </w:pPr>
      <w:r>
        <w:t>4  Start the dashboard on Windows</w:t>
      </w:r>
    </w:p>
    <w:p>
      <w:pPr>
        <w:pStyle w:val="ListNumber"/>
      </w:pPr>
      <w:r>
        <w:t>Install Node.js 20 or newer if it is not already installed.</w:t>
      </w:r>
    </w:p>
    <w:p>
      <w:pPr>
        <w:pStyle w:val="ListNumber"/>
      </w:pPr>
      <w:r>
        <w:t>Double-click START_MHA_DASHBOARD.bat in the project folder.</w:t>
      </w:r>
    </w:p>
    <w:p>
      <w:pPr>
        <w:pStyle w:val="ListNumber"/>
      </w:pPr>
      <w:r>
        <w:t>On first run, the launcher runs npm install. Later runs reuse node_modules.</w:t>
      </w:r>
    </w:p>
    <w:p>
      <w:pPr>
        <w:pStyle w:val="ListNumber"/>
      </w:pPr>
      <w:r>
        <w:t>The launcher opens http://localhost:5173 and starts the Vite development server in the command window. Keep that window open while using the dashboard; press Ctrl+C to stop it.</w:t>
      </w:r>
    </w:p>
    <w:p>
      <w:pPr>
        <w:spacing w:after="40"/>
        <w:ind w:left="187"/>
      </w:pPr>
      <w:r>
        <w:rPr>
          <w:rFonts w:ascii="Consolas" w:hAnsi="Consolas"/>
          <w:color w:val="2C516C"/>
          <w:sz w:val="16"/>
        </w:rPr>
        <w:t>npm run build   # production compile and bundle</w:t>
      </w:r>
    </w:p>
    <w:p>
      <w:pPr>
        <w:pStyle w:val="Heading1"/>
      </w:pPr>
      <w:r>
        <w:t>5  Schema and mock data</w:t>
      </w:r>
    </w:p>
    <w:p>
      <w:r>
        <w:t>The Ticket union ties each category to a typed details object and division ID. Common fields include grievance ID, complainant profile and OTP state, mobile, full address, pincode, GPS coordinates, ward, status, SLA deadline, language, truth declaration, audio URL, regional text, English text, and evidence attachments.</w:t>
      </w:r>
    </w:p>
    <w:p>
      <w:pPr>
        <w:pStyle w:val="ListBullet"/>
      </w:pPr>
      <w:r>
        <w:t>Cybercrime: transaction/UTR, lost amount, incident time, platform, suspect details.</w:t>
      </w:r>
    </w:p>
    <w:p>
      <w:pPr>
        <w:pStyle w:val="ListBullet"/>
      </w:pPr>
      <w:r>
        <w:t>Immigration: passport, application reference, nationality, visa/OCI type, issue and expiry dates.</w:t>
      </w:r>
    </w:p>
    <w:p>
      <w:pPr>
        <w:pStyle w:val="ListBullet"/>
      </w:pPr>
      <w:r>
        <w:t>Disaster relief: masked Aadhaar, bank account and IFSC, disaster, damage category.</w:t>
      </w:r>
    </w:p>
    <w:p>
      <w:pPr>
        <w:pStyle w:val="ListBullet"/>
      </w:pPr>
      <w:r>
        <w:t>UT administration: UT, civic department, ward/zone and property ID.</w:t>
      </w:r>
    </w:p>
    <w:p>
      <w:pPr>
        <w:pStyle w:val="ListBullet"/>
      </w:pPr>
      <w:r>
        <w:t>Additional divisions from the supplied requirements document are represented by typed payloads for freedom fighter rehabilitation, CAPF misconduct, NGO/FCRA, internal security, counter terrorism, LWE/North East, border management, judicial, police, Centre-State, and internal administration.</w:t>
      </w:r>
    </w:p>
    <w:p>
      <w:r>
        <w:t>Mock tickets use Delhi wards 101, 102, and 103, Hindi/Tamil/Urdu/English and other language examples, and four requested divisions. Personal data values are fictional and partially masked where sensitive fields are represented.</w:t>
      </w:r>
    </w:p>
    <w:p>
      <w:pPr>
        <w:pStyle w:val="Heading1"/>
      </w:pPr>
      <w:r>
        <w:t>6  Prototype boundaries and next engineering work</w:t>
      </w:r>
    </w:p>
    <w:p>
      <w:pPr>
        <w:pStyle w:val="ListBullet"/>
      </w:pPr>
      <w:r>
        <w:t>Frontend-only demo: there is no API, authentication, server-side authorization, audit store, OTP provider, real SLA scheduler, or production database.</w:t>
      </w:r>
    </w:p>
    <w:p>
      <w:pPr>
        <w:pStyle w:val="ListBullet"/>
      </w:pPr>
      <w:r>
        <w:t>Audio uses a local illustrative demo clip. Replace audioFileUrl with each real intake recording URL when the citizen frontend/backend is integrated.</w:t>
      </w:r>
    </w:p>
    <w:p>
      <w:pPr>
        <w:pStyle w:val="ListBullet"/>
      </w:pPr>
      <w:r>
        <w:t>Translation and citizen notifications are simulated. Connect approved translation, speech, and notification services before representing them as live capabilities.</w:t>
      </w:r>
    </w:p>
    <w:p>
      <w:pPr>
        <w:pStyle w:val="ListBullet"/>
      </w:pPr>
      <w:r>
        <w:t>Browser localStorage is for a single-device demo only; it is not secure, multi-user, or suitable for sensitive production grievance data.</w:t>
      </w:r>
    </w:p>
    <w:p>
      <w:pPr>
        <w:pStyle w:val="ListBullet"/>
      </w:pPr>
      <w:r>
        <w:t>Next: agree API contracts with the chatbot team; build authenticated backend endpoints; enforce every scope and permission on the server; add audit history and evidence storage; implement SLA calculations from deadlines; validate schemas at runtime; add tests and accessibility review.</w:t>
      </w:r>
    </w:p>
    <w:p>
      <w:pPr>
        <w:pStyle w:val="ListBullet"/>
      </w:pPr>
      <w:r>
        <w:t>Before a public demo, replace fictional data and local URLs as needed, and clear the demo browser storage using DevTools Application → Local Storage → localhost:5173.</w:t>
      </w:r>
    </w:p>
    <w:p>
      <w:pPr>
        <w:pStyle w:val="Heading1"/>
      </w:pPr>
      <w:r>
        <w:t>7  Files to continue with</w:t>
      </w:r>
    </w:p>
    <w:p>
      <w:pPr>
        <w:pStyle w:val="ListBullet"/>
      </w:pPr>
      <w:r>
        <w:t>Data shape or categories: edit src/types/grievance.ts, then update src/data/mockData.ts.</w:t>
      </w:r>
    </w:p>
    <w:p>
      <w:pPr>
        <w:pStyle w:val="ListBullet"/>
      </w:pPr>
      <w:r>
        <w:t>Workspace interactions and UI: edit src/App.tsx.</w:t>
      </w:r>
    </w:p>
    <w:p>
      <w:pPr>
        <w:pStyle w:val="ListBullet"/>
      </w:pPr>
      <w:r>
        <w:t>Visual styling and responsive breakpoints: edit src/styles.css.</w:t>
      </w:r>
    </w:p>
    <w:p>
      <w:pPr>
        <w:pStyle w:val="ListBullet"/>
      </w:pPr>
      <w:r>
        <w:t>Run the prototype: START_MHA_DASHBOARD.bat.</w:t>
      </w:r>
    </w:p>
    <w:p>
      <w:pPr>
        <w:pStyle w:val="ListBullet"/>
      </w:pPr>
      <w:r>
        <w:t>Confirm the code compiles: npm run build.</w:t>
      </w: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F9D"/>
        <w:sz w:val="14"/>
      </w:rPr>
      <w:t>MHA Grievance Department Workspace  •  Editable implementation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28495"/>
        <w:sz w:val="14"/>
      </w:rPr>
      <w:t>HACKNOVATE 2026  /  PROJECT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1415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A59"/>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7668C"/>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344B6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A5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MHA Grievance Department Workspace Handoff</dc:title>
  <dc:subject>Editable implementation reference for the Hacknovate 2026 MHA dashboard prototype</dc:subject>
  <dc:creator>Hacknovate 2026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