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sz w:val="24"/>
          <w:szCs w:val="24"/>
        </w:rPr>
        <w:t xml:space="preserve">SINTESIS FILOSOFI PENDIDIKAN NASIONAL DAN POLA PIKIR BERTUMBUH:</w:t>
      </w:r>
    </w:p>
    <w:p>
      <w:pPr>
        <w:spacing w:after="240" w:before="0" w:line="360"/>
        <w:jc w:val="center"/>
      </w:pPr>
      <w:r>
        <w:rPr>
          <w:rFonts w:ascii="Times New Roman" w:cs="Times New Roman" w:eastAsia="Times New Roman" w:hAnsi="Times New Roman"/>
          <w:b/>
          <w:bCs/>
          <w:sz w:val="24"/>
          <w:szCs w:val="24"/>
        </w:rPr>
        <w:t xml:space="preserve">MEMBANGUN RESILIENSI GURU DALAM PENDIDIKAN YANG BERPUSAT PADA PESERTA DIDIK</w:t>
      </w:r>
    </w:p>
    <w:p>
      <w:pPr>
        <w:spacing w:after="320"/>
      </w:pP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Perjalanan saya menjadi seorang pendidik tidak dimulai dari ruang kuliah, melainkan dari bangku sekolah — tempat di mana saya pertama kali merasakan bagaimana cara seorang guru memandang muridnya dapat membentuk atau justru meruntuhkan kepercayaan diri seseorang. Masa sekolah mengajarkan saya bahwa pendidikan bukan sekadar transmisi pengetahuan, melainkan sebuah proses yang menyentuh jiwa secara mendalam.</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Saya masih ingat bagaimana seorang guru Matematika di sekolah menengah saya pernah berkata, "Anak ini tidak berbakat di sini." Kalimat itu tertancap lama, bukan karena kebenarannya, melainkan karena kuatnya pengaruh seorang guru terhadap citra diri murid. Sebaliknya, ada pula seorang guru Bahasa Indonesia yang selalu berkata, "Coba lagi, kamu pasti bisa lebih baik." Dua pengalaman yang bertolak belakang itulah yang kemudian menumbuhkan kesadaran dalam diri saya: guru yang baik adalah guru yang menuntun, bukan menghakimi.</w:t>
      </w:r>
    </w:p>
    <w:p>
      <w:pPr>
        <w:spacing w:after="160" w:before="240" w:line="360"/>
        <w:jc w:val="left"/>
      </w:pPr>
      <w:r>
        <w:rPr>
          <w:rFonts w:ascii="Times New Roman" w:cs="Times New Roman" w:eastAsia="Times New Roman" w:hAnsi="Times New Roman"/>
          <w:b/>
          <w:bCs/>
          <w:sz w:val="24"/>
          <w:szCs w:val="24"/>
        </w:rPr>
        <w:t xml:space="preserve">Menemukan Makna Melalui Pendidikan Profesi Guru</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Ketika saya mengikuti Program Pendidikan Profesi Guru (PPG), saya dipertemukan secara lebih dalam dengan pemikiran Ki Hadjar Dewantara — tokoh yang ternyata jauh lebih relevan dari yang saya bayangkan sebelumnya. Konsep "menuntun kodrat anak" yang beliau gagas terasa seperti sebuah cermin yang memantulkan kembali pengalaman masa sekolah saya. Saya mulai memahami bahwa tugas pendidik bukanlah membentuk anak sesuai keinginan kita, melainkan membantu mereka menemukan dan mengoptimalkan potensi yang sudah ada dalam diri mereka sejak lahir.</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Dalam mata kuliah Filosofi Pendidikan Nasional yang saya tempuh di PPG, saya belajar bahwa Ki Hadjar Dewantara memandang pendidikan melalui dua dimensi kodrat: kodrat alam — potensi dan sifat bawaan anak — serta kodrat zaman — tuntutan dan tantangan era yang mereka hadapi. Konsep ini membuka mata saya bahwa seorang guru yang baik harus mampu menjembatani keduanya: menghormati keunikan setiap anak, sekaligus mempersiapkan mereka menghadapi realitas zaman.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Salah satu momen paling berkesan selama PPG adalah ketika kami diminta melakukan observasi lapangan di sekolah mitra. Saya mendapati seorang murid yang dianggap "bermasalah" oleh beberapa guru karena ia sering tidak mengerjakan tugas tertulis. Namun, ketika diberi kesempatan untuk mempresentasikan idenya secara lisan dan visual, ia tampil luar biasa. Pengalaman itu mengonfirmasi bahwa setiap anak membawa "benih" yang berbeda — dan tugas guru adalah menciptakan tanah yang subur bagi benih itu, bukan memaksanya tumbuh seragam.</w:t>
      </w:r>
    </w:p>
    <w:p>
      <w:pPr>
        <w:spacing w:after="160" w:before="240" w:line="360"/>
        <w:jc w:val="left"/>
      </w:pPr>
      <w:r>
        <w:rPr>
          <w:rFonts w:ascii="Times New Roman" w:cs="Times New Roman" w:eastAsia="Times New Roman" w:hAnsi="Times New Roman"/>
          <w:b/>
          <w:bCs/>
          <w:sz w:val="24"/>
          <w:szCs w:val="24"/>
        </w:rPr>
        <w:t xml:space="preserve">Sintesis: Ketika Filosofi Ki Hadjar Bertemu Growth Mindset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Menariknya, filosofi Ki Hadjar Dewantara memiliki resonansi yang kuat dengan konsep growth mindset yang dikembangkan oleh Carol Dweck. Keduanya berakar pada keyakinan yang sama: bahwa kemampuan manusia bukan sesuatu yang tetap, melainkan sesuatu yang dapat terus berkembang melalui proses belajar yang konsisten, usaha yang sungguh-sungguh, dan lingkungan yang mendukung.</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Dalam konteks PPG, saya belajar bahwa seorang guru dengan growth mindset tidak hanya mendorong muridnya untuk berkembang, tetapi juga terus bertumbuh dalam dirinya sendiri. Azas Trikon Ki Hadjar — kontinyu, konvergen, dan konsentris — menjadi panduan yang relevan: seorang guru harus terus belajar secara berkesinambungan (kontinyu), terbuka terhadap pendekatan baru yang lebih efektif (konvergen), namun tetap berpegang pada nilai-nilai pendidikan yang berpusat pada peserta didik (konsentris).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Proses micro-teaching dan praktik mengajar selama PPG menjadi ujian nyata dari sintesis ini. Ketika rencana pembelajaran tidak berjalan sesuai harapan — murid tampak tidak antusias, penjelasan saya terlalu abstrak, atau ada dinamika kelas yang tidak terduga — saya belajar untuk tidak melihatnya sebagai kegagalan, melainkan sebagai data belajar. Saya mulai membiasakan diri untuk berefleksi: "Apa yang bisa saya lakukan berbeda?" bukan "Mengapa ini tidak berhasil?" Pergeseran pertanyaan ini, yang sederhana namun kuat, adalah inti dari pola pikir bertumbuh yang saya internalisasi selama PPG.</w:t>
      </w:r>
    </w:p>
    <w:p>
      <w:pPr>
        <w:spacing w:after="160" w:before="240" w:line="360"/>
        <w:jc w:val="left"/>
      </w:pPr>
      <w:r>
        <w:rPr>
          <w:rFonts w:ascii="Times New Roman" w:cs="Times New Roman" w:eastAsia="Times New Roman" w:hAnsi="Times New Roman"/>
          <w:b/>
          <w:bCs/>
          <w:sz w:val="24"/>
          <w:szCs w:val="24"/>
        </w:rPr>
        <w:t xml:space="preserve">Sosok Guru Masa Depan yang Saya Bayangkan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Dari perpaduan pengalaman bersekolah, pembelajaran di PPG, dan refleksi atas filsafat pendidikan nasional, saya membangun gambaran sosok guru masa depan yang ingin saya wujudkan. Guru masa depan adalah seorang pamong — dalam pengertian Ki Hadjar Dewantara — yang hadir bukan sebagai pemegang otoritas tunggal, melainkan sebagai pendamping perjalanan belajar murid. Ia "ing ngarsa sung tuladha" — memberi teladan dalam integritas dan semangat belajar; "ing madya mangun karsa" — membangun motivasi dan kreativitas di tengah proses; serta "tut wuri handayani" — mendorong dari belakang dengan kepercayaan penuh bahwa murid mampu berkembang mandiri.</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Guru masa depan juga adalah seorang yang resilien — mampu menghadapi tantangan tanpa kehilangan semangat. Dalam dunia pendidikan yang terus berubah, resiliensi bukan kemewahan, melainkan keharusan. Resiliensi ini tidak lahir dari ketiadaan kesulitan, melainkan dari kemampuan untuk memandang setiap kesulitan sebagai bagian dari proses bertumbuh — sebuah keyakinan yang menjadi jantung dari growth mindset.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Akhirnya, saya percaya bahwa pendidikan yang berpusat pada peserta didik bukan sekadar metode mengajar, melainkan sebuah filosofi hidup. Ia menuntut kerendahan hati untuk terus belajar, keberanian untuk berubah, dan kasih sayang yang tulus kepada setiap murid — apa pun latar belakang, kemampuan, dan kecepatan belajar mereka. Itulah guru yang ingin saya jadikan diri saya: bukan yang paling pandai di kelas, melainkan yang paling bersungguh-sungguh dalam menuntun.</w:t>
      </w:r>
    </w:p>
    <w:p>
      <w:pPr>
        <w:spacing w:after="160" w:before="320"/>
      </w:pPr>
    </w:p>
    <w:p>
      <w:pPr>
        <w:spacing w:after="160" w:before="240" w:line="360"/>
        <w:jc w:val="left"/>
      </w:pPr>
      <w:r>
        <w:rPr>
          <w:rFonts w:ascii="Times New Roman" w:cs="Times New Roman" w:eastAsia="Times New Roman" w:hAnsi="Times New Roman"/>
          <w:b/>
          <w:bCs/>
          <w:sz w:val="24"/>
          <w:szCs w:val="24"/>
        </w:rPr>
        <w:t xml:space="preserve">Daftar Rujukan</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Dewantara, K. H. (1977). Karya Ki Hadjar Dewantara Bagian Pertama: Pendidikan. Yogyakarta: Majelis Luhur Persatuan Taman Siswa.</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Dweck, C. S. (2006). Mindset: The New Psychology of Success. New York: Random House.</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Manurung, B. (2007). Sokola Rimba: Pengalaman Belajar Bersama Orang Rimba. Jakarta: Penerbit Buku Kompas.</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Kemdikbudristek. (2022). Filosofi Pendidikan Nasional. Modul Pendidikan Profesi Guru. Jakarta: Kementerian Pendidikan, Kebudayaan, Riset, dan Teknologi.</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2026-04-13T08:20:29.233Z</dcterms:created>
  <dcterms:modified xsi:type="dcterms:W3CDTF">2026-04-13T08:20:29.233Z</dcterms:modified>
</cp:coreProperties>
</file>

<file path=docProps/custom.xml><?xml version="1.0" encoding="utf-8"?>
<Properties xmlns="http://schemas.openxmlformats.org/officeDocument/2006/custom-properties" xmlns:vt="http://schemas.openxmlformats.org/officeDocument/2006/docPropsVTypes"/>
</file>