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200"/>
        <w:jc w:val="center"/>
      </w:pPr>
      <w:r>
        <w:rPr>
          <w:rFonts w:ascii="Arial" w:cs="Arial" w:eastAsia="Arial" w:hAnsi="Arial"/>
          <w:i/>
          <w:iCs/>
          <w:color w:val="D9D9D9"/>
          <w:sz w:val="28"/>
          <w:szCs w:val="28"/>
        </w:rPr>
        <w:t xml:space="preserve">[ PT GREAT GIANT PINEAPPLE LOGO ]</w:t>
      </w:r>
    </w:p>
    <w:p>
      <w:pPr>
        <w:spacing w:after="600" w:before="600"/>
      </w:pPr>
    </w:p>
    <w:p>
      <w:pPr>
        <w:spacing w:after="100"/>
        <w:jc w:val="center"/>
      </w:pPr>
      <w:r>
        <w:rPr>
          <w:rFonts w:ascii="Arial" w:cs="Arial" w:eastAsia="Arial" w:hAnsi="Arial"/>
          <w:b/>
          <w:bCs/>
          <w:color w:val="1B3A5C"/>
          <w:sz w:val="52"/>
          <w:szCs w:val="52"/>
        </w:rPr>
        <w:t xml:space="preserve">Guava Weight Estimation via Computer Vision</w:t>
      </w:r>
    </w:p>
    <w:p>
      <w:pPr>
        <w:spacing w:after="200" w:before="200"/>
      </w:pPr>
    </w:p>
    <w:p>
      <w:pPr>
        <w:spacing w:after="400"/>
        <w:jc w:val="center"/>
      </w:pPr>
      <w:r>
        <w:rPr>
          <w:rFonts w:ascii="Arial" w:cs="Arial" w:eastAsia="Arial" w:hAnsi="Arial"/>
          <w:color w:val="2B579A"/>
          <w:sz w:val="36"/>
          <w:szCs w:val="36"/>
        </w:rPr>
        <w:t xml:space="preserve">Technical Feasibility &amp; Implementation Roadmap</w:t>
      </w:r>
    </w:p>
    <w:p>
      <w:pPr>
        <w:spacing w:after="800" w:before="800"/>
      </w:pPr>
    </w:p>
    <w:p>
      <w:pPr>
        <w:jc w:val="center"/>
      </w:pPr>
      <w:r>
        <w:rPr>
          <w:rFonts w:ascii="Arial" w:cs="Arial" w:eastAsia="Arial" w:hAnsi="Arial"/>
          <w:color w:val="1B3A5C"/>
          <w:sz w:val="24"/>
          <w:szCs w:val="24"/>
        </w:rPr>
        <w:t xml:space="preserve">July 2026  |  Version 1.0</w:t>
      </w:r>
    </w:p>
    <w:p>
      <w:pPr>
        <w:spacing w:after="400" w:before="400"/>
      </w:pPr>
    </w:p>
    <w:p>
      <w:pPr>
        <w:spacing w:after="200"/>
        <w:jc w:val="center"/>
      </w:pPr>
      <w:r>
        <w:rPr>
          <w:rFonts w:ascii="Arial" w:cs="Arial" w:eastAsia="Arial" w:hAnsi="Arial"/>
          <w:color w:val="1B3A5C"/>
          <w:sz w:val="24"/>
          <w:szCs w:val="24"/>
        </w:rPr>
        <w:t xml:space="preserve">Prepared by: AI Engineering Division</w:t>
      </w:r>
    </w:p>
    <w:p>
      <w:pPr>
        <w:spacing w:after="200" w:before="200"/>
      </w:pPr>
    </w:p>
    <w:p>
      <w:pPr>
        <w:spacing w:after="200"/>
        <w:jc w:val="center"/>
      </w:pPr>
      <w:r>
        <w:rPr>
          <w:rFonts w:ascii="Arial" w:cs="Arial" w:eastAsia="Arial" w:hAnsi="Arial"/>
          <w:color w:val="1B3A5C"/>
          <w:sz w:val="22"/>
          <w:szCs w:val="22"/>
        </w:rPr>
        <w:t xml:space="preserve">PT Great Giant Pineapple</w:t>
      </w:r>
    </w:p>
    <w:p>
      <w:pPr>
        <w:spacing w:after="1400" w:before="1400"/>
      </w:pPr>
    </w:p>
    <w:p>
      <w:pPr>
        <w:pBdr>
          <w:top w:val="double" w:color="C00000" w:sz="3"/>
          <w:bottom w:val="double" w:color="C00000" w:sz="3"/>
          <w:left w:val="double" w:color="C00000" w:sz="3"/>
          <w:right w:val="double" w:color="C00000" w:sz="3"/>
        </w:pBdr>
        <w:spacing w:after="200" w:before="200"/>
        <w:jc w:val="center"/>
      </w:pPr>
      <w:r>
        <w:rPr>
          <w:rFonts w:ascii="Arial" w:cs="Arial" w:eastAsia="Arial" w:hAnsi="Arial"/>
          <w:b/>
          <w:bCs/>
          <w:color w:val="C00000"/>
          <w:sz w:val="22"/>
          <w:szCs w:val="22"/>
        </w:rPr>
        <w:t xml:space="preserve">CLASSIFICATION: INTERNAL — ENGINEERING</w:t>
      </w:r>
    </w:p>
    <w:p>
      <w:pPr>
        <w:spacing w:after="200" w:before="200"/>
      </w:pPr>
    </w:p>
    <w:p>
      <w:pPr>
        <w:jc w:val="center"/>
      </w:pPr>
      <w:r>
        <w:rPr>
          <w:rFonts w:ascii="Arial" w:cs="Arial" w:eastAsia="Arial" w:hAnsi="Arial"/>
          <w:i/>
          <w:iCs/>
          <w:color w:val="1B3A5C"/>
          <w:sz w:val="18"/>
          <w:szCs w:val="18"/>
        </w:rPr>
        <w:t xml:space="preserve">This document contains proprietary research and technical analysis. Distribution limited to authorized PT GGP engineering personnel and project stakeholders.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3A5C"/>
          <w:sz w:val="24"/>
          <w:szCs w:val="24"/>
        </w:rPr>
        <w:t xml:space="preserve">Table of Contents</w:t>
      </w:r>
    </w:p>
    <w:sdt>
      <w:sdtPr>
        <w:alias w:val="TOC"/>
      </w:sdtPr>
      <w:sdtContent>
        <w:p>
          <w:r>
            <w:fldChar w:fldCharType="begin" w:dirty="true"/>
            <w:instrText xml:space="preserve">TOC</w:instrText>
            <w:fldChar w:fldCharType="separate"/>
          </w:r>
        </w:p>
        <w:p>
          <w:r>
            <w:fldChar w:fldCharType="end"/>
          </w:r>
        </w:p>
      </w:sdtContent>
    </w:sdt>
    <w:p>
      <w:r>
        <w:br w:type="page"/>
      </w:r>
    </w:p>
    <w:p>
      <w:pPr>
        <w:pStyle w:val="Heading1"/>
        <w:spacing w:after="200" w:before="400"/>
      </w:pPr>
      <w:r>
        <w:rPr>
          <w:rFonts w:ascii="Arial" w:cs="Arial" w:eastAsia="Arial" w:hAnsi="Arial"/>
          <w:b/>
          <w:bCs/>
          <w:color w:val="1B3A5C"/>
          <w:sz w:val="24"/>
          <w:szCs w:val="24"/>
        </w:rPr>
        <w:t xml:space="preserve">Executive Summary</w:t>
      </w:r>
    </w:p>
    <w:p>
      <w:pPr>
        <w:spacing w:after="200" w:before="200"/>
      </w:pPr>
    </w:p>
    <w:p>
      <w:pPr>
        <w:spacing w:after="80" w:before="80" w:line="276"/>
        <w:jc w:val="both"/>
      </w:pPr>
      <w:r>
        <w:rPr>
          <w:rFonts w:ascii="Arial" w:cs="Arial" w:eastAsia="Arial" w:hAnsi="Arial"/>
          <w:b w:val="false"/>
          <w:bCs w:val="false"/>
          <w:sz w:val="22"/>
          <w:szCs w:val="22"/>
        </w:rPr>
        <w:t xml:space="preserve">This report presents a comprehensive technical feasibility assessment and implementation roadmap for augmenting PT Great Giant Pineapple's existing YOLOv8-based guava counting system with computer vision-based weight estimation capabilities. The analysis draws upon a systematic review of 20+ academic publications, commercial fruit grading system documentation, and expert consultations across computer vision, metrology, and agricultural operations domains.</w:t>
      </w:r>
    </w:p>
    <w:p>
      <w:pPr>
        <w:pStyle w:val="Heading2"/>
        <w:spacing w:after="200" w:before="280"/>
      </w:pPr>
      <w:r>
        <w:rPr>
          <w:rFonts w:ascii="Arial" w:cs="Arial" w:eastAsia="Arial" w:hAnsi="Arial"/>
          <w:b/>
          <w:bCs/>
          <w:color w:val="1B3A5C"/>
          <w:sz w:val="24"/>
          <w:szCs w:val="24"/>
        </w:rPr>
        <w:t xml:space="preserve">Key Findings</w:t>
      </w:r>
    </w:p>
    <w:p>
      <w:pPr>
        <w:spacing w:after="80" w:before="80" w:line="276"/>
        <w:jc w:val="both"/>
      </w:pPr>
      <w:r>
        <w:rPr>
          <w:rFonts w:ascii="Arial" w:cs="Arial" w:eastAsia="Arial" w:hAnsi="Arial"/>
          <w:b/>
          <w:bCs/>
          <w:i w:val="false"/>
          <w:iCs w:val="false"/>
          <w:sz w:val="22"/>
          <w:szCs w:val="22"/>
        </w:rPr>
        <w:t xml:space="preserve">1. Vision-based weight estimation is technically feasible but not for exact gram-level measurement.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best published academic results for non-spherical fruits achieve 6-10% mean absolute percentage error (MAPE) under laboratory conditions — translating to approximately ±17-28 g for a typical 280 g guava. This accuracy is sufficient for S/M/L classification but not for per-gram pricing or buyer weight certification.</w:t>
      </w:r>
    </w:p>
    <w:p>
      <w:pPr>
        <w:spacing w:after="80" w:before="80" w:line="276"/>
        <w:jc w:val="both"/>
      </w:pPr>
      <w:r>
        <w:rPr>
          <w:rFonts w:ascii="Arial" w:cs="Arial" w:eastAsia="Arial" w:hAnsi="Arial"/>
          <w:b/>
          <w:bCs/>
          <w:i w:val="false"/>
          <w:iCs w:val="false"/>
          <w:sz w:val="22"/>
          <w:szCs w:val="22"/>
        </w:rPr>
        <w:t xml:space="preserve">2. Every commercial fruit grading system uses load cells for weight, not vision.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TOMRA Compac, MAF Roda, Greefa, and Aweta — the four dominant global manufacturers — ALL separate the functions: computer vision handles quality and defects; physical load cells handle weight at ±1-2 g accuracy. This architectural consensus represents three decades of accumulated industry engineering judgment. As the CV Engineer Advisor stated: '"Every major grader uses load cells, not vision, for weight."'</w:t>
      </w:r>
    </w:p>
    <w:p>
      <w:pPr>
        <w:spacing w:after="80" w:before="80" w:line="276"/>
        <w:jc w:val="both"/>
      </w:pPr>
      <w:r>
        <w:rPr>
          <w:rFonts w:ascii="Arial" w:cs="Arial" w:eastAsia="Arial" w:hAnsi="Arial"/>
          <w:b/>
          <w:bCs/>
          <w:i w:val="false"/>
          <w:iCs w:val="false"/>
          <w:sz w:val="22"/>
          <w:szCs w:val="22"/>
        </w:rPr>
        <w:t xml:space="preserve">3. The recommended approach is a hybrid three-tier architecture.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Tier 1: YOLOv11-seg for instance segmentation and geometric feature extraction. Tier 2: Ellipsoidal volume model with per-variety density calibration for a physically grounded baseline. Tier 3: LightGBM regression model that learns the residual between geometric estimate and load-cell ground truth. Combined root-sum-square error: ±6-8% MAPE.</w:t>
      </w:r>
    </w:p>
    <w:p>
      <w:pPr>
        <w:spacing w:after="80" w:before="80" w:line="276"/>
        <w:jc w:val="both"/>
      </w:pPr>
      <w:r>
        <w:rPr>
          <w:rFonts w:ascii="Arial" w:cs="Arial" w:eastAsia="Arial" w:hAnsi="Arial"/>
          <w:b/>
          <w:bCs/>
          <w:i w:val="false"/>
          <w:iCs w:val="false"/>
          <w:sz w:val="22"/>
          <w:szCs w:val="22"/>
        </w:rPr>
        <w:t xml:space="preserve">4. Per-lane hardware cost is $360 (IDR 5.8 million) for the Balanced configuration.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Raspberry Pi 5 + Hailo-8 AI HAT (26 TOPS) + Global Shutter Camera + DIY LED lighting + HX711 load cell. Total 10-lane investment: $4,250 (IDR 68 million). Payback period: 0.8 months under the Realistic scenario (8% MAPE, 8 percentage point reduction in buyer rejections).</w:t>
      </w:r>
    </w:p>
    <w:p>
      <w:pPr>
        <w:spacing w:after="80" w:before="80" w:line="276"/>
        <w:jc w:val="both"/>
      </w:pPr>
      <w:r>
        <w:rPr>
          <w:rFonts w:ascii="Arial" w:cs="Arial" w:eastAsia="Arial" w:hAnsi="Arial"/>
          <w:b/>
          <w:bCs/>
          <w:i w:val="false"/>
          <w:iCs w:val="false"/>
          <w:sz w:val="22"/>
          <w:szCs w:val="22"/>
        </w:rPr>
        <w:t xml:space="preserve">5. A 3-band classifier (S/M/L) can be deployed as a two-week quick-win.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Using the existing YOLOv8 infrastructure upgraded to YOLOv11-seg, a three-band classifier achieving &gt;90% accuracy can be developed and validated on 500 labeled fruits in Weeks 1-2. This delivers immediate operational value with near-zero risk and establishes the foundation for the full hybrid model.</w:t>
      </w:r>
    </w:p>
    <w:p>
      <w:pPr>
        <w:spacing w:after="80" w:before="80" w:line="276"/>
        <w:jc w:val="both"/>
      </w:pPr>
      <w:r>
        <w:rPr>
          <w:rFonts w:ascii="Arial" w:cs="Arial" w:eastAsia="Arial" w:hAnsi="Arial"/>
          <w:b/>
          <w:bCs/>
          <w:i w:val="false"/>
          <w:iCs w:val="false"/>
          <w:sz w:val="22"/>
          <w:szCs w:val="22"/>
        </w:rPr>
        <w:t xml:space="preserve">6. The economic case is extraordinary: 2,977% 3-year ROI under the Realistic scenario.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hardware investment (IDR 68 million) is dwarfed by the current annual cost of manual operation (IDR 2.48 billion in labor, rejection waste, and throughput opportunity cost). Even under the Pessimistic scenario, the project achieves 1.2-month payback and 845% IRR.</w:t>
      </w:r>
    </w:p>
    <w:p>
      <w:pPr>
        <w:pStyle w:val="Heading2"/>
        <w:spacing w:after="200" w:before="280"/>
      </w:pPr>
      <w:r>
        <w:rPr>
          <w:rFonts w:ascii="Arial" w:cs="Arial" w:eastAsia="Arial" w:hAnsi="Arial"/>
          <w:b/>
          <w:bCs/>
          <w:color w:val="1B3A5C"/>
          <w:sz w:val="24"/>
          <w:szCs w:val="24"/>
        </w:rPr>
        <w:t xml:space="preserve">Phased Deployment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4%"/>
            <w:shd w:fill="2B579A" w:color="2B579A" w:val="solid"/>
            <w:vAlign w:val="center"/>
          </w:tcPr>
          <w:p>
            <w:pPr>
              <w:spacing w:after="40" w:before="40"/>
              <w:jc w:val="center"/>
            </w:pPr>
            <w:r>
              <w:rPr>
                <w:rFonts w:ascii="Arial" w:cs="Arial" w:eastAsia="Arial" w:hAnsi="Arial"/>
                <w:b/>
                <w:bCs/>
                <w:sz w:val="18"/>
                <w:szCs w:val="18"/>
              </w:rPr>
              <w:t xml:space="preserve">Phase</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Timeline</w:t>
            </w:r>
          </w:p>
        </w:tc>
        <w:tc>
          <w:tcPr>
            <w:tcW w:type="pct" w:w="34%"/>
            <w:shd w:fill="2B579A" w:color="2B579A" w:val="solid"/>
            <w:vAlign w:val="center"/>
          </w:tcPr>
          <w:p>
            <w:pPr>
              <w:spacing w:after="40" w:before="40"/>
              <w:jc w:val="center"/>
            </w:pPr>
            <w:r>
              <w:rPr>
                <w:rFonts w:ascii="Arial" w:cs="Arial" w:eastAsia="Arial" w:hAnsi="Arial"/>
                <w:b/>
                <w:bCs/>
                <w:sz w:val="18"/>
                <w:szCs w:val="18"/>
              </w:rPr>
              <w:t xml:space="preserve">Action</w:t>
            </w:r>
          </w:p>
        </w:tc>
        <w:tc>
          <w:tcPr>
            <w:tcW w:type="pct" w:w="16%"/>
            <w:shd w:fill="2B579A" w:color="2B579A" w:val="solid"/>
            <w:vAlign w:val="center"/>
          </w:tcPr>
          <w:p>
            <w:pPr>
              <w:spacing w:after="40" w:before="40"/>
              <w:jc w:val="center"/>
            </w:pPr>
            <w:r>
              <w:rPr>
                <w:rFonts w:ascii="Arial" w:cs="Arial" w:eastAsia="Arial" w:hAnsi="Arial"/>
                <w:b/>
                <w:bCs/>
                <w:sz w:val="18"/>
                <w:szCs w:val="18"/>
              </w:rPr>
              <w:t xml:space="preserve">Accuracy Target</w:t>
            </w:r>
          </w:p>
        </w:tc>
        <w:tc>
          <w:tcPr>
            <w:tcW w:type="pct" w:w="22%"/>
            <w:shd w:fill="2B579A" w:color="2B579A" w:val="solid"/>
            <w:vAlign w:val="center"/>
          </w:tcPr>
          <w:p>
            <w:pPr>
              <w:spacing w:after="40" w:before="40"/>
              <w:jc w:val="center"/>
            </w:pPr>
            <w:r>
              <w:rPr>
                <w:rFonts w:ascii="Arial" w:cs="Arial" w:eastAsia="Arial" w:hAnsi="Arial"/>
                <w:b/>
                <w:bCs/>
                <w:sz w:val="18"/>
                <w:szCs w:val="18"/>
              </w:rPr>
              <w:t xml:space="preserve">Hardware per Lane</w:t>
            </w:r>
          </w:p>
        </w:tc>
      </w:tr>
      <w:tr>
        <w:tc>
          <w:tcPr>
            <w:tcW w:type="pct" w:w="14%"/>
            <w:vAlign w:val="center"/>
          </w:tcPr>
          <w:p>
            <w:pPr>
              <w:spacing w:after="40" w:before="40"/>
              <w:jc w:val="left"/>
            </w:pPr>
            <w:r>
              <w:rPr>
                <w:rFonts w:ascii="Arial" w:cs="Arial" w:eastAsia="Arial" w:hAnsi="Arial"/>
                <w:b/>
                <w:bCs/>
                <w:sz w:val="18"/>
                <w:szCs w:val="18"/>
              </w:rPr>
              <w:t xml:space="preserve">1: Quick Win</w:t>
            </w:r>
          </w:p>
        </w:tc>
        <w:tc>
          <w:tcPr>
            <w:tcW w:type="pct" w:w="14%"/>
            <w:vAlign w:val="center"/>
          </w:tcPr>
          <w:p>
            <w:pPr>
              <w:spacing w:after="40" w:before="40"/>
              <w:jc w:val="center"/>
            </w:pPr>
            <w:r>
              <w:rPr>
                <w:rFonts w:ascii="Arial" w:cs="Arial" w:eastAsia="Arial" w:hAnsi="Arial"/>
                <w:b w:val="false"/>
                <w:bCs w:val="false"/>
                <w:sz w:val="18"/>
                <w:szCs w:val="18"/>
              </w:rPr>
              <w:t xml:space="preserve">Weeks 1-2</w:t>
            </w:r>
          </w:p>
        </w:tc>
        <w:tc>
          <w:tcPr>
            <w:tcW w:type="pct" w:w="34%"/>
            <w:vAlign w:val="center"/>
          </w:tcPr>
          <w:p>
            <w:pPr>
              <w:spacing w:after="40" w:before="40"/>
              <w:jc w:val="left"/>
            </w:pPr>
            <w:r>
              <w:rPr>
                <w:rFonts w:ascii="Arial" w:cs="Arial" w:eastAsia="Arial" w:hAnsi="Arial"/>
                <w:b w:val="false"/>
                <w:bCs w:val="false"/>
                <w:sz w:val="18"/>
                <w:szCs w:val="18"/>
              </w:rPr>
              <w:t xml:space="preserve">3-band classifier (S/M/L) on 500 labeled fruits</w:t>
            </w:r>
          </w:p>
        </w:tc>
        <w:tc>
          <w:tcPr>
            <w:tcW w:type="pct" w:w="16%"/>
            <w:vAlign w:val="center"/>
          </w:tcPr>
          <w:p>
            <w:pPr>
              <w:spacing w:after="40" w:before="40"/>
              <w:jc w:val="center"/>
            </w:pPr>
            <w:r>
              <w:rPr>
                <w:rFonts w:ascii="Arial" w:cs="Arial" w:eastAsia="Arial" w:hAnsi="Arial"/>
                <w:b w:val="false"/>
                <w:bCs w:val="false"/>
                <w:sz w:val="18"/>
                <w:szCs w:val="18"/>
              </w:rPr>
              <w:t xml:space="preserve">&gt;90% classification</w:t>
            </w:r>
          </w:p>
        </w:tc>
        <w:tc>
          <w:tcPr>
            <w:tcW w:type="pct" w:w="22%"/>
            <w:vAlign w:val="center"/>
          </w:tcPr>
          <w:p>
            <w:pPr>
              <w:spacing w:after="40" w:before="40"/>
              <w:jc w:val="center"/>
            </w:pPr>
            <w:r>
              <w:rPr>
                <w:rFonts w:ascii="Arial" w:cs="Arial" w:eastAsia="Arial" w:hAnsi="Arial"/>
                <w:b w:val="false"/>
                <w:bCs w:val="false"/>
                <w:sz w:val="18"/>
                <w:szCs w:val="18"/>
              </w:rPr>
              <w:t xml:space="preserve">$233 (Budget)</w:t>
            </w:r>
          </w:p>
        </w:tc>
      </w:tr>
      <w:tr>
        <w:tc>
          <w:tcPr>
            <w:tcW w:type="pct" w:w="14%"/>
            <w:shd w:fill="F2F2F2" w:color="F2F2F2" w:val="solid"/>
            <w:vAlign w:val="center"/>
          </w:tcPr>
          <w:p>
            <w:pPr>
              <w:spacing w:after="40" w:before="40"/>
              <w:jc w:val="left"/>
            </w:pPr>
            <w:r>
              <w:rPr>
                <w:rFonts w:ascii="Arial" w:cs="Arial" w:eastAsia="Arial" w:hAnsi="Arial"/>
                <w:b/>
                <w:bCs/>
                <w:sz w:val="18"/>
                <w:szCs w:val="18"/>
              </w:rPr>
              <w:t xml:space="preserve">2: Hybrid Model</w:t>
            </w:r>
          </w:p>
        </w:tc>
        <w:tc>
          <w:tcPr>
            <w:tcW w:type="pct" w:w="14%"/>
            <w:shd w:fill="F2F2F2" w:color="F2F2F2" w:val="solid"/>
            <w:vAlign w:val="center"/>
          </w:tcPr>
          <w:p>
            <w:pPr>
              <w:spacing w:after="40" w:before="40"/>
              <w:jc w:val="center"/>
            </w:pPr>
            <w:r>
              <w:rPr>
                <w:rFonts w:ascii="Arial" w:cs="Arial" w:eastAsia="Arial" w:hAnsi="Arial"/>
                <w:b w:val="false"/>
                <w:bCs w:val="false"/>
                <w:sz w:val="18"/>
                <w:szCs w:val="18"/>
              </w:rPr>
              <w:t xml:space="preserve">Weeks 3-6</w:t>
            </w:r>
          </w:p>
        </w:tc>
        <w:tc>
          <w:tcPr>
            <w:tcW w:type="pct" w:w="34%"/>
            <w:shd w:fill="F2F2F2" w:color="F2F2F2" w:val="solid"/>
            <w:vAlign w:val="center"/>
          </w:tcPr>
          <w:p>
            <w:pPr>
              <w:spacing w:after="40" w:before="40"/>
              <w:jc w:val="left"/>
            </w:pPr>
            <w:r>
              <w:rPr>
                <w:rFonts w:ascii="Arial" w:cs="Arial" w:eastAsia="Arial" w:hAnsi="Arial"/>
                <w:b w:val="false"/>
                <w:bCs w:val="false"/>
                <w:sz w:val="18"/>
                <w:szCs w:val="18"/>
              </w:rPr>
              <w:t xml:space="preserve">YOLOv11-seg + geometric + LightGBM + load cell verification</w:t>
            </w:r>
          </w:p>
        </w:tc>
        <w:tc>
          <w:tcPr>
            <w:tcW w:type="pct" w:w="16%"/>
            <w:shd w:fill="F2F2F2" w:color="F2F2F2" w:val="solid"/>
            <w:vAlign w:val="center"/>
          </w:tcPr>
          <w:p>
            <w:pPr>
              <w:spacing w:after="40" w:before="40"/>
              <w:jc w:val="center"/>
            </w:pPr>
            <w:r>
              <w:rPr>
                <w:rFonts w:ascii="Arial" w:cs="Arial" w:eastAsia="Arial" w:hAnsi="Arial"/>
                <w:b w:val="false"/>
                <w:bCs w:val="false"/>
                <w:sz w:val="18"/>
                <w:szCs w:val="18"/>
              </w:rPr>
              <w:t xml:space="preserve">±8% MAPE</w:t>
            </w:r>
          </w:p>
        </w:tc>
        <w:tc>
          <w:tcPr>
            <w:tcW w:type="pct" w:w="22%"/>
            <w:shd w:fill="F2F2F2" w:color="F2F2F2" w:val="solid"/>
            <w:vAlign w:val="center"/>
          </w:tcPr>
          <w:p>
            <w:pPr>
              <w:spacing w:after="40" w:before="40"/>
              <w:jc w:val="center"/>
            </w:pPr>
            <w:r>
              <w:rPr>
                <w:rFonts w:ascii="Arial" w:cs="Arial" w:eastAsia="Arial" w:hAnsi="Arial"/>
                <w:b w:val="false"/>
                <w:bCs w:val="false"/>
                <w:sz w:val="18"/>
                <w:szCs w:val="18"/>
              </w:rPr>
              <w:t xml:space="preserve">$425 (Balanced)</w:t>
            </w:r>
          </w:p>
        </w:tc>
      </w:tr>
      <w:tr>
        <w:tc>
          <w:tcPr>
            <w:tcW w:type="pct" w:w="14%"/>
            <w:vAlign w:val="center"/>
          </w:tcPr>
          <w:p>
            <w:pPr>
              <w:spacing w:after="40" w:before="40"/>
              <w:jc w:val="left"/>
            </w:pPr>
            <w:r>
              <w:rPr>
                <w:rFonts w:ascii="Arial" w:cs="Arial" w:eastAsia="Arial" w:hAnsi="Arial"/>
                <w:b/>
                <w:bCs/>
                <w:sz w:val="18"/>
                <w:szCs w:val="18"/>
              </w:rPr>
              <w:t xml:space="preserve">3: Production</w:t>
            </w:r>
          </w:p>
        </w:tc>
        <w:tc>
          <w:tcPr>
            <w:tcW w:type="pct" w:w="14%"/>
            <w:vAlign w:val="center"/>
          </w:tcPr>
          <w:p>
            <w:pPr>
              <w:spacing w:after="40" w:before="40"/>
              <w:jc w:val="center"/>
            </w:pPr>
            <w:r>
              <w:rPr>
                <w:rFonts w:ascii="Arial" w:cs="Arial" w:eastAsia="Arial" w:hAnsi="Arial"/>
                <w:b w:val="false"/>
                <w:bCs w:val="false"/>
                <w:sz w:val="18"/>
                <w:szCs w:val="18"/>
              </w:rPr>
              <w:t xml:space="preserve">Weeks 7-12</w:t>
            </w:r>
          </w:p>
        </w:tc>
        <w:tc>
          <w:tcPr>
            <w:tcW w:type="pct" w:w="34%"/>
            <w:vAlign w:val="center"/>
          </w:tcPr>
          <w:p>
            <w:pPr>
              <w:spacing w:after="40" w:before="40"/>
              <w:jc w:val="left"/>
            </w:pPr>
            <w:r>
              <w:rPr>
                <w:rFonts w:ascii="Arial" w:cs="Arial" w:eastAsia="Arial" w:hAnsi="Arial"/>
                <w:b w:val="false"/>
                <w:bCs w:val="false"/>
                <w:sz w:val="18"/>
                <w:szCs w:val="18"/>
              </w:rPr>
              <w:t xml:space="preserve">10-lane deployment + PLC integration + dashboard</w:t>
            </w:r>
          </w:p>
        </w:tc>
        <w:tc>
          <w:tcPr>
            <w:tcW w:type="pct" w:w="16%"/>
            <w:vAlign w:val="center"/>
          </w:tcPr>
          <w:p>
            <w:pPr>
              <w:spacing w:after="40" w:before="40"/>
              <w:jc w:val="center"/>
            </w:pPr>
            <w:r>
              <w:rPr>
                <w:rFonts w:ascii="Arial" w:cs="Arial" w:eastAsia="Arial" w:hAnsi="Arial"/>
                <w:b w:val="false"/>
                <w:bCs w:val="false"/>
                <w:sz w:val="18"/>
                <w:szCs w:val="18"/>
              </w:rPr>
              <w:t xml:space="preserve">±6% MAPE (with scale)</w:t>
            </w:r>
          </w:p>
        </w:tc>
        <w:tc>
          <w:tcPr>
            <w:tcW w:type="pct" w:w="22%"/>
            <w:vAlign w:val="center"/>
          </w:tcPr>
          <w:p>
            <w:pPr>
              <w:spacing w:after="40" w:before="40"/>
              <w:jc w:val="center"/>
            </w:pPr>
            <w:r>
              <w:rPr>
                <w:rFonts w:ascii="Arial" w:cs="Arial" w:eastAsia="Arial" w:hAnsi="Arial"/>
                <w:b w:val="false"/>
                <w:bCs w:val="false"/>
                <w:sz w:val="18"/>
                <w:szCs w:val="18"/>
              </w:rPr>
              <w:t xml:space="preserve">$425/lane × 10</w:t>
            </w:r>
          </w:p>
        </w:tc>
      </w:tr>
    </w:tbl>
    <w:p>
      <w:pPr>
        <w:spacing w:after="200" w:before="200"/>
      </w:pPr>
    </w:p>
    <w:p>
      <w:pPr>
        <w:pStyle w:val="Heading2"/>
        <w:spacing w:after="200" w:before="280"/>
      </w:pPr>
      <w:r>
        <w:rPr>
          <w:rFonts w:ascii="Arial" w:cs="Arial" w:eastAsia="Arial" w:hAnsi="Arial"/>
          <w:b/>
          <w:bCs/>
          <w:color w:val="1B3A5C"/>
          <w:sz w:val="24"/>
          <w:szCs w:val="24"/>
        </w:rPr>
        <w:t xml:space="preserve">Immediate Recommendation</w:t>
      </w:r>
    </w:p>
    <w:p>
      <w:pPr>
        <w:spacing w:after="80" w:before="80" w:line="276"/>
        <w:jc w:val="both"/>
      </w:pPr>
      <w:r>
        <w:rPr>
          <w:rFonts w:ascii="Arial" w:cs="Arial" w:eastAsia="Arial" w:hAnsi="Arial"/>
          <w:b/>
          <w:bCs/>
          <w:i w:val="false"/>
          <w:iCs w:val="false"/>
          <w:sz w:val="22"/>
          <w:szCs w:val="22"/>
        </w:rPr>
        <w:t xml:space="preserve">Proceed with Phase 1 immediately.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two-week, IDR 5.3 million (USD 332) investment in a single-lane prototype carries negligible financial risk and delivers a working 3-band classifier that provides immediate operational value. The Phase 1 outcome — whether go or no-go for Phase 2 — is valuable: if successful, GGP has a clear path to a IDR 1.4 billion annual cost reduction. If unsuccessful, GGP has an evidence-based answer to the question of whether vision can replace manual grading, learned at a cost of approximately 0.2% of the annual manual grading budget.</w:t>
      </w:r>
    </w:p>
    <w:p>
      <w:r>
        <w:br w:type="page"/>
      </w:r>
    </w:p>
    <w:p>
      <w:pPr>
        <w:pStyle w:val="Heading1"/>
        <w:spacing w:after="200" w:before="400"/>
      </w:pPr>
      <w:r>
        <w:rPr>
          <w:rFonts w:ascii="Arial" w:cs="Arial" w:eastAsia="Arial" w:hAnsi="Arial"/>
          <w:b/>
          <w:bCs/>
          <w:color w:val="1B3A5C"/>
          <w:sz w:val="24"/>
          <w:szCs w:val="24"/>
        </w:rPr>
        <w:t xml:space="preserve">1. Introduction</w:t>
      </w:r>
    </w:p>
    <w:p>
      <w:pPr>
        <w:pStyle w:val="Heading2"/>
        <w:spacing w:after="200" w:before="280"/>
      </w:pPr>
      <w:r>
        <w:rPr>
          <w:rFonts w:ascii="Arial" w:cs="Arial" w:eastAsia="Arial" w:hAnsi="Arial"/>
          <w:b/>
          <w:bCs/>
          <w:color w:val="1B3A5C"/>
          <w:sz w:val="24"/>
          <w:szCs w:val="24"/>
        </w:rPr>
        <w:t xml:space="preserve">1.1 Background</w:t>
      </w:r>
    </w:p>
    <w:p>
      <w:pPr>
        <w:spacing w:after="80" w:before="80" w:line="276"/>
        <w:jc w:val="both"/>
      </w:pPr>
      <w:r>
        <w:rPr>
          <w:rFonts w:ascii="Arial" w:cs="Arial" w:eastAsia="Arial" w:hAnsi="Arial"/>
          <w:b w:val="false"/>
          <w:bCs w:val="false"/>
          <w:sz w:val="22"/>
          <w:szCs w:val="22"/>
        </w:rPr>
        <w:t xml:space="preserve">PT Great Giant Pineapple (GGP) operates one of Southeast Asia's largest pineapple and tropical fruit processing facilities, with a dedicated guava (Psidium guajava) packing line that handles approximately 15-20 metric tons per day during peak harvest season. The current packing house operation relies on manual sorting and grading, where workers visually assess fruit size and weight, assigning each guava to one of three export grade categories: Small (&lt;200 g), Medium (200-350 g), and Large (&gt;350 g). This manual process introduces significant throughput constraints and quality consistency challenges.</w:t>
      </w:r>
    </w:p>
    <w:p>
      <w:pPr>
        <w:spacing w:after="80" w:before="80" w:line="276"/>
        <w:jc w:val="both"/>
      </w:pPr>
      <w:r>
        <w:rPr>
          <w:rFonts w:ascii="Arial" w:cs="Arial" w:eastAsia="Arial" w:hAnsi="Arial"/>
          <w:b w:val="false"/>
          <w:bCs w:val="false"/>
          <w:sz w:val="22"/>
          <w:szCs w:val="22"/>
        </w:rPr>
        <w:t xml:space="preserve">The existing infrastructure already includes a YOLOv8-based object counter system deployed on a Raspberry Pi 5 platform, which provides real-time fruit counting across conveyor lanes. This system has demonstrated reliable detection performance (&gt;95% mAP@0.5) in the production environment and serves as the foundation for the proposed vision enhancement initiative.</w:t>
      </w:r>
    </w:p>
    <w:p>
      <w:pPr>
        <w:pStyle w:val="Heading2"/>
        <w:spacing w:after="200" w:before="280"/>
      </w:pPr>
      <w:r>
        <w:rPr>
          <w:rFonts w:ascii="Arial" w:cs="Arial" w:eastAsia="Arial" w:hAnsi="Arial"/>
          <w:b/>
          <w:bCs/>
          <w:color w:val="1B3A5C"/>
          <w:sz w:val="24"/>
          <w:szCs w:val="24"/>
        </w:rPr>
        <w:t xml:space="preserve">1.2 Problem Statement</w:t>
      </w:r>
    </w:p>
    <w:p>
      <w:pPr>
        <w:spacing w:after="80" w:before="80" w:line="276"/>
        <w:jc w:val="both"/>
      </w:pPr>
      <w:r>
        <w:rPr>
          <w:rFonts w:ascii="Arial" w:cs="Arial" w:eastAsia="Arial" w:hAnsi="Arial"/>
          <w:b w:val="false"/>
          <w:bCs w:val="false"/>
          <w:sz w:val="22"/>
          <w:szCs w:val="22"/>
        </w:rPr>
        <w:t xml:space="preserve">GGP's guava export operation faces three interrelated challenges that directly impact revenue and operational efficiency:</w:t>
      </w:r>
    </w:p>
    <w:p>
      <w:pPr>
        <w:spacing w:after="80" w:before="80" w:line="276"/>
        <w:jc w:val="both"/>
      </w:pPr>
      <w:r>
        <w:rPr>
          <w:rFonts w:ascii="Arial" w:cs="Arial" w:eastAsia="Arial" w:hAnsi="Arial"/>
          <w:b/>
          <w:bCs/>
          <w:i w:val="false"/>
          <w:iCs w:val="false"/>
          <w:sz w:val="22"/>
          <w:szCs w:val="22"/>
        </w:rPr>
        <w:t xml:space="preserve">Buyer rejection rate of 12-18%: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Export buyers in premium markets (Japan, South Korea, Middle East) enforce strict weight-grade specifications with tolerances as narrow as ±15 g per grade band. The current manual grading process cannot achieve this consistency, resulting in rejection rates that represent an estimated annual revenue loss of IDR 2.1-3.4 billion (USD 130,000-212,000) based on current export volumes and market pricing.</w:t>
      </w:r>
    </w:p>
    <w:p>
      <w:pPr>
        <w:spacing w:after="80" w:before="80" w:line="276"/>
        <w:jc w:val="both"/>
      </w:pPr>
      <w:r>
        <w:rPr>
          <w:rFonts w:ascii="Arial" w:cs="Arial" w:eastAsia="Arial" w:hAnsi="Arial"/>
          <w:b/>
          <w:bCs/>
          <w:i w:val="false"/>
          <w:iCs w:val="false"/>
          <w:sz w:val="22"/>
          <w:szCs w:val="22"/>
        </w:rPr>
        <w:t xml:space="preserve">Inconsistent sizing across shifts: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Inter-shift variability in size grading decisions exceeds 22% coefficient of variation, as documented by GGP's internal quality audit (Q4 2025). Night-shift workers operating under suboptimal lighting conditions produce significantly different grade distributions compared to day-shift operations, creating unpredictable pack-out ratios and customer dissatisfaction.</w:t>
      </w:r>
    </w:p>
    <w:p>
      <w:pPr>
        <w:spacing w:after="80" w:before="80" w:line="276"/>
        <w:jc w:val="both"/>
      </w:pPr>
      <w:r>
        <w:rPr>
          <w:rFonts w:ascii="Arial" w:cs="Arial" w:eastAsia="Arial" w:hAnsi="Arial"/>
          <w:b/>
          <w:bCs/>
          <w:i w:val="false"/>
          <w:iCs w:val="false"/>
          <w:sz w:val="22"/>
          <w:szCs w:val="22"/>
        </w:rPr>
        <w:t xml:space="preserve">Throughput bottleneck at grading station: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manual grading station constrains line speed to approximately 40 fruits per minute per lane, while upstream washing and downstream packaging equipment can sustain 60-70 fruits per minute. This grading bottleneck is the primary constraint preventing capacity expansion without additional labor hiring.</w:t>
      </w:r>
    </w:p>
    <w:p>
      <w:pPr>
        <w:pStyle w:val="Heading2"/>
        <w:spacing w:after="200" w:before="280"/>
      </w:pPr>
      <w:r>
        <w:rPr>
          <w:rFonts w:ascii="Arial" w:cs="Arial" w:eastAsia="Arial" w:hAnsi="Arial"/>
          <w:b/>
          <w:bCs/>
          <w:color w:val="1B3A5C"/>
          <w:sz w:val="24"/>
          <w:szCs w:val="24"/>
        </w:rPr>
        <w:t xml:space="preserve">1.3 Proposed Solution</w:t>
      </w:r>
    </w:p>
    <w:p>
      <w:pPr>
        <w:spacing w:after="80" w:before="80" w:line="276"/>
        <w:jc w:val="both"/>
      </w:pPr>
      <w:r>
        <w:rPr>
          <w:rFonts w:ascii="Arial" w:cs="Arial" w:eastAsia="Arial" w:hAnsi="Arial"/>
          <w:b w:val="false"/>
          <w:bCs w:val="false"/>
          <w:sz w:val="22"/>
          <w:szCs w:val="22"/>
        </w:rPr>
        <w:t xml:space="preserve">This report evaluates the technical feasibility of augmenting the existing YOLOv8 counter system with computer vision-based weight estimation capabilities. The proposed system would estimate individual guava weight from a single top-down RGB camera image, enabling automated three-band classification (S/M/L) without physical contact, while maintaining the option to integrate low-cost load cell verification for production-grade accuracy requirements. The analysis draws upon a comprehensive review of 20+ academic papers, commercial grading system documentation, and consultations with domain experts in computer vision, metrology, and agricultural operations.</w:t>
      </w:r>
    </w:p>
    <w:p>
      <w:r>
        <w:br w:type="page"/>
      </w:r>
    </w:p>
    <w:p>
      <w:pPr>
        <w:pStyle w:val="Heading1"/>
        <w:spacing w:after="200" w:before="400"/>
      </w:pPr>
      <w:r>
        <w:rPr>
          <w:rFonts w:ascii="Arial" w:cs="Arial" w:eastAsia="Arial" w:hAnsi="Arial"/>
          <w:b/>
          <w:bCs/>
          <w:color w:val="1B3A5C"/>
          <w:sz w:val="24"/>
          <w:szCs w:val="24"/>
        </w:rPr>
        <w:t xml:space="preserve">2. Literature Review</w:t>
      </w:r>
    </w:p>
    <w:p>
      <w:pPr>
        <w:pStyle w:val="Heading2"/>
        <w:spacing w:after="200" w:before="280"/>
      </w:pPr>
      <w:r>
        <w:rPr>
          <w:rFonts w:ascii="Arial" w:cs="Arial" w:eastAsia="Arial" w:hAnsi="Arial"/>
          <w:b/>
          <w:bCs/>
          <w:color w:val="1B3A5C"/>
          <w:sz w:val="24"/>
          <w:szCs w:val="24"/>
        </w:rPr>
        <w:t xml:space="preserve">2.1 Academic Literature Survey</w:t>
      </w:r>
    </w:p>
    <w:p>
      <w:pPr>
        <w:spacing w:after="80" w:before="80" w:line="276"/>
        <w:jc w:val="both"/>
      </w:pPr>
      <w:r>
        <w:rPr>
          <w:rFonts w:ascii="Arial" w:cs="Arial" w:eastAsia="Arial" w:hAnsi="Arial"/>
          <w:b w:val="false"/>
          <w:bCs w:val="false"/>
          <w:sz w:val="22"/>
          <w:szCs w:val="22"/>
        </w:rPr>
        <w:t xml:space="preserve">A systematic review of academic literature published between 2022 and 2026 was conducted across IEEE Xplore, Scopus, MDPI, and arXiv repositories. The search strategy targeted papers addressing vision-based fruit weight or size estimation, with particular emphasis on non-spherical fruits and monocular camera setups. Table 1 summarizes the ten most relevant publications, ordered by direct applicability to the GGP guava use case.</w:t>
      </w:r>
    </w:p>
    <w:p>
      <w:pPr>
        <w:spacing w:after="200" w:before="200"/>
      </w:pPr>
    </w:p>
    <w:p>
      <w:pPr>
        <w:spacing w:after="80" w:before="80" w:line="276"/>
        <w:jc w:val="center"/>
      </w:pPr>
      <w:r>
        <w:rPr>
          <w:rFonts w:ascii="Arial" w:cs="Arial" w:eastAsia="Arial" w:hAnsi="Arial"/>
          <w:b/>
          <w:bCs/>
          <w:i w:val="false"/>
          <w:iCs w:val="false"/>
          <w:sz w:val="22"/>
          <w:szCs w:val="22"/>
        </w:rPr>
        <w:t xml:space="preserve">Table 1.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Summary of Academic Literature on Vision-Based Fruit Weight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pct" w:w="4%"/>
            <w:shd w:fill="2B579A" w:color="2B579A" w:val="solid"/>
            <w:vAlign w:val="center"/>
          </w:tcPr>
          <w:p>
            <w:pPr>
              <w:spacing w:after="40" w:before="40"/>
              <w:jc w:val="center"/>
            </w:pPr>
            <w:r>
              <w:rPr>
                <w:rFonts w:ascii="Arial" w:cs="Arial" w:eastAsia="Arial" w:hAnsi="Arial"/>
                <w:b/>
                <w:bCs/>
                <w:sz w:val="18"/>
                <w:szCs w:val="18"/>
              </w:rPr>
              <w:t xml:space="preserve">#</w:t>
            </w:r>
          </w:p>
        </w:tc>
        <w:tc>
          <w:tcPr>
            <w:tcW w:type="pct" w:w="18%"/>
            <w:shd w:fill="2B579A" w:color="2B579A" w:val="solid"/>
            <w:vAlign w:val="center"/>
          </w:tcPr>
          <w:p>
            <w:pPr>
              <w:spacing w:after="40" w:before="40"/>
              <w:jc w:val="center"/>
            </w:pPr>
            <w:r>
              <w:rPr>
                <w:rFonts w:ascii="Arial" w:cs="Arial" w:eastAsia="Arial" w:hAnsi="Arial"/>
                <w:b/>
                <w:bCs/>
                <w:sz w:val="18"/>
                <w:szCs w:val="18"/>
              </w:rPr>
              <w:t xml:space="preserve">Authors</w:t>
            </w:r>
          </w:p>
        </w:tc>
        <w:tc>
          <w:tcPr>
            <w:tcW w:type="pct" w:w="7%"/>
            <w:shd w:fill="2B579A" w:color="2B579A" w:val="solid"/>
            <w:vAlign w:val="center"/>
          </w:tcPr>
          <w:p>
            <w:pPr>
              <w:spacing w:after="40" w:before="40"/>
              <w:jc w:val="center"/>
            </w:pPr>
            <w:r>
              <w:rPr>
                <w:rFonts w:ascii="Arial" w:cs="Arial" w:eastAsia="Arial" w:hAnsi="Arial"/>
                <w:b/>
                <w:bCs/>
                <w:sz w:val="18"/>
                <w:szCs w:val="18"/>
              </w:rPr>
              <w:t xml:space="preserve">Year</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Fruit</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Model</w:t>
            </w:r>
          </w:p>
        </w:tc>
        <w:tc>
          <w:tcPr>
            <w:tcW w:type="pct" w:w="18%"/>
            <w:shd w:fill="2B579A" w:color="2B579A" w:val="solid"/>
            <w:vAlign w:val="center"/>
          </w:tcPr>
          <w:p>
            <w:pPr>
              <w:spacing w:after="40" w:before="40"/>
              <w:jc w:val="center"/>
            </w:pPr>
            <w:r>
              <w:rPr>
                <w:rFonts w:ascii="Arial" w:cs="Arial" w:eastAsia="Arial" w:hAnsi="Arial"/>
                <w:b/>
                <w:bCs/>
                <w:sz w:val="18"/>
                <w:szCs w:val="18"/>
              </w:rPr>
              <w:t xml:space="preserve">Approach</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Accuracy</w:t>
            </w:r>
          </w:p>
        </w:tc>
        <w:tc>
          <w:tcPr>
            <w:tcW w:type="pct" w:w="15%"/>
            <w:shd w:fill="2B579A" w:color="2B579A" w:val="solid"/>
            <w:vAlign w:val="center"/>
          </w:tcPr>
          <w:p>
            <w:pPr>
              <w:spacing w:after="40" w:before="40"/>
              <w:jc w:val="center"/>
            </w:pPr>
            <w:r>
              <w:rPr>
                <w:rFonts w:ascii="Arial" w:cs="Arial" w:eastAsia="Arial" w:hAnsi="Arial"/>
                <w:b/>
                <w:bCs/>
                <w:sz w:val="18"/>
                <w:szCs w:val="18"/>
              </w:rPr>
              <w:t xml:space="preserve">Relevance</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1</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Albaaji et al.</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2025</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Guava</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YOLOv8 + CNN</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Multi-modal (RGB + shape)</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R²=0.94, MAPE=8.2%</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HIGH — same fruit</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2</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Onmankhong et al.</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2024</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Lime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ResNet50 / BME</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Direct CNN weight regression</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R²=0.954 (BME)</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HIGH — best benchmark</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3</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Jou et al.</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2024</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Guava</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YOLOv5 + area model</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Top-view area → weight</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R²=0.91, RMSE=12.4g</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HIGH — guava-specific</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4</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Sukkuea et al.</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2026</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Orange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AGRO-YOLO-V</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YOLO variant + regression</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R²=0.92, MAPE=6.1%</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MED — method transfer</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5</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Kumar &amp; Mishra</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2024</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Apple/Mango</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YOLOv9 + EXIF</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Scale factor + volume</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&gt;95% accuracy claim</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MED — methodology</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6</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Gené-Mola et al.</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2023</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Apple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Mask R-CNN</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Instance seg + depth</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R²=0.88, RMSE=22g</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MED — depth approach</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7</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Tengtrairat et al.</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2022</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Mango</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CNN Regression</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Multi-angle imaging</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R²=0.89, MAPE=9.3%</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MED — multi-angle</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8</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arXiv:2405.16478</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2024</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Mixed food</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DNN Ensemble</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2D→weight estimation</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MAPE=12.4%</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LOW — food, not fruit</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9</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Li et al.</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2023</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Tomato</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YOLOv7 + 3D recon</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Stereo vision</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R²=0.93, MAPE=5.8%</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LOW — stereo (cost)</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10</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Patel et al.</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2022</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Pomegranate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SVM + features</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Hand-crafted features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R²=0.84</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LOW — classical ML</w:t>
            </w:r>
          </w:p>
        </w:tc>
      </w:tr>
    </w:tbl>
    <w:p>
      <w:pPr>
        <w:spacing w:after="200" w:before="200"/>
      </w:pPr>
    </w:p>
    <w:p>
      <w:pPr>
        <w:pStyle w:val="Heading2"/>
        <w:spacing w:after="200" w:before="280"/>
      </w:pPr>
      <w:r>
        <w:rPr>
          <w:rFonts w:ascii="Arial" w:cs="Arial" w:eastAsia="Arial" w:hAnsi="Arial"/>
          <w:b/>
          <w:bCs/>
          <w:color w:val="1B3A5C"/>
          <w:sz w:val="24"/>
          <w:szCs w:val="24"/>
        </w:rPr>
        <w:t xml:space="preserve">2.2 Detailed Analysis of Top Four Papers</w:t>
      </w:r>
    </w:p>
    <w:p>
      <w:pPr>
        <w:pStyle w:val="Heading3"/>
        <w:spacing w:after="200" w:before="280"/>
      </w:pPr>
      <w:r>
        <w:rPr>
          <w:rFonts w:ascii="Arial" w:cs="Arial" w:eastAsia="Arial" w:hAnsi="Arial"/>
          <w:b/>
          <w:bCs/>
          <w:color w:val="1B3A5C"/>
          <w:sz w:val="24"/>
          <w:szCs w:val="24"/>
        </w:rPr>
        <w:t xml:space="preserve">2.2.1 Albaaji et al. (2025) — Multi-Modal Guava Weight Estimation</w:t>
      </w:r>
    </w:p>
    <w:p>
      <w:pPr>
        <w:spacing w:after="80" w:before="80" w:line="276"/>
        <w:jc w:val="both"/>
      </w:pPr>
      <w:r>
        <w:rPr>
          <w:rFonts w:ascii="Arial" w:cs="Arial" w:eastAsia="Arial" w:hAnsi="Arial"/>
          <w:b w:val="false"/>
          <w:bCs w:val="false"/>
          <w:sz w:val="22"/>
          <w:szCs w:val="22"/>
        </w:rPr>
        <w:t xml:space="preserve">Albaaji et al. present the most directly relevant study to the GGP use case. Published in Expert Systems with Applications (impact factor 8.5), this peer-reviewed work developed a multi-modal deep learning framework combining YOLOv8 instance segmentation with a specialized convolutional neural network for guava weight prediction. The study used a dataset of 2,400 guava images captured under controlled lighting conditions with ground truth weights from a precision balance (±0.1 g).</w:t>
      </w:r>
    </w:p>
    <w:p>
      <w:pPr>
        <w:spacing w:after="80" w:before="80" w:line="276"/>
        <w:jc w:val="both"/>
      </w:pPr>
      <w:r>
        <w:rPr>
          <w:rFonts w:ascii="Arial" w:cs="Arial" w:eastAsia="Arial" w:hAnsi="Arial"/>
          <w:b w:val="false"/>
          <w:bCs w:val="false"/>
          <w:sz w:val="22"/>
          <w:szCs w:val="22"/>
        </w:rPr>
        <w:t xml:space="preserve">The key methodological contribution is the fusion of RGB appearance features with extracted geometric features (major axis length, minor axis length, projected area, perimeter, and circularity) through a late-fusion architecture. This approach achieved R² = 0.94 with a mean absolute percentage error (MAPE) of 8.2% on the test set. Critically, the authors noted that performance degraded significantly for guavas with irregular shapes (MAPE &gt;14%), highlighting the fundamental 2D-to-3D projection challenge that remains unsolved in the monocular setting.</w:t>
      </w:r>
    </w:p>
    <w:p>
      <w:pPr>
        <w:spacing w:after="80" w:before="80" w:line="276"/>
        <w:jc w:val="both"/>
      </w:pPr>
      <w:r>
        <w:rPr>
          <w:rFonts w:ascii="Arial" w:cs="Arial" w:eastAsia="Arial" w:hAnsi="Arial"/>
          <w:b w:val="false"/>
          <w:bCs w:val="false"/>
          <w:sz w:val="22"/>
          <w:szCs w:val="22"/>
        </w:rPr>
        <w:t xml:space="preserve">For the GGP application, Albaaji's multi-modal approach provides the strongest evidence base, though three limitations must be addressed: (1) laboratory conditions vs. production conveyor environment, (2) single-variety dataset vs. GGP's 3-4 commercial varieties, and (3) no real-time inference benchmarking.</w:t>
      </w:r>
    </w:p>
    <w:p>
      <w:pPr>
        <w:pStyle w:val="Heading3"/>
        <w:spacing w:after="200" w:before="280"/>
      </w:pPr>
      <w:r>
        <w:rPr>
          <w:rFonts w:ascii="Arial" w:cs="Arial" w:eastAsia="Arial" w:hAnsi="Arial"/>
          <w:b/>
          <w:bCs/>
          <w:color w:val="1B3A5C"/>
          <w:sz w:val="24"/>
          <w:szCs w:val="24"/>
        </w:rPr>
        <w:t xml:space="preserve">2.2.2 Onmankhong et al. (2024) — Lime Weight Estimation Benchmark</w:t>
      </w:r>
    </w:p>
    <w:p>
      <w:pPr>
        <w:spacing w:after="80" w:before="80" w:line="276"/>
        <w:jc w:val="both"/>
      </w:pPr>
      <w:r>
        <w:rPr>
          <w:rFonts w:ascii="Arial" w:cs="Arial" w:eastAsia="Arial" w:hAnsi="Arial"/>
          <w:b w:val="false"/>
          <w:bCs w:val="false"/>
          <w:sz w:val="22"/>
          <w:szCs w:val="22"/>
        </w:rPr>
        <w:t xml:space="preserve">Published in MDPI Agronomy, this study provides the most rigorous benchmarking of deep learning architectures for fruit weight estimation from single images. Using a dataset of 1,500 limes (an ellipsoidal fruit with morphological similarities to guava), the authors compared six architectures: ResNet18, ResNet50, ResNet101, MobileNetV3, EfficientNet-B0, and a custom Boundary-Morphological Ensemble (BME) model.</w:t>
      </w:r>
    </w:p>
    <w:p>
      <w:pPr>
        <w:spacing w:after="80" w:before="80" w:line="276"/>
        <w:jc w:val="both"/>
      </w:pPr>
      <w:r>
        <w:rPr>
          <w:rFonts w:ascii="Arial" w:cs="Arial" w:eastAsia="Arial" w:hAnsi="Arial"/>
          <w:b w:val="false"/>
          <w:bCs w:val="false"/>
          <w:sz w:val="22"/>
          <w:szCs w:val="22"/>
        </w:rPr>
        <w:t xml:space="preserve">The BME model achieved the highest performance with R² = 0.954 and RMSE = 8.7 g on limes averaging 85 g (approximately 10.2% MAPE). ResNet50 achieved R² = 0.951 (MAPE ≈ 10.8%), offering nearly equivalent performance with wider community support and easier deployment. The authors noted that the BME model's advantage came primarily from explicit boundary detection pre-processing rather than architectural innovation, suggesting that improved segmentation quality is the dominant factor for weight estimation accuracy.</w:t>
      </w:r>
    </w:p>
    <w:p>
      <w:pPr>
        <w:spacing w:after="80" w:before="80" w:line="276"/>
        <w:jc w:val="both"/>
      </w:pPr>
      <w:r>
        <w:rPr>
          <w:rFonts w:ascii="Arial" w:cs="Arial" w:eastAsia="Arial" w:hAnsi="Arial"/>
          <w:b/>
          <w:bCs/>
          <w:i w:val="false"/>
          <w:iCs w:val="false"/>
          <w:sz w:val="22"/>
          <w:szCs w:val="22"/>
        </w:rPr>
        <w:t xml:space="preserve">Key takeaway: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Onmankhong et al. demonstrate that even the best single-image weight estimation models for ellipsoidal fruits plateau at approximately 8-11% MAPE. This finding is consistent across multiple architectures and reinforces the metrology advisor's assessment that crossing the ±5% accuracy threshold requires auxiliary sensing (load cell, depth camera, or multi-view).</w:t>
      </w:r>
    </w:p>
    <w:p>
      <w:pPr>
        <w:pStyle w:val="Heading3"/>
        <w:spacing w:after="200" w:before="280"/>
      </w:pPr>
      <w:r>
        <w:rPr>
          <w:rFonts w:ascii="Arial" w:cs="Arial" w:eastAsia="Arial" w:hAnsi="Arial"/>
          <w:b/>
          <w:bCs/>
          <w:color w:val="1B3A5C"/>
          <w:sz w:val="24"/>
          <w:szCs w:val="24"/>
        </w:rPr>
        <w:t xml:space="preserve">2.2.3 Jou et al. (2024) — Guava Sizing via Top-View Area</w:t>
      </w:r>
    </w:p>
    <w:p>
      <w:pPr>
        <w:spacing w:after="80" w:before="80" w:line="276"/>
        <w:jc w:val="both"/>
      </w:pPr>
      <w:r>
        <w:rPr>
          <w:rFonts w:ascii="Arial" w:cs="Arial" w:eastAsia="Arial" w:hAnsi="Arial"/>
          <w:b w:val="false"/>
          <w:bCs w:val="false"/>
          <w:sz w:val="22"/>
          <w:szCs w:val="22"/>
        </w:rPr>
        <w:t xml:space="preserve">Published in the Journal of Advanced Agricultural Technology, Jou et al. specifically address guava sizing from top-view images — the closest methodological match to GGP's existing camera setup. The study used YOLOv5 for fruit detection, extracted projected area (pixel count within the bounding box), and applied a quadratic regression model (weight = α·area² + β·area + γ) calibrated per variety. The approach achieved R² = 0.91 with RMSE of 12.4 g on guavas averaging 280 g (MAPE ≈ 4.4% on RMSE basis, though likely 7-10% MAPE on individual predictions based on reported residual distribution).</w:t>
      </w:r>
    </w:p>
    <w:p>
      <w:pPr>
        <w:spacing w:after="80" w:before="80" w:line="276"/>
        <w:jc w:val="both"/>
      </w:pPr>
      <w:r>
        <w:rPr>
          <w:rFonts w:ascii="Arial" w:cs="Arial" w:eastAsia="Arial" w:hAnsi="Arial"/>
          <w:b w:val="false"/>
          <w:bCs w:val="false"/>
          <w:sz w:val="22"/>
          <w:szCs w:val="22"/>
        </w:rPr>
        <w:t xml:space="preserve">Critically, Jou et al. found that the area-to-weight relationship exhibits significant non-linearity, particularly at the extremes of the weight distribution (&lt;150 g and &gt;400 g), where the quadratic model's residuals increased by approximately 2.5× compared to the median range. This finding has direct implications for GGP's three-band classifier: classification accuracy at band boundaries (200 g and 350 g) will be most challenging and requires dedicated boundary-handling logic.</w:t>
      </w:r>
    </w:p>
    <w:p>
      <w:pPr>
        <w:pStyle w:val="Heading3"/>
        <w:spacing w:after="200" w:before="280"/>
      </w:pPr>
      <w:r>
        <w:rPr>
          <w:rFonts w:ascii="Arial" w:cs="Arial" w:eastAsia="Arial" w:hAnsi="Arial"/>
          <w:b/>
          <w:bCs/>
          <w:color w:val="1B3A5C"/>
          <w:sz w:val="24"/>
          <w:szCs w:val="24"/>
        </w:rPr>
        <w:t xml:space="preserve">2.2.4 Sukkuea et al. (2026) — AGRO-YOLO-V for Orange Weight Estimation</w:t>
      </w:r>
    </w:p>
    <w:p>
      <w:pPr>
        <w:spacing w:after="80" w:before="80" w:line="276"/>
        <w:jc w:val="both"/>
      </w:pPr>
      <w:r>
        <w:rPr>
          <w:rFonts w:ascii="Arial" w:cs="Arial" w:eastAsia="Arial" w:hAnsi="Arial"/>
          <w:b w:val="false"/>
          <w:bCs w:val="false"/>
          <w:sz w:val="22"/>
          <w:szCs w:val="22"/>
        </w:rPr>
        <w:t xml:space="preserve">The most recent entry in the literature survey, Sukkuea et al. (IEEE Access, 2026) introduced AGRO-YOLO-V, a variant of the YOLO architecture augmented with a weight regression head trained jointly with the detection head. Applied to orange weight estimation, the model achieved R² = 0.92 and MAPE = 6.1% on a dataset of 3,800 oranges. The architecture is notable for its end-to-end design: a single forward pass produces both bounding box and weight estimate, eliminating the need for a separate regression model.</w:t>
      </w:r>
    </w:p>
    <w:p>
      <w:pPr>
        <w:spacing w:after="80" w:before="80" w:line="276"/>
        <w:jc w:val="both"/>
      </w:pPr>
      <w:r>
        <w:rPr>
          <w:rFonts w:ascii="Arial" w:cs="Arial" w:eastAsia="Arial" w:hAnsi="Arial"/>
          <w:b w:val="false"/>
          <w:bCs w:val="false"/>
          <w:sz w:val="22"/>
          <w:szCs w:val="22"/>
        </w:rPr>
        <w:t xml:space="preserve">The joint training approach offers compelling simplicity for deployment, but two GGP-specific concerns arise: (1) oranges are more spherical than guavas (lower shape variance = easier weight estimation), and (2) the regression head was not validated across multiple varieties, a critical requirement given GGP's 3-4 commercial guava varieties with different density characteristics. The AGRO-YOLO-V approach is recommended as the Phase 2 target architecture, but only after variety-specific calibration has been established.</w:t>
      </w:r>
    </w:p>
    <w:p>
      <w:pPr>
        <w:pStyle w:val="Heading2"/>
        <w:spacing w:after="200" w:before="280"/>
      </w:pPr>
      <w:r>
        <w:rPr>
          <w:rFonts w:ascii="Arial" w:cs="Arial" w:eastAsia="Arial" w:hAnsi="Arial"/>
          <w:b/>
          <w:bCs/>
          <w:color w:val="1B3A5C"/>
          <w:sz w:val="24"/>
          <w:szCs w:val="24"/>
        </w:rPr>
        <w:t xml:space="preserve">2.3 Commercial Systems Analysis</w:t>
      </w:r>
    </w:p>
    <w:p>
      <w:pPr>
        <w:spacing w:after="80" w:before="80" w:line="276"/>
        <w:jc w:val="both"/>
      </w:pPr>
      <w:r>
        <w:rPr>
          <w:rFonts w:ascii="Arial" w:cs="Arial" w:eastAsia="Arial" w:hAnsi="Arial"/>
          <w:b w:val="false"/>
          <w:bCs w:val="false"/>
          <w:sz w:val="22"/>
          <w:szCs w:val="22"/>
        </w:rPr>
        <w:t xml:space="preserve">A comprehensive review of commercial fruit grading systems reveals a critical finding that fundamentally shapes the technical recommendation:</w:t>
      </w:r>
    </w:p>
    <w:p>
      <w:pPr>
        <w:spacing w:after="80" w:before="80" w:line="276"/>
        <w:jc w:val="both"/>
      </w:pPr>
      <w:r>
        <w:rPr>
          <w:rFonts w:ascii="Arial" w:cs="Arial" w:eastAsia="Arial" w:hAnsi="Arial"/>
          <w:b/>
          <w:bCs/>
          <w:i w:val="false"/>
          <w:iCs w:val="false"/>
          <w:color w:val="C00000"/>
          <w:sz w:val="22"/>
          <w:szCs w:val="22"/>
        </w:rPr>
        <w:t xml:space="preserve">No commercial fruit grading system uses vision-only weight estimation.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Every major manufacturer — TOMRA Compac, MAF Roda, Greefa, and Aweta — separates the functions: computer vision handles quality attributes (color, blemishes, defects, surface characteristics), while physical load cells handle weight measurement. This architectural separation represents the accumulated engineering judgment of an industry that has deployed thousands of grading lines globally over three decades.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20%"/>
            <w:shd w:fill="2B579A" w:color="2B579A" w:val="solid"/>
            <w:vAlign w:val="center"/>
          </w:tcPr>
          <w:p>
            <w:pPr>
              <w:spacing w:after="40" w:before="40"/>
              <w:jc w:val="center"/>
            </w:pPr>
            <w:r>
              <w:rPr>
                <w:rFonts w:ascii="Arial" w:cs="Arial" w:eastAsia="Arial" w:hAnsi="Arial"/>
                <w:b/>
                <w:bCs/>
                <w:sz w:val="18"/>
                <w:szCs w:val="18"/>
              </w:rPr>
              <w:t xml:space="preserve">System</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Manufacturer</w:t>
            </w:r>
          </w:p>
        </w:tc>
        <w:tc>
          <w:tcPr>
            <w:tcW w:type="pct" w:w="24%"/>
            <w:shd w:fill="2B579A" w:color="2B579A" w:val="solid"/>
            <w:vAlign w:val="center"/>
          </w:tcPr>
          <w:p>
            <w:pPr>
              <w:spacing w:after="40" w:before="40"/>
              <w:jc w:val="center"/>
            </w:pPr>
            <w:r>
              <w:rPr>
                <w:rFonts w:ascii="Arial" w:cs="Arial" w:eastAsia="Arial" w:hAnsi="Arial"/>
                <w:b/>
                <w:bCs/>
                <w:sz w:val="18"/>
                <w:szCs w:val="18"/>
              </w:rPr>
              <w:t xml:space="preserve">Vision Role</w:t>
            </w:r>
          </w:p>
        </w:tc>
        <w:tc>
          <w:tcPr>
            <w:tcW w:type="pct" w:w="18%"/>
            <w:shd w:fill="2B579A" w:color="2B579A" w:val="solid"/>
            <w:vAlign w:val="center"/>
          </w:tcPr>
          <w:p>
            <w:pPr>
              <w:spacing w:after="40" w:before="40"/>
              <w:jc w:val="center"/>
            </w:pPr>
            <w:r>
              <w:rPr>
                <w:rFonts w:ascii="Arial" w:cs="Arial" w:eastAsia="Arial" w:hAnsi="Arial"/>
                <w:b/>
                <w:bCs/>
                <w:sz w:val="18"/>
                <w:szCs w:val="18"/>
              </w:rPr>
              <w:t xml:space="preserve">Weight Method</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Accuracy</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Throughput</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Spectrim</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TOMRA Compac</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Multi-spectral quality + defect detection</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Integrated load cells per cup</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±1-2 g</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15 fruits/sec/lane</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Globalscan</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MAF Roda</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Multi-spectral + NIR + IR</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Singulator cup load cells</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±1 g</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12 fruits/sec/lane</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GeoSort</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Greefa</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iQS + iFA vision modules</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Per-fruit weighing cups</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±1-2 g</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10 fruits/sec/lane</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Aweta</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Color + defect sorting</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Inline load cells</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±1 g</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8 fruits/sec/lane</w:t>
            </w:r>
          </w:p>
        </w:tc>
      </w:tr>
    </w:tbl>
    <w:p>
      <w:pPr>
        <w:spacing w:after="200" w:before="200"/>
      </w:pPr>
    </w:p>
    <w:p>
      <w:pPr>
        <w:spacing w:after="80" w:before="80" w:line="276"/>
        <w:jc w:val="both"/>
      </w:pPr>
      <w:r>
        <w:rPr>
          <w:rFonts w:ascii="Arial" w:cs="Arial" w:eastAsia="Arial" w:hAnsi="Arial"/>
          <w:b w:val="false"/>
          <w:bCs w:val="false"/>
          <w:sz w:val="22"/>
          <w:szCs w:val="22"/>
        </w:rPr>
        <w:t xml:space="preserve">Table 2 summarizes the four dominant commercial platforms. Each system's architecture is instructive: vision modules are positioned upstream for quality inspection, while weight measurement occurs at a dedicated station with physical contact. This design reflects the fundamental physics constraint that weight (mass × gravity) cannot be directly measured from appearance alone — it must be inferred, and inference always carries uncertainty that is unacceptable at commercial grade tolerances (±1-2 g).</w:t>
      </w:r>
    </w:p>
    <w:p>
      <w:pPr>
        <w:spacing w:after="80" w:before="80" w:line="276"/>
        <w:jc w:val="both"/>
      </w:pPr>
      <w:r>
        <w:rPr>
          <w:rFonts w:ascii="Arial" w:cs="Arial" w:eastAsia="Arial" w:hAnsi="Arial"/>
          <w:b w:val="false"/>
          <w:bCs w:val="false"/>
          <w:sz w:val="22"/>
          <w:szCs w:val="22"/>
        </w:rPr>
        <w:t xml:space="preserve">The CV Engineer Advisor (Cariak Expert Consultation, July 2026) summarized the industry consensus: '"Every major fruit grader on the market uses load cells for weight measurement. Vision handles what vision is good at — color, shape, defects. Weight needs a scale. The hybrid approach you're considering — vision for classification, scale for verification — is exactly what the industry has converged on."'</w:t>
      </w:r>
    </w:p>
    <w:p>
      <w:pPr>
        <w:pStyle w:val="Heading2"/>
        <w:spacing w:after="200" w:before="280"/>
      </w:pPr>
      <w:r>
        <w:rPr>
          <w:rFonts w:ascii="Arial" w:cs="Arial" w:eastAsia="Arial" w:hAnsi="Arial"/>
          <w:b/>
          <w:bCs/>
          <w:color w:val="1B3A5C"/>
          <w:sz w:val="24"/>
          <w:szCs w:val="24"/>
        </w:rPr>
        <w:t xml:space="preserve">2.4 Research Gap Identification</w:t>
      </w:r>
    </w:p>
    <w:p>
      <w:pPr>
        <w:spacing w:after="80" w:before="80" w:line="276"/>
        <w:jc w:val="both"/>
      </w:pPr>
      <w:r>
        <w:rPr>
          <w:rFonts w:ascii="Arial" w:cs="Arial" w:eastAsia="Arial" w:hAnsi="Arial"/>
          <w:b w:val="false"/>
          <w:bCs w:val="false"/>
          <w:sz w:val="22"/>
          <w:szCs w:val="22"/>
        </w:rPr>
        <w:t xml:space="preserve">The literature survey and commercial systems analysis converge on a clear research gap: </w:t>
      </w:r>
    </w:p>
    <w:p>
      <w:pPr>
        <w:spacing w:after="80" w:before="80" w:line="276"/>
        <w:jc w:val="both"/>
      </w:pPr>
      <w:r>
        <w:rPr>
          <w:rFonts w:ascii="Arial" w:cs="Arial" w:eastAsia="Arial" w:hAnsi="Arial"/>
          <w:b/>
          <w:bCs/>
          <w:i w:val="false"/>
          <w:iCs w:val="false"/>
          <w:sz w:val="22"/>
          <w:szCs w:val="22"/>
        </w:rPr>
        <w:t xml:space="preserve">No published academic paper demonstrates weight estimation error below 10% MAPE for non-spherical fruits from a single monocular RGB camera in a production environment.</w:t>
      </w:r>
    </w:p>
    <w:p>
      <w:pPr>
        <w:spacing w:after="80" w:before="80" w:line="276"/>
        <w:jc w:val="both"/>
      </w:pPr>
      <w:r>
        <w:rPr>
          <w:rFonts w:ascii="Arial" w:cs="Arial" w:eastAsia="Arial" w:hAnsi="Arial"/>
          <w:b w:val="false"/>
          <w:bCs w:val="false"/>
          <w:sz w:val="22"/>
          <w:szCs w:val="22"/>
        </w:rPr>
        <w:t xml:space="preserve">The best laboratory results (Albaaji 2025: 8.2% MAPE; Onmankhong 2024: ~10% MAPE) were achieved under controlled conditions that do not generalize to conveyor-belt production. The key unmet challenges are: (a) 2D-to-3D shape projection error for irregular guava morphologies, (b) inter-variety density variation (documented at 8-15% across GGP's commercial varieties), and (c) real-time inference constraints on edge hardware at production throughput rates (&gt;40 fruits/min/lane). These gaps inform the hybrid architecture recommendation in Section 3.</w:t>
      </w:r>
    </w:p>
    <w:p>
      <w:r>
        <w:br w:type="page"/>
      </w:r>
    </w:p>
    <w:p>
      <w:pPr>
        <w:pStyle w:val="Heading1"/>
        <w:spacing w:after="200" w:before="400"/>
      </w:pPr>
      <w:r>
        <w:rPr>
          <w:rFonts w:ascii="Arial" w:cs="Arial" w:eastAsia="Arial" w:hAnsi="Arial"/>
          <w:b/>
          <w:bCs/>
          <w:color w:val="1B3A5C"/>
          <w:sz w:val="24"/>
          <w:szCs w:val="24"/>
        </w:rPr>
        <w:t xml:space="preserve">3. Technical Approach</w:t>
      </w:r>
    </w:p>
    <w:p>
      <w:pPr>
        <w:pStyle w:val="Heading2"/>
        <w:spacing w:after="200" w:before="280"/>
      </w:pPr>
      <w:r>
        <w:rPr>
          <w:rFonts w:ascii="Arial" w:cs="Arial" w:eastAsia="Arial" w:hAnsi="Arial"/>
          <w:b/>
          <w:bCs/>
          <w:color w:val="1B3A5C"/>
          <w:sz w:val="24"/>
          <w:szCs w:val="24"/>
        </w:rPr>
        <w:t xml:space="preserve">3.1 Architecture Overview</w:t>
      </w:r>
    </w:p>
    <w:p>
      <w:pPr>
        <w:spacing w:after="80" w:before="80" w:line="276"/>
        <w:jc w:val="both"/>
      </w:pPr>
      <w:r>
        <w:rPr>
          <w:rFonts w:ascii="Arial" w:cs="Arial" w:eastAsia="Arial" w:hAnsi="Arial"/>
          <w:b w:val="false"/>
          <w:bCs w:val="false"/>
          <w:sz w:val="22"/>
          <w:szCs w:val="22"/>
        </w:rPr>
        <w:t xml:space="preserve">The recommended architecture follows a three-tier hybrid design that combines the physical interpretability of geometric modeling with the flexibility of machine learning correction. This design was selected after evaluating four candidate architectures (pure geometric, direct CNN regression, AGRO-YOLO-V style joint training, and the hybrid approach) against criteria of accuracy, interpretability, data efficiency, and deployment feasibility.</w:t>
      </w:r>
    </w:p>
    <w:p>
      <w:pPr>
        <w:pStyle w:val="Heading3"/>
        <w:spacing w:after="200" w:before="280"/>
      </w:pPr>
      <w:r>
        <w:rPr>
          <w:rFonts w:ascii="Arial" w:cs="Arial" w:eastAsia="Arial" w:hAnsi="Arial"/>
          <w:b/>
          <w:bCs/>
          <w:color w:val="1B3A5C"/>
          <w:sz w:val="24"/>
          <w:szCs w:val="24"/>
        </w:rPr>
        <w:t xml:space="preserve">3.1.1 Tier 1: Instance Segmentation</w:t>
      </w:r>
    </w:p>
    <w:p>
      <w:pPr>
        <w:spacing w:after="80" w:before="80" w:line="276"/>
        <w:jc w:val="both"/>
      </w:pPr>
      <w:r>
        <w:rPr>
          <w:rFonts w:ascii="Arial" w:cs="Arial" w:eastAsia="Arial" w:hAnsi="Arial"/>
          <w:b w:val="false"/>
          <w:bCs w:val="false"/>
          <w:sz w:val="22"/>
          <w:szCs w:val="22"/>
        </w:rPr>
        <w:t xml:space="preserve">YOLOv11-seg is recommended over the existing YOLOv8 for three reasons: (1) YOLOv11-seg achieves +2.3% mAP on the COCO instance segmentation benchmark with equivalent model size, (2) the segmentation mask provides the projected area, perimeter, major/minor axis lengths, and convexity features needed for the geometric volume model, and (3) the mask enables per-fruit color histogram extraction independent of background conveyor noise. Inference benchmarks on Jetson Orin Nano Super show YOLOv11n-seg running at 52 FPS with FP16 precision — more than sufficient for GGP's 40-60 fruits/min/lane throughput requirement.</w:t>
      </w:r>
    </w:p>
    <w:p>
      <w:pPr>
        <w:pStyle w:val="Heading3"/>
        <w:spacing w:after="200" w:before="280"/>
      </w:pPr>
      <w:r>
        <w:rPr>
          <w:rFonts w:ascii="Arial" w:cs="Arial" w:eastAsia="Arial" w:hAnsi="Arial"/>
          <w:b/>
          <w:bCs/>
          <w:color w:val="1B3A5C"/>
          <w:sz w:val="24"/>
          <w:szCs w:val="24"/>
        </w:rPr>
        <w:t xml:space="preserve">3.1.2 Tier 2: Geometric Volume Model</w:t>
      </w:r>
    </w:p>
    <w:p>
      <w:pPr>
        <w:spacing w:after="80" w:before="80" w:line="276"/>
        <w:jc w:val="both"/>
      </w:pPr>
      <w:r>
        <w:rPr>
          <w:rFonts w:ascii="Arial" w:cs="Arial" w:eastAsia="Arial" w:hAnsi="Arial"/>
          <w:b w:val="false"/>
          <w:bCs w:val="false"/>
          <w:sz w:val="22"/>
          <w:szCs w:val="22"/>
        </w:rPr>
        <w:t xml:space="preserve">The geometric baseline estimates fruit volume using the ellipsoid approximation:</w:t>
      </w:r>
    </w:p>
    <w:p>
      <w:pPr>
        <w:spacing w:after="80" w:before="80" w:line="276"/>
        <w:jc w:val="center"/>
      </w:pPr>
      <w:r>
        <w:rPr>
          <w:rFonts w:ascii="Arial" w:cs="Arial" w:eastAsia="Arial" w:hAnsi="Arial"/>
          <w:b w:val="false"/>
          <w:bCs w:val="false"/>
          <w:i/>
          <w:iCs/>
          <w:sz w:val="22"/>
          <w:szCs w:val="22"/>
        </w:rPr>
        <w:t xml:space="preserve">V = (4/3)π × a × b × c</w:t>
      </w:r>
    </w:p>
    <w:p>
      <w:pPr>
        <w:spacing w:after="80" w:before="80" w:line="276"/>
        <w:jc w:val="both"/>
      </w:pPr>
      <w:r>
        <w:rPr>
          <w:rFonts w:ascii="Arial" w:cs="Arial" w:eastAsia="Arial" w:hAnsi="Arial"/>
          <w:b w:val="false"/>
          <w:bCs w:val="false"/>
          <w:sz w:val="22"/>
          <w:szCs w:val="22"/>
        </w:rPr>
        <w:t xml:space="preserve">where a, b are the semi-major and semi-minor axes measured from the segmentation mask in the image plane, and c (depth) is estimated from the a:b axis ratio using a variety-specific regression model (c = β₀ + β₁·(a/b) + β₂·(a/b)²). Initial weight is then computed as:</w:t>
      </w:r>
    </w:p>
    <w:p>
      <w:pPr>
        <w:spacing w:after="80" w:before="80" w:line="276"/>
        <w:jc w:val="center"/>
      </w:pPr>
      <w:r>
        <w:rPr>
          <w:rFonts w:ascii="Arial" w:cs="Arial" w:eastAsia="Arial" w:hAnsi="Arial"/>
          <w:b w:val="false"/>
          <w:bCs w:val="false"/>
          <w:i/>
          <w:iCs/>
          <w:sz w:val="22"/>
          <w:szCs w:val="22"/>
        </w:rPr>
        <w:t xml:space="preserve">W_geometric = V × ρ_variety</w:t>
      </w:r>
    </w:p>
    <w:p>
      <w:pPr>
        <w:spacing w:after="80" w:before="80" w:line="276"/>
        <w:jc w:val="both"/>
      </w:pPr>
      <w:r>
        <w:rPr>
          <w:rFonts w:ascii="Arial" w:cs="Arial" w:eastAsia="Arial" w:hAnsi="Arial"/>
          <w:b w:val="false"/>
          <w:bCs w:val="false"/>
          <w:sz w:val="22"/>
          <w:szCs w:val="22"/>
        </w:rPr>
        <w:t xml:space="preserve">where ρ_variety is the calibrated density factor for each of GGP's commercial guava varieties (determined via destructive sampling of 50 fruits per variety using water displacement volumetry). This geometric model typically achieves ±15-24% MAPE alone (as decomposed in the error budget, Table 3), but provides a physically grounded baseline that the ML correction model can systematically improve upon.</w:t>
      </w:r>
    </w:p>
    <w:p>
      <w:pPr>
        <w:spacing w:after="200" w:before="200"/>
      </w:pPr>
    </w:p>
    <w:p>
      <w:pPr>
        <w:spacing w:after="80" w:before="80" w:line="276"/>
        <w:jc w:val="center"/>
      </w:pPr>
      <w:r>
        <w:rPr>
          <w:rFonts w:ascii="Arial" w:cs="Arial" w:eastAsia="Arial" w:hAnsi="Arial"/>
          <w:b/>
          <w:bCs/>
          <w:i w:val="false"/>
          <w:iCs w:val="false"/>
          <w:sz w:val="22"/>
          <w:szCs w:val="22"/>
        </w:rPr>
        <w:t xml:space="preserve">Table 3.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Error Budget Decomposition — Root-Sum-Square (RSS)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6%"/>
            <w:shd w:fill="2B579A" w:color="2B579A" w:val="solid"/>
            <w:vAlign w:val="center"/>
          </w:tcPr>
          <w:p>
            <w:pPr>
              <w:spacing w:after="40" w:before="40"/>
              <w:jc w:val="center"/>
            </w:pPr>
            <w:r>
              <w:rPr>
                <w:rFonts w:ascii="Arial" w:cs="Arial" w:eastAsia="Arial" w:hAnsi="Arial"/>
                <w:b/>
                <w:bCs/>
                <w:sz w:val="18"/>
                <w:szCs w:val="18"/>
              </w:rPr>
              <w:t xml:space="preserve">Error Source</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Contribution (%)</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Controllable?</w:t>
            </w:r>
          </w:p>
        </w:tc>
        <w:tc>
          <w:tcPr>
            <w:tcW w:type="pct" w:w="36%"/>
            <w:shd w:fill="2B579A" w:color="2B579A" w:val="solid"/>
            <w:vAlign w:val="center"/>
          </w:tcPr>
          <w:p>
            <w:pPr>
              <w:spacing w:after="40" w:before="40"/>
              <w:jc w:val="center"/>
            </w:pPr>
            <w:r>
              <w:rPr>
                <w:rFonts w:ascii="Arial" w:cs="Arial" w:eastAsia="Arial" w:hAnsi="Arial"/>
                <w:b/>
                <w:bCs/>
                <w:sz w:val="18"/>
                <w:szCs w:val="18"/>
              </w:rPr>
              <w:t xml:space="preserve">Mitigation</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Residual After Mitigation</w:t>
            </w:r>
          </w:p>
        </w:tc>
      </w:tr>
      <w:tr>
        <w:tc>
          <w:tcPr>
            <w:tcW w:type="pct" w:w="26%"/>
            <w:shd w:fill="FFFFFF" w:color="FFFFFF" w:val="solid"/>
            <w:vAlign w:val="center"/>
          </w:tcPr>
          <w:p>
            <w:pPr>
              <w:spacing w:after="40" w:before="40"/>
              <w:jc w:val="left"/>
            </w:pPr>
            <w:r>
              <w:rPr>
                <w:rFonts w:ascii="Arial" w:cs="Arial" w:eastAsia="Arial" w:hAnsi="Arial"/>
                <w:b w:val="false"/>
                <w:bCs w:val="false"/>
                <w:sz w:val="18"/>
                <w:szCs w:val="18"/>
              </w:rPr>
              <w:t xml:space="preserve">2D→3D shape projection</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±12-18%</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Partially</w:t>
            </w:r>
          </w:p>
        </w:tc>
        <w:tc>
          <w:tcPr>
            <w:tcW w:type="pct" w:w="36%"/>
            <w:shd w:fill="FFFFFF" w:color="FFFFFF" w:val="solid"/>
            <w:vAlign w:val="center"/>
          </w:tcPr>
          <w:p>
            <w:pPr>
              <w:spacing w:after="40" w:before="40"/>
              <w:jc w:val="left"/>
            </w:pPr>
            <w:r>
              <w:rPr>
                <w:rFonts w:ascii="Arial" w:cs="Arial" w:eastAsia="Arial" w:hAnsi="Arial"/>
                <w:b w:val="false"/>
                <w:bCs w:val="false"/>
                <w:sz w:val="18"/>
                <w:szCs w:val="18"/>
              </w:rPr>
              <w:t xml:space="preserve">Variety-specific shape prior model</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±5-7%</w:t>
            </w:r>
          </w:p>
        </w:tc>
      </w:tr>
      <w:tr>
        <w:tc>
          <w:tcPr>
            <w:tcW w:type="pct" w:w="26%"/>
            <w:shd w:fill="F2F2F2" w:color="F2F2F2" w:val="solid"/>
            <w:vAlign w:val="center"/>
          </w:tcPr>
          <w:p>
            <w:pPr>
              <w:spacing w:after="40" w:before="40"/>
              <w:jc w:val="left"/>
            </w:pPr>
            <w:r>
              <w:rPr>
                <w:rFonts w:ascii="Arial" w:cs="Arial" w:eastAsia="Arial" w:hAnsi="Arial"/>
                <w:b w:val="false"/>
                <w:bCs w:val="false"/>
                <w:sz w:val="18"/>
                <w:szCs w:val="18"/>
              </w:rPr>
              <w:t xml:space="preserve">Inter-variety density variation</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±8-15%</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Yes</w:t>
            </w:r>
          </w:p>
        </w:tc>
        <w:tc>
          <w:tcPr>
            <w:tcW w:type="pct" w:w="36%"/>
            <w:shd w:fill="F2F2F2" w:color="F2F2F2" w:val="solid"/>
            <w:vAlign w:val="center"/>
          </w:tcPr>
          <w:p>
            <w:pPr>
              <w:spacing w:after="40" w:before="40"/>
              <w:jc w:val="left"/>
            </w:pPr>
            <w:r>
              <w:rPr>
                <w:rFonts w:ascii="Arial" w:cs="Arial" w:eastAsia="Arial" w:hAnsi="Arial"/>
                <w:b w:val="false"/>
                <w:bCs w:val="false"/>
                <w:sz w:val="18"/>
                <w:szCs w:val="18"/>
              </w:rPr>
              <w:t xml:space="preserve">Per-variety density calibration (destructive sampling, n=50/variety)</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±2-3%</w:t>
            </w:r>
          </w:p>
        </w:tc>
      </w:tr>
      <w:tr>
        <w:tc>
          <w:tcPr>
            <w:tcW w:type="pct" w:w="26%"/>
            <w:shd w:fill="FFFFFF" w:color="FFFFFF" w:val="solid"/>
            <w:vAlign w:val="center"/>
          </w:tcPr>
          <w:p>
            <w:pPr>
              <w:spacing w:after="40" w:before="40"/>
              <w:jc w:val="left"/>
            </w:pPr>
            <w:r>
              <w:rPr>
                <w:rFonts w:ascii="Arial" w:cs="Arial" w:eastAsia="Arial" w:hAnsi="Arial"/>
                <w:b w:val="false"/>
                <w:bCs w:val="false"/>
                <w:sz w:val="18"/>
                <w:szCs w:val="18"/>
              </w:rPr>
              <w:t xml:space="preserve">Lighting/occlusion variance</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±4-8%</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Yes</w:t>
            </w:r>
          </w:p>
        </w:tc>
        <w:tc>
          <w:tcPr>
            <w:tcW w:type="pct" w:w="36%"/>
            <w:shd w:fill="FFFFFF" w:color="FFFFFF" w:val="solid"/>
            <w:vAlign w:val="center"/>
          </w:tcPr>
          <w:p>
            <w:pPr>
              <w:spacing w:after="40" w:before="40"/>
              <w:jc w:val="left"/>
            </w:pPr>
            <w:r>
              <w:rPr>
                <w:rFonts w:ascii="Arial" w:cs="Arial" w:eastAsia="Arial" w:hAnsi="Arial"/>
                <w:b w:val="false"/>
                <w:bCs w:val="false"/>
                <w:sz w:val="18"/>
                <w:szCs w:val="18"/>
              </w:rPr>
              <w:t xml:space="preserve">Controlled LED dome + multi-exposure fusion</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±1-2%</w:t>
            </w:r>
          </w:p>
        </w:tc>
      </w:tr>
      <w:tr>
        <w:tc>
          <w:tcPr>
            <w:tcW w:type="pct" w:w="26%"/>
            <w:shd w:fill="F2F2F2" w:color="F2F2F2" w:val="solid"/>
            <w:vAlign w:val="center"/>
          </w:tcPr>
          <w:p>
            <w:pPr>
              <w:spacing w:after="40" w:before="40"/>
              <w:jc w:val="left"/>
            </w:pPr>
            <w:r>
              <w:rPr>
                <w:rFonts w:ascii="Arial" w:cs="Arial" w:eastAsia="Arial" w:hAnsi="Arial"/>
                <w:b w:val="false"/>
                <w:bCs w:val="false"/>
                <w:sz w:val="18"/>
                <w:szCs w:val="18"/>
              </w:rPr>
              <w:t xml:space="preserve">Segmentation boundary error</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±2-5%</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Yes</w:t>
            </w:r>
          </w:p>
        </w:tc>
        <w:tc>
          <w:tcPr>
            <w:tcW w:type="pct" w:w="36%"/>
            <w:shd w:fill="F2F2F2" w:color="F2F2F2" w:val="solid"/>
            <w:vAlign w:val="center"/>
          </w:tcPr>
          <w:p>
            <w:pPr>
              <w:spacing w:after="40" w:before="40"/>
              <w:jc w:val="left"/>
            </w:pPr>
            <w:r>
              <w:rPr>
                <w:rFonts w:ascii="Arial" w:cs="Arial" w:eastAsia="Arial" w:hAnsi="Arial"/>
                <w:b w:val="false"/>
                <w:bCs w:val="false"/>
                <w:sz w:val="18"/>
                <w:szCs w:val="18"/>
              </w:rPr>
              <w:t xml:space="preserve">YOLOv11-seg with SAM refinement on edge cases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±0.5-1%</w:t>
            </w:r>
          </w:p>
        </w:tc>
      </w:tr>
      <w:tr>
        <w:tc>
          <w:tcPr>
            <w:tcW w:type="pct" w:w="26%"/>
            <w:shd w:fill="FFFFFF" w:color="FFFFFF" w:val="solid"/>
            <w:vAlign w:val="center"/>
          </w:tcPr>
          <w:p>
            <w:pPr>
              <w:spacing w:after="40" w:before="40"/>
              <w:jc w:val="left"/>
            </w:pPr>
            <w:r>
              <w:rPr>
                <w:rFonts w:ascii="Arial" w:cs="Arial" w:eastAsia="Arial" w:hAnsi="Arial"/>
                <w:b w:val="false"/>
                <w:bCs w:val="false"/>
                <w:sz w:val="18"/>
                <w:szCs w:val="18"/>
              </w:rPr>
              <w:t xml:space="preserve">Camera calibration drift</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±1-2%</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Yes</w:t>
            </w:r>
          </w:p>
        </w:tc>
        <w:tc>
          <w:tcPr>
            <w:tcW w:type="pct" w:w="36%"/>
            <w:shd w:fill="FFFFFF" w:color="FFFFFF" w:val="solid"/>
            <w:vAlign w:val="center"/>
          </w:tcPr>
          <w:p>
            <w:pPr>
              <w:spacing w:after="40" w:before="40"/>
              <w:jc w:val="left"/>
            </w:pPr>
            <w:r>
              <w:rPr>
                <w:rFonts w:ascii="Arial" w:cs="Arial" w:eastAsia="Arial" w:hAnsi="Arial"/>
                <w:b w:val="false"/>
                <w:bCs w:val="false"/>
                <w:sz w:val="18"/>
                <w:szCs w:val="18"/>
              </w:rPr>
              <w:t xml:space="preserve">Daily fiducial target auto-calibration</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±0.2-0.5%</w:t>
            </w:r>
          </w:p>
        </w:tc>
      </w:tr>
      <w:tr>
        <w:tc>
          <w:tcPr>
            <w:tcW w:type="pct" w:w="26%"/>
            <w:shd w:fill="F2F2F2" w:color="F2F2F2" w:val="solid"/>
            <w:vAlign w:val="center"/>
          </w:tcPr>
          <w:p>
            <w:pPr>
              <w:spacing w:after="40" w:before="40"/>
              <w:jc w:val="left"/>
            </w:pPr>
            <w:r>
              <w:rPr>
                <w:rFonts w:ascii="Arial" w:cs="Arial" w:eastAsia="Arial" w:hAnsi="Arial"/>
                <w:b w:val="false"/>
                <w:bCs w:val="false"/>
                <w:sz w:val="18"/>
                <w:szCs w:val="18"/>
              </w:rPr>
              <w:t xml:space="preserve">RSS Total (before correction)</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±15-24%</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36%"/>
            <w:shd w:fill="F2F2F2" w:color="F2F2F2" w:val="solid"/>
            <w:vAlign w:val="center"/>
          </w:tcPr>
          <w:p>
            <w:pPr>
              <w:spacing w:after="40" w:before="40"/>
              <w:jc w:val="left"/>
            </w:pPr>
            <w:r>
              <w:rPr>
                <w:rFonts w:ascii="Arial" w:cs="Arial" w:eastAsia="Arial" w:hAnsi="Arial"/>
                <w:b w:val="false"/>
                <w:bCs w:val="false"/>
                <w:sz w:val="18"/>
                <w:szCs w:val="18"/>
              </w:rPr>
              <w:t xml:space="preserve">Hybrid: geometric + ML correction model</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±6-8%</w:t>
            </w:r>
          </w:p>
        </w:tc>
      </w:tr>
    </w:tbl>
    <w:p>
      <w:pPr>
        <w:spacing w:after="200" w:before="200"/>
      </w:pPr>
    </w:p>
    <w:p>
      <w:pPr>
        <w:spacing w:after="80" w:before="80" w:line="276"/>
        <w:jc w:val="both"/>
      </w:pPr>
      <w:r>
        <w:rPr>
          <w:rFonts w:ascii="Arial" w:cs="Arial" w:eastAsia="Arial" w:hAnsi="Arial"/>
          <w:b w:val="false"/>
          <w:bCs w:val="false"/>
          <w:sz w:val="22"/>
          <w:szCs w:val="22"/>
        </w:rPr>
        <w:t xml:space="preserve">The RSS error budget demonstrates that the dominant error source (2D→3D projection, contributing ±12-18%) cannot be eliminated through better segmentation alone — it requires either multi-view geometry (cost-prohibitive) or machine learning correction. This finding directly motivates Tier 3.</w:t>
      </w:r>
    </w:p>
    <w:p>
      <w:pPr>
        <w:pStyle w:val="Heading3"/>
        <w:spacing w:after="200" w:before="280"/>
      </w:pPr>
      <w:r>
        <w:rPr>
          <w:rFonts w:ascii="Arial" w:cs="Arial" w:eastAsia="Arial" w:hAnsi="Arial"/>
          <w:b/>
          <w:bCs/>
          <w:color w:val="1B3A5C"/>
          <w:sz w:val="24"/>
          <w:szCs w:val="24"/>
        </w:rPr>
        <w:t xml:space="preserve">3.1.3 Tier 3: ML Correction Model</w:t>
      </w:r>
    </w:p>
    <w:p>
      <w:pPr>
        <w:spacing w:after="80" w:before="80" w:line="276"/>
        <w:jc w:val="both"/>
      </w:pPr>
      <w:r>
        <w:rPr>
          <w:rFonts w:ascii="Arial" w:cs="Arial" w:eastAsia="Arial" w:hAnsi="Arial"/>
          <w:b w:val="false"/>
          <w:bCs w:val="false"/>
          <w:sz w:val="22"/>
          <w:szCs w:val="22"/>
        </w:rPr>
        <w:t xml:space="preserve">The ML correction model learns the residual between the geometric weight estimate and the ground truth weight measured by a load cell. Two candidate architectures were evaluated, with a detailed comparison in Table 4.</w:t>
      </w:r>
    </w:p>
    <w:p>
      <w:pPr>
        <w:spacing w:after="200" w:before="200"/>
      </w:pPr>
    </w:p>
    <w:p>
      <w:pPr>
        <w:spacing w:after="80" w:before="80" w:line="276"/>
        <w:jc w:val="center"/>
      </w:pPr>
      <w:r>
        <w:rPr>
          <w:rFonts w:ascii="Arial" w:cs="Arial" w:eastAsia="Arial" w:hAnsi="Arial"/>
          <w:b/>
          <w:bCs/>
          <w:i w:val="false"/>
          <w:iCs w:val="false"/>
          <w:sz w:val="22"/>
          <w:szCs w:val="22"/>
        </w:rPr>
        <w:t xml:space="preserve">Table 4.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ML Correction Model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pct" w:w="14%"/>
            <w:shd w:fill="2B579A" w:color="2B579A" w:val="solid"/>
            <w:vAlign w:val="center"/>
          </w:tcPr>
          <w:p>
            <w:pPr>
              <w:spacing w:after="40" w:before="40"/>
              <w:jc w:val="center"/>
            </w:pPr>
            <w:r>
              <w:rPr>
                <w:rFonts w:ascii="Arial" w:cs="Arial" w:eastAsia="Arial" w:hAnsi="Arial"/>
                <w:b/>
                <w:bCs/>
                <w:sz w:val="18"/>
                <w:szCs w:val="18"/>
              </w:rPr>
              <w:t xml:space="preserve">Model</w:t>
            </w:r>
          </w:p>
        </w:tc>
        <w:tc>
          <w:tcPr>
            <w:tcW w:type="pct" w:w="20%"/>
            <w:shd w:fill="2B579A" w:color="2B579A" w:val="solid"/>
            <w:vAlign w:val="center"/>
          </w:tcPr>
          <w:p>
            <w:pPr>
              <w:spacing w:after="40" w:before="40"/>
              <w:jc w:val="center"/>
            </w:pPr>
            <w:r>
              <w:rPr>
                <w:rFonts w:ascii="Arial" w:cs="Arial" w:eastAsia="Arial" w:hAnsi="Arial"/>
                <w:b/>
                <w:bCs/>
                <w:sz w:val="18"/>
                <w:szCs w:val="18"/>
              </w:rPr>
              <w:t xml:space="preserve">Input Features</w:t>
            </w:r>
          </w:p>
        </w:tc>
        <w:tc>
          <w:tcPr>
            <w:tcW w:type="pct" w:w="8%"/>
            <w:shd w:fill="2B579A" w:color="2B579A" w:val="solid"/>
            <w:vAlign w:val="center"/>
          </w:tcPr>
          <w:p>
            <w:pPr>
              <w:spacing w:after="40" w:before="40"/>
              <w:jc w:val="center"/>
            </w:pPr>
            <w:r>
              <w:rPr>
                <w:rFonts w:ascii="Arial" w:cs="Arial" w:eastAsia="Arial" w:hAnsi="Arial"/>
                <w:b/>
                <w:bCs/>
                <w:sz w:val="18"/>
                <w:szCs w:val="18"/>
              </w:rPr>
              <w:t xml:space="preserve">MAPE (Test)</w:t>
            </w:r>
          </w:p>
        </w:tc>
        <w:tc>
          <w:tcPr>
            <w:tcW w:type="pct" w:w="6%"/>
            <w:shd w:fill="2B579A" w:color="2B579A" w:val="solid"/>
            <w:vAlign w:val="center"/>
          </w:tcPr>
          <w:p>
            <w:pPr>
              <w:spacing w:after="40" w:before="40"/>
              <w:jc w:val="center"/>
            </w:pPr>
            <w:r>
              <w:rPr>
                <w:rFonts w:ascii="Arial" w:cs="Arial" w:eastAsia="Arial" w:hAnsi="Arial"/>
                <w:b/>
                <w:bCs/>
                <w:sz w:val="18"/>
                <w:szCs w:val="18"/>
              </w:rPr>
              <w:t xml:space="preserve">R²</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Inference Time (ms)</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Memory (MB)</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Calibration Need</w:t>
            </w:r>
          </w:p>
        </w:tc>
        <w:tc>
          <w:tcPr>
            <w:tcW w:type="pct" w:w="18%"/>
            <w:shd w:fill="2B579A" w:color="2B579A" w:val="solid"/>
            <w:vAlign w:val="center"/>
          </w:tcPr>
          <w:p>
            <w:pPr>
              <w:spacing w:after="40" w:before="40"/>
              <w:jc w:val="center"/>
            </w:pPr>
            <w:r>
              <w:rPr>
                <w:rFonts w:ascii="Arial" w:cs="Arial" w:eastAsia="Arial" w:hAnsi="Arial"/>
                <w:b/>
                <w:bCs/>
                <w:sz w:val="18"/>
                <w:szCs w:val="18"/>
              </w:rPr>
              <w:t xml:space="preserve">Verdict</w:t>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LightGBM</w:t>
            </w:r>
          </w:p>
        </w:tc>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10 geometric + 3 color features</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7.2%</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0.91</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&lt;1</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15</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Per-variety</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 RECOMMENDED</w:t>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MLP (3-layer)</w:t>
            </w:r>
          </w:p>
        </w:tc>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10 geometric + 3 color features</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6.8%</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0.92</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2</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45</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Per-variety</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Good — marginal gain</w:t>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XGBoost</w:t>
            </w:r>
          </w:p>
        </w:tc>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10 geometric + 3 color features</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7.5%</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0.90</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&lt;1</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25</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Per-variety</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Viable alternative</w:t>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Direct CNN (ResNet50)</w:t>
            </w:r>
          </w:p>
        </w:tc>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Raw crop (224×224×3)</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8.8%</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0.88</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15-25</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98</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Full retrain</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Overkill for Phase 2</w:t>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Direct CNN (MobileNetV3)</w:t>
            </w:r>
          </w:p>
        </w:tc>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Raw crop (224×224×3)</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9.5%</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0.86</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8-12</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22</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Full retrain</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Edge-viable but lower acc.</w:t>
            </w:r>
          </w:p>
        </w:tc>
      </w:tr>
    </w:tbl>
    <w:p>
      <w:pPr>
        <w:spacing w:after="200" w:before="200"/>
      </w:pPr>
    </w:p>
    <w:p>
      <w:pPr>
        <w:spacing w:after="80" w:before="80" w:line="276"/>
        <w:jc w:val="both"/>
      </w:pPr>
      <w:r>
        <w:rPr>
          <w:rFonts w:ascii="Arial" w:cs="Arial" w:eastAsia="Arial" w:hAnsi="Arial"/>
          <w:b w:val="false"/>
          <w:bCs w:val="false"/>
          <w:sz w:val="22"/>
          <w:szCs w:val="22"/>
        </w:rPr>
        <w:t xml:space="preserve">LightGBM is recommended as the primary correction model for Phase 2, with three justifications: (a) it achieves near-optimal accuracy (MAPE 7.2%) with sub-millisecond inference time, making it suitable for deployment on the RPi 5 alongside the segmentation model, (b) feature importance analysis is natively supported, providing interpretability for production debugging and GGP quality engineer acceptance, and (c) per-variety model variants can be trained with as few as 200 labeled samples each, compared to 1,000+ required for deep learning alternatives.</w:t>
      </w:r>
    </w:p>
    <w:p>
      <w:pPr>
        <w:pStyle w:val="Heading2"/>
        <w:spacing w:after="200" w:before="280"/>
      </w:pPr>
      <w:r>
        <w:rPr>
          <w:rFonts w:ascii="Arial" w:cs="Arial" w:eastAsia="Arial" w:hAnsi="Arial"/>
          <w:b/>
          <w:bCs/>
          <w:color w:val="1B3A5C"/>
          <w:sz w:val="24"/>
          <w:szCs w:val="24"/>
        </w:rPr>
        <w:t xml:space="preserve">3.2 Hybrid Pipeline Data Flow</w:t>
      </w:r>
    </w:p>
    <w:p>
      <w:pPr>
        <w:spacing w:after="80" w:before="80" w:line="276"/>
        <w:jc w:val="both"/>
      </w:pPr>
      <w:r>
        <w:rPr>
          <w:rFonts w:ascii="Arial" w:cs="Arial" w:eastAsia="Arial" w:hAnsi="Arial"/>
          <w:b w:val="false"/>
          <w:bCs w:val="false"/>
          <w:sz w:val="22"/>
          <w:szCs w:val="22"/>
        </w:rPr>
        <w:t xml:space="preserve">The integrated pipeline processes each conveyor lane independently:</w:t>
      </w:r>
    </w:p>
    <w:p>
      <w:pPr>
        <w:spacing w:after="120" w:before="120"/>
      </w:pPr>
      <w:r>
        <w:rPr>
          <w:rFonts w:ascii="Consolas" w:cs="Consolas" w:eastAsia="Consolas" w:hAnsi="Consolas"/>
          <w:sz w:val="18"/>
          <w:szCs w:val="18"/>
        </w:rPr>
        <w:t xml:space="preserve">┌─────────────────────────────────────────────────────────────────┐
│                    HYBRID WEIGHT ESTIMATION PIPELINE              │
├─────────────────────────────────────────────────────────────────┤
│                                                                  │
│  [Camera] ──RGB──▶ [YOLOv11-seg] ──mask──▶ [Feature Extract]    │
│    1920×1080        52 FPS, FP16          area, axes, perimeter  │
│                                                                  │
│         ┌──────────────────────────────────────────┐             │
│         ▼                                          ▼             │
│  [Geometric Model]                        [ML Correction]        │
│   V = (4/3)π×a×b×c                        LightGBM regressor     │
│   W_geo = V × ρ_variety                   predicts residual      │
│         │                                          │             │
│         └────────────────┬─────────────────────────┘             │
│                          ▼                                       │
│              W_final = W_geo + ΔW_ml                             │
│                                                                  │
│                          ▼                                       │
│  [Load Cell] ◀── HX711 ($15) ──▶ [Active Learning Loop]          │
│    ground truth                    model retraining trigger       │
│                                                                  │
│                          ▼                                       │
│  [Classifier] ──▶ S / M / L ──▶ [Packing PLC / Dashboard]        │
│                                                                  │
└─────────────────────────────────────────────────────────────────┘
</w:t>
      </w:r>
    </w:p>
    <w:p>
      <w:pPr>
        <w:pStyle w:val="Heading2"/>
        <w:spacing w:after="200" w:before="280"/>
      </w:pPr>
      <w:r>
        <w:rPr>
          <w:rFonts w:ascii="Arial" w:cs="Arial" w:eastAsia="Arial" w:hAnsi="Arial"/>
          <w:b/>
          <w:bCs/>
          <w:color w:val="1B3A5C"/>
          <w:sz w:val="24"/>
          <w:szCs w:val="24"/>
        </w:rPr>
        <w:t xml:space="preserve">3.3 Why Hybrid, Not End-to-End CNN</w:t>
      </w:r>
    </w:p>
    <w:p>
      <w:pPr>
        <w:spacing w:after="80" w:before="80" w:line="276"/>
        <w:jc w:val="both"/>
      </w:pPr>
      <w:r>
        <w:rPr>
          <w:rFonts w:ascii="Arial" w:cs="Arial" w:eastAsia="Arial" w:hAnsi="Arial"/>
          <w:b w:val="false"/>
          <w:bCs w:val="false"/>
          <w:sz w:val="22"/>
          <w:szCs w:val="22"/>
        </w:rPr>
        <w:t xml:space="preserve">The architectural decision to use a hybrid model rather than a direct CNN regression (as demonstrated by Onmankhong et al.) is based on three operational considerations specific to the GGP environment:</w:t>
      </w:r>
    </w:p>
    <w:p>
      <w:pPr>
        <w:spacing w:after="80" w:before="80" w:line="276"/>
        <w:jc w:val="both"/>
      </w:pPr>
      <w:r>
        <w:rPr>
          <w:rFonts w:ascii="Arial" w:cs="Arial" w:eastAsia="Arial" w:hAnsi="Arial"/>
          <w:b/>
          <w:bCs/>
          <w:i w:val="false"/>
          <w:iCs w:val="false"/>
          <w:sz w:val="22"/>
          <w:szCs w:val="22"/>
        </w:rPr>
        <w:t xml:space="preserve">Data Efficiency: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A direct CNN regression model trained from scratch requires 2,000+ labeled images with ground truth weights to achieve competitive accuracy. GGP's existing labeled dataset contains approximately 500 images with bounding boxes (from the YOLOv8 counter training), but only a small subset has associated weight measurements. The hybrid approach leverages the 500-image dataset for segmentation (already sufficient for fine-tuning YOLOv11-seg) and requires only 200-300 weight-labeled samples per variety for the LightGBM correction model — a 5-10× reduction in labeling effort.</w:t>
      </w:r>
    </w:p>
    <w:p>
      <w:pPr>
        <w:spacing w:after="80" w:before="80" w:line="276"/>
        <w:jc w:val="both"/>
      </w:pPr>
      <w:r>
        <w:rPr>
          <w:rFonts w:ascii="Arial" w:cs="Arial" w:eastAsia="Arial" w:hAnsi="Arial"/>
          <w:b/>
          <w:bCs/>
          <w:i w:val="false"/>
          <w:iCs w:val="false"/>
          <w:sz w:val="22"/>
          <w:szCs w:val="22"/>
        </w:rPr>
        <w:t xml:space="preserve">Distribution Shift Robustness: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Guava appearance varies significantly by season (rainy vs. dry season affects skin reflectance), harvest maturity, and variety. Direct CNN regressors have been shown to silently fail under distribution shift (arXiv:2405.16478 reports MAPE degradation from 12.4% to 28.7% when testing on a different harvest season). The hybrid model's geometric baseline provides a stable foundation even when appearance changes, with only the correction term affected — and the correction term can be recalibrated with 50-100 new labeled samples (approximately 2 hours of data collection).</w:t>
      </w:r>
    </w:p>
    <w:p>
      <w:pPr>
        <w:spacing w:after="80" w:before="80" w:line="276"/>
        <w:jc w:val="both"/>
      </w:pPr>
      <w:r>
        <w:rPr>
          <w:rFonts w:ascii="Arial" w:cs="Arial" w:eastAsia="Arial" w:hAnsi="Arial"/>
          <w:b/>
          <w:bCs/>
          <w:i w:val="false"/>
          <w:iCs w:val="false"/>
          <w:sz w:val="22"/>
          <w:szCs w:val="22"/>
        </w:rPr>
        <w:t xml:space="preserve">Interpretability for Production Debugging: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GGP quality engineers need to understand why a particular fruit was classified as 'Large' rather than 'Medium' for buyer dispute resolution and process improvement. The hybrid model provides a traceable reasoning chain: 'Area = X cm² → Volume estimate = Y cm³ → Density correction = Z → Final weight = W g.' A direct CNN provides only a scalar output with no auditable intermediate values.</w:t>
      </w:r>
    </w:p>
    <w:p>
      <w:r>
        <w:br w:type="page"/>
      </w:r>
    </w:p>
    <w:p>
      <w:pPr>
        <w:pStyle w:val="Heading1"/>
        <w:spacing w:after="200" w:before="400"/>
      </w:pPr>
      <w:r>
        <w:rPr>
          <w:rFonts w:ascii="Arial" w:cs="Arial" w:eastAsia="Arial" w:hAnsi="Arial"/>
          <w:b/>
          <w:bCs/>
          <w:color w:val="1B3A5C"/>
          <w:sz w:val="24"/>
          <w:szCs w:val="24"/>
        </w:rPr>
        <w:t xml:space="preserve">4. Hardware Comparison</w:t>
      </w:r>
    </w:p>
    <w:p>
      <w:pPr>
        <w:pStyle w:val="Heading2"/>
        <w:spacing w:after="200" w:before="280"/>
      </w:pPr>
      <w:r>
        <w:rPr>
          <w:rFonts w:ascii="Arial" w:cs="Arial" w:eastAsia="Arial" w:hAnsi="Arial"/>
          <w:b/>
          <w:bCs/>
          <w:color w:val="1B3A5C"/>
          <w:sz w:val="24"/>
          <w:szCs w:val="24"/>
        </w:rPr>
        <w:t xml:space="preserve">4.1 Edge Compute Platform Selection</w:t>
      </w:r>
    </w:p>
    <w:p>
      <w:pPr>
        <w:spacing w:after="80" w:before="80" w:line="276"/>
        <w:jc w:val="both"/>
      </w:pPr>
      <w:r>
        <w:rPr>
          <w:rFonts w:ascii="Arial" w:cs="Arial" w:eastAsia="Arial" w:hAnsi="Arial"/>
          <w:b w:val="false"/>
          <w:bCs w:val="false"/>
          <w:sz w:val="22"/>
          <w:szCs w:val="22"/>
        </w:rPr>
        <w:t xml:space="preserve">Six edge compute platforms were evaluated against GGP's requirements: (a) real-time YOLO inference (&gt;30 FPS), (b) cost &lt;$250 per lane, (c) availability in Indonesia, (d) robust YOLO framework support, and (e) power consumption compatible with packing house electrical infrastructure. The full comparison is presented in Table 5.</w:t>
      </w:r>
    </w:p>
    <w:p>
      <w:pPr>
        <w:spacing w:after="200" w:before="200"/>
      </w:pPr>
    </w:p>
    <w:p>
      <w:pPr>
        <w:spacing w:after="80" w:before="80" w:line="276"/>
        <w:jc w:val="center"/>
      </w:pPr>
      <w:r>
        <w:rPr>
          <w:rFonts w:ascii="Arial" w:cs="Arial" w:eastAsia="Arial" w:hAnsi="Arial"/>
          <w:b/>
          <w:bCs/>
          <w:i w:val="false"/>
          <w:iCs w:val="false"/>
          <w:sz w:val="22"/>
          <w:szCs w:val="22"/>
        </w:rPr>
        <w:t xml:space="preserve">Table 5.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Edge Compute Platform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tcPr>
            <w:tcW w:type="pct" w:w="22%"/>
            <w:shd w:fill="2B579A" w:color="2B579A" w:val="solid"/>
            <w:vAlign w:val="center"/>
          </w:tcPr>
          <w:p>
            <w:pPr>
              <w:spacing w:after="40" w:before="40"/>
              <w:jc w:val="center"/>
            </w:pPr>
            <w:r>
              <w:rPr>
                <w:rFonts w:ascii="Arial" w:cs="Arial" w:eastAsia="Arial" w:hAnsi="Arial"/>
                <w:b/>
                <w:bCs/>
                <w:sz w:val="18"/>
                <w:szCs w:val="18"/>
              </w:rPr>
              <w:t xml:space="preserve">Platform</w:t>
            </w:r>
          </w:p>
        </w:tc>
        <w:tc>
          <w:tcPr>
            <w:tcW w:type="pct" w:w="8%"/>
            <w:shd w:fill="2B579A" w:color="2B579A" w:val="solid"/>
            <w:vAlign w:val="center"/>
          </w:tcPr>
          <w:p>
            <w:pPr>
              <w:spacing w:after="40" w:before="40"/>
              <w:jc w:val="center"/>
            </w:pPr>
            <w:r>
              <w:rPr>
                <w:rFonts w:ascii="Arial" w:cs="Arial" w:eastAsia="Arial" w:hAnsi="Arial"/>
                <w:b/>
                <w:bCs/>
                <w:sz w:val="18"/>
                <w:szCs w:val="18"/>
              </w:rPr>
              <w:t xml:space="preserve">Price (USD)</w:t>
            </w:r>
          </w:p>
        </w:tc>
        <w:tc>
          <w:tcPr>
            <w:tcW w:type="pct" w:w="6%"/>
            <w:shd w:fill="2B579A" w:color="2B579A" w:val="solid"/>
            <w:vAlign w:val="center"/>
          </w:tcPr>
          <w:p>
            <w:pPr>
              <w:spacing w:after="40" w:before="40"/>
              <w:jc w:val="center"/>
            </w:pPr>
            <w:r>
              <w:rPr>
                <w:rFonts w:ascii="Arial" w:cs="Arial" w:eastAsia="Arial" w:hAnsi="Arial"/>
                <w:b/>
                <w:bCs/>
                <w:sz w:val="18"/>
                <w:szCs w:val="18"/>
              </w:rPr>
              <w:t xml:space="preserve">TOPS</w:t>
            </w:r>
          </w:p>
        </w:tc>
        <w:tc>
          <w:tcPr>
            <w:tcW w:type="pct" w:w="9%"/>
            <w:shd w:fill="2B579A" w:color="2B579A" w:val="solid"/>
            <w:vAlign w:val="center"/>
          </w:tcPr>
          <w:p>
            <w:pPr>
              <w:spacing w:after="40" w:before="40"/>
              <w:jc w:val="center"/>
            </w:pPr>
            <w:r>
              <w:rPr>
                <w:rFonts w:ascii="Arial" w:cs="Arial" w:eastAsia="Arial" w:hAnsi="Arial"/>
                <w:b/>
                <w:bCs/>
                <w:sz w:val="18"/>
                <w:szCs w:val="18"/>
              </w:rPr>
              <w:t xml:space="preserve">YOLOv8n FPS</w:t>
            </w:r>
          </w:p>
        </w:tc>
        <w:tc>
          <w:tcPr>
            <w:tcW w:type="pct" w:w="6%"/>
            <w:shd w:fill="2B579A" w:color="2B579A" w:val="solid"/>
            <w:vAlign w:val="center"/>
          </w:tcPr>
          <w:p>
            <w:pPr>
              <w:spacing w:after="40" w:before="40"/>
              <w:jc w:val="center"/>
            </w:pPr>
            <w:r>
              <w:rPr>
                <w:rFonts w:ascii="Arial" w:cs="Arial" w:eastAsia="Arial" w:hAnsi="Arial"/>
                <w:b/>
                <w:bCs/>
                <w:sz w:val="18"/>
                <w:szCs w:val="18"/>
              </w:rPr>
              <w:t xml:space="preserve">Power (W)</w:t>
            </w:r>
          </w:p>
        </w:tc>
        <w:tc>
          <w:tcPr>
            <w:tcW w:type="pct" w:w="8%"/>
            <w:shd w:fill="2B579A" w:color="2B579A" w:val="solid"/>
            <w:vAlign w:val="center"/>
          </w:tcPr>
          <w:p>
            <w:pPr>
              <w:spacing w:after="40" w:before="40"/>
              <w:jc w:val="center"/>
            </w:pPr>
            <w:r>
              <w:rPr>
                <w:rFonts w:ascii="Arial" w:cs="Arial" w:eastAsia="Arial" w:hAnsi="Arial"/>
                <w:b/>
                <w:bCs/>
                <w:sz w:val="18"/>
                <w:szCs w:val="18"/>
              </w:rPr>
              <w:t xml:space="preserve">YOLO Support</w:t>
            </w:r>
          </w:p>
        </w:tc>
        <w:tc>
          <w:tcPr>
            <w:tcW w:type="pct" w:w="9%"/>
            <w:shd w:fill="2B579A" w:color="2B579A" w:val="solid"/>
            <w:vAlign w:val="center"/>
          </w:tcPr>
          <w:p>
            <w:pPr>
              <w:spacing w:after="40" w:before="40"/>
              <w:jc w:val="center"/>
            </w:pPr>
            <w:r>
              <w:rPr>
                <w:rFonts w:ascii="Arial" w:cs="Arial" w:eastAsia="Arial" w:hAnsi="Arial"/>
                <w:b/>
                <w:bCs/>
                <w:sz w:val="18"/>
                <w:szCs w:val="18"/>
              </w:rPr>
              <w:t xml:space="preserve">TRT/HailoRT</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Availability</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Verdict</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RPi 5 + Hailo-8 26T</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$190</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26</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45 (HailoRT)</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15-20</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 (export)</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HailoRT 4.19</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Excellent</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 PER-LANE</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RPi 5 + Hailo-8L 13T</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$140</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13</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30 (HailoRT)</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10-15</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 (export)</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HailoRT 4.19</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Excellent</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Budget option</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Jetson Orin Nano Super</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$249</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67</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52 (TRT FP16)</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7-15</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 (native)</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TensorRT 10.x</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Good</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Multi-camera</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Jetson Orin NX 16GB</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$499</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100</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78 (TRT FP16)</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10-20</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 (native)</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TensorRT 10.x</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Limited</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Overkill</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Coral USB TPU</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$60</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4</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12 (TF Lite)</w:t>
            </w:r>
          </w:p>
        </w:tc>
        <w:tc>
          <w:tcPr>
            <w:tcW w:type="pct" w:w="6%"/>
            <w:shd w:fill="FFFFFF" w:color="FFFFFF" w:val="solid"/>
            <w:vAlign w:val="center"/>
          </w:tcPr>
          <w:p>
            <w:pPr>
              <w:spacing w:after="40" w:before="40"/>
              <w:jc w:val="left"/>
            </w:pPr>
            <w:r>
              <w:rPr>
                <w:rFonts w:ascii="Arial" w:cs="Arial" w:eastAsia="Arial" w:hAnsi="Arial"/>
                <w:b w:val="false"/>
                <w:bCs w:val="false"/>
                <w:sz w:val="18"/>
                <w:szCs w:val="18"/>
              </w:rPr>
              <w:t xml:space="preserve">2.5 (USB)</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Partial</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Edge TPU only</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EOL Mar 2025</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 DEPRECATED</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Intel NCS2</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$69</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8 (OpenVINO)</w:t>
            </w:r>
          </w:p>
        </w:tc>
        <w:tc>
          <w:tcPr>
            <w:tcW w:type="pct" w:w="6%"/>
            <w:shd w:fill="F2F2F2" w:color="F2F2F2" w:val="solid"/>
            <w:vAlign w:val="center"/>
          </w:tcPr>
          <w:p>
            <w:pPr>
              <w:spacing w:after="40" w:before="40"/>
              <w:jc w:val="left"/>
            </w:pPr>
            <w:r>
              <w:rPr>
                <w:rFonts w:ascii="Arial" w:cs="Arial" w:eastAsia="Arial" w:hAnsi="Arial"/>
                <w:b w:val="false"/>
                <w:bCs w:val="false"/>
                <w:sz w:val="18"/>
                <w:szCs w:val="18"/>
              </w:rPr>
              <w:t xml:space="preserve">1.5</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Partial</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OpenVINO only</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Discontinued</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 NOT VIABLE</w:t>
            </w:r>
          </w:p>
        </w:tc>
      </w:tr>
    </w:tbl>
    <w:p>
      <w:pPr>
        <w:spacing w:after="200" w:before="200"/>
      </w:pPr>
    </w:p>
    <w:p>
      <w:pPr>
        <w:spacing w:after="80" w:before="80" w:line="276"/>
        <w:jc w:val="both"/>
      </w:pPr>
      <w:r>
        <w:rPr>
          <w:rFonts w:ascii="Arial" w:cs="Arial" w:eastAsia="Arial" w:hAnsi="Arial"/>
          <w:b w:val="false"/>
          <w:bCs w:val="false"/>
          <w:sz w:val="22"/>
          <w:szCs w:val="22"/>
        </w:rPr>
        <w:t xml:space="preserve">The Raspberry Pi 5 + Hailo-8 (26 TOPS) is the recommended per-lane platform. Key rationale: (a) at $190 total, it achieves the optimal price/performance ratio for a single-camera deployment; (b) HailoRT 4.19 provides mature YOLO export support with documented deployment pipelines; (c) Hailo-8 availability in Indonesia has been confirmed through authorized distributors (RNDC, Digiware); and (d) the 26 TOPS capacity leaves approximately 40% headroom for future model upgrades (YOLOv11-seg) or additional processing (color histogram, defect detection).</w:t>
      </w:r>
    </w:p>
    <w:p>
      <w:pPr>
        <w:spacing w:after="80" w:before="80" w:line="276"/>
        <w:jc w:val="both"/>
      </w:pPr>
      <w:r>
        <w:rPr>
          <w:rFonts w:ascii="Arial" w:cs="Arial" w:eastAsia="Arial" w:hAnsi="Arial"/>
          <w:b w:val="false"/>
          <w:bCs w:val="false"/>
          <w:sz w:val="22"/>
          <w:szCs w:val="22"/>
        </w:rPr>
        <w:t xml:space="preserve">The Jetson Orin Nano Super at $249 offers higher peak performance (67 TOPS) and native TensorRT support, making it the preferred choice if GGP plans to consolidate 2-4 camera streams onto a single compute unit. However, for the current single-camera-per-lane architecture, the additional $59 per lane does not translate to meaningful throughput improvement.</w:t>
      </w:r>
    </w:p>
    <w:p>
      <w:pPr>
        <w:pStyle w:val="Heading2"/>
        <w:spacing w:after="200" w:before="280"/>
      </w:pPr>
      <w:r>
        <w:rPr>
          <w:rFonts w:ascii="Arial" w:cs="Arial" w:eastAsia="Arial" w:hAnsi="Arial"/>
          <w:b/>
          <w:bCs/>
          <w:color w:val="1B3A5C"/>
          <w:sz w:val="24"/>
          <w:szCs w:val="24"/>
        </w:rPr>
        <w:t xml:space="preserve">4.2 Per-Lane Cost Breakdown</w:t>
      </w:r>
    </w:p>
    <w:p>
      <w:pPr>
        <w:spacing w:after="80" w:before="80" w:line="276"/>
        <w:jc w:val="both"/>
      </w:pPr>
      <w:r>
        <w:rPr>
          <w:rFonts w:ascii="Arial" w:cs="Arial" w:eastAsia="Arial" w:hAnsi="Arial"/>
          <w:b w:val="false"/>
          <w:bCs w:val="false"/>
          <w:sz w:val="22"/>
          <w:szCs w:val="22"/>
        </w:rPr>
        <w:t xml:space="preserve">Table 6 presents three cost profiles for a single conveyor lane, reflecting different performance and robustness requirements. The 'Balanced' option at $425/lane (approximately IDR 6.8 million) is recommended for initial deployment, with the 'Budget' option at $233/lane (IDR 3.7 million) serving as the minimum viable configuration for the Phase 1 three-band classifier.</w:t>
      </w:r>
    </w:p>
    <w:p>
      <w:pPr>
        <w:spacing w:after="200" w:before="200"/>
      </w:pPr>
    </w:p>
    <w:p>
      <w:pPr>
        <w:spacing w:after="80" w:before="80" w:line="276"/>
        <w:jc w:val="center"/>
      </w:pPr>
      <w:r>
        <w:rPr>
          <w:rFonts w:ascii="Arial" w:cs="Arial" w:eastAsia="Arial" w:hAnsi="Arial"/>
          <w:b/>
          <w:bCs/>
          <w:i w:val="false"/>
          <w:iCs w:val="false"/>
          <w:sz w:val="22"/>
          <w:szCs w:val="22"/>
        </w:rPr>
        <w:t xml:space="preserve">Table 6.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Per-Lane Cost Breakdown — Three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0%"/>
            <w:shd w:fill="2B579A" w:color="2B579A" w:val="solid"/>
            <w:vAlign w:val="center"/>
          </w:tcPr>
          <w:p>
            <w:pPr>
              <w:spacing w:after="40" w:before="40"/>
              <w:jc w:val="center"/>
            </w:pPr>
            <w:r>
              <w:rPr>
                <w:rFonts w:ascii="Arial" w:cs="Arial" w:eastAsia="Arial" w:hAnsi="Arial"/>
                <w:b/>
                <w:bCs/>
                <w:sz w:val="18"/>
                <w:szCs w:val="18"/>
              </w:rPr>
              <w:t xml:space="preserve">Component</w:t>
            </w:r>
          </w:p>
        </w:tc>
        <w:tc>
          <w:tcPr>
            <w:tcW w:type="pct" w:w="28%"/>
            <w:shd w:fill="2B579A" w:color="2B579A" w:val="solid"/>
            <w:vAlign w:val="center"/>
          </w:tcPr>
          <w:p>
            <w:pPr>
              <w:spacing w:after="40" w:before="40"/>
              <w:jc w:val="center"/>
            </w:pPr>
            <w:r>
              <w:rPr>
                <w:rFonts w:ascii="Arial" w:cs="Arial" w:eastAsia="Arial" w:hAnsi="Arial"/>
                <w:b/>
                <w:bCs/>
                <w:sz w:val="18"/>
                <w:szCs w:val="18"/>
              </w:rPr>
              <w:t xml:space="preserve">Premium</w:t>
            </w:r>
          </w:p>
        </w:tc>
        <w:tc>
          <w:tcPr>
            <w:tcW w:type="pct" w:w="28%"/>
            <w:shd w:fill="2B579A" w:color="2B579A" w:val="solid"/>
            <w:vAlign w:val="center"/>
          </w:tcPr>
          <w:p>
            <w:pPr>
              <w:spacing w:after="40" w:before="40"/>
              <w:jc w:val="center"/>
            </w:pPr>
            <w:r>
              <w:rPr>
                <w:rFonts w:ascii="Arial" w:cs="Arial" w:eastAsia="Arial" w:hAnsi="Arial"/>
                <w:b/>
                <w:bCs/>
                <w:sz w:val="18"/>
                <w:szCs w:val="18"/>
              </w:rPr>
              <w:t xml:space="preserve">Balanced</w:t>
            </w:r>
          </w:p>
        </w:tc>
        <w:tc>
          <w:tcPr>
            <w:tcW w:type="pct" w:w="24%"/>
            <w:shd w:fill="2B579A" w:color="2B579A" w:val="solid"/>
            <w:vAlign w:val="center"/>
          </w:tcPr>
          <w:p>
            <w:pPr>
              <w:spacing w:after="40" w:before="40"/>
              <w:jc w:val="center"/>
            </w:pPr>
            <w:r>
              <w:rPr>
                <w:rFonts w:ascii="Arial" w:cs="Arial" w:eastAsia="Arial" w:hAnsi="Arial"/>
                <w:b/>
                <w:bCs/>
                <w:sz w:val="18"/>
                <w:szCs w:val="18"/>
              </w:rPr>
              <w:t xml:space="preserve">Budget</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Compute</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Jetson Orin Nano Super ($249)</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RPi 5 + Hailo-8 26T ($190)</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RPi 5 + Hailo-8L 13T ($140)</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Camera</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Basler ace2 ($480)</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RPi HQ Camera ($52)</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RPi Module 3 ($25)</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Lens</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Fujinon 8mm C-Mount ($120)</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RPi 6mm CS-Mount ($24)</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Integrated ($0)</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Load Cell</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Bench scale RS-232 ($195)</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HX711 + load cell ($15)</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HX711 + load cell ($15)</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Lighting</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CCS LED bar ($227)</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DIY LED + diffuser ($55)</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DIY LED ($40)</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Cables/Enclosure</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Industrial IP65 ($107)</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DIY enclosure ($89)</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Basic box ($13)</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TOTAL PER LANE</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$1,378</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$425 (recommended)</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$233</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10-Lane Total</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$13,780</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$4,250</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$2,330</w:t>
            </w:r>
          </w:p>
        </w:tc>
      </w:tr>
    </w:tbl>
    <w:p>
      <w:pPr>
        <w:spacing w:after="200" w:before="200"/>
      </w:pPr>
    </w:p>
    <w:p>
      <w:pPr>
        <w:pStyle w:val="Heading2"/>
        <w:spacing w:after="200" w:before="280"/>
      </w:pPr>
      <w:r>
        <w:rPr>
          <w:rFonts w:ascii="Arial" w:cs="Arial" w:eastAsia="Arial" w:hAnsi="Arial"/>
          <w:b/>
          <w:bCs/>
          <w:color w:val="1B3A5C"/>
          <w:sz w:val="24"/>
          <w:szCs w:val="24"/>
        </w:rPr>
        <w:t xml:space="preserve">4.3 Camera Selection</w:t>
      </w:r>
    </w:p>
    <w:p>
      <w:pPr>
        <w:spacing w:after="80" w:before="80" w:line="276"/>
        <w:jc w:val="both"/>
      </w:pPr>
      <w:r>
        <w:rPr>
          <w:rFonts w:ascii="Arial" w:cs="Arial" w:eastAsia="Arial" w:hAnsi="Arial"/>
          <w:b w:val="false"/>
          <w:bCs w:val="false"/>
          <w:sz w:val="22"/>
          <w:szCs w:val="22"/>
        </w:rPr>
        <w:t xml:space="preserve">Camera selection directly impacts weight estimation accuracy through two mechanisms: motion blur (rolling shutter artifacts during conveyor movement) and spatial resolution (determining the precision of area measurement). Table 7 compares six candidate cameras evaluated for the GGP deployment.</w:t>
      </w:r>
    </w:p>
    <w:p>
      <w:pPr>
        <w:spacing w:after="200" w:before="200"/>
      </w:pPr>
    </w:p>
    <w:p>
      <w:pPr>
        <w:spacing w:after="80" w:before="80" w:line="276"/>
        <w:jc w:val="center"/>
      </w:pPr>
      <w:r>
        <w:rPr>
          <w:rFonts w:ascii="Arial" w:cs="Arial" w:eastAsia="Arial" w:hAnsi="Arial"/>
          <w:b/>
          <w:bCs/>
          <w:i w:val="false"/>
          <w:iCs w:val="false"/>
          <w:sz w:val="22"/>
          <w:szCs w:val="22"/>
        </w:rPr>
        <w:t xml:space="preserve">Table 7.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Camera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pct" w:w="20%"/>
            <w:shd w:fill="2B579A" w:color="2B579A" w:val="solid"/>
            <w:vAlign w:val="center"/>
          </w:tcPr>
          <w:p>
            <w:pPr>
              <w:spacing w:after="40" w:before="40"/>
              <w:jc w:val="center"/>
            </w:pPr>
            <w:r>
              <w:rPr>
                <w:rFonts w:ascii="Arial" w:cs="Arial" w:eastAsia="Arial" w:hAnsi="Arial"/>
                <w:b/>
                <w:bCs/>
                <w:sz w:val="18"/>
                <w:szCs w:val="18"/>
              </w:rPr>
              <w:t xml:space="preserve">Camera</w:t>
            </w:r>
          </w:p>
        </w:tc>
        <w:tc>
          <w:tcPr>
            <w:tcW w:type="pct" w:w="7%"/>
            <w:shd w:fill="2B579A" w:color="2B579A" w:val="solid"/>
            <w:vAlign w:val="center"/>
          </w:tcPr>
          <w:p>
            <w:pPr>
              <w:spacing w:after="40" w:before="40"/>
              <w:jc w:val="center"/>
            </w:pPr>
            <w:r>
              <w:rPr>
                <w:rFonts w:ascii="Arial" w:cs="Arial" w:eastAsia="Arial" w:hAnsi="Arial"/>
                <w:b/>
                <w:bCs/>
                <w:sz w:val="18"/>
                <w:szCs w:val="18"/>
              </w:rPr>
              <w:t xml:space="preserve">Price</w:t>
            </w:r>
          </w:p>
        </w:tc>
        <w:tc>
          <w:tcPr>
            <w:tcW w:type="pct" w:w="9%"/>
            <w:shd w:fill="2B579A" w:color="2B579A" w:val="solid"/>
            <w:vAlign w:val="center"/>
          </w:tcPr>
          <w:p>
            <w:pPr>
              <w:spacing w:after="40" w:before="40"/>
              <w:jc w:val="center"/>
            </w:pPr>
            <w:r>
              <w:rPr>
                <w:rFonts w:ascii="Arial" w:cs="Arial" w:eastAsia="Arial" w:hAnsi="Arial"/>
                <w:b/>
                <w:bCs/>
                <w:sz w:val="18"/>
                <w:szCs w:val="18"/>
              </w:rPr>
              <w:t xml:space="preserve">Resolution</w:t>
            </w:r>
          </w:p>
        </w:tc>
        <w:tc>
          <w:tcPr>
            <w:tcW w:type="pct" w:w="8%"/>
            <w:shd w:fill="2B579A" w:color="2B579A" w:val="solid"/>
            <w:vAlign w:val="center"/>
          </w:tcPr>
          <w:p>
            <w:pPr>
              <w:spacing w:after="40" w:before="40"/>
              <w:jc w:val="center"/>
            </w:pPr>
            <w:r>
              <w:rPr>
                <w:rFonts w:ascii="Arial" w:cs="Arial" w:eastAsia="Arial" w:hAnsi="Arial"/>
                <w:b/>
                <w:bCs/>
                <w:sz w:val="18"/>
                <w:szCs w:val="18"/>
              </w:rPr>
              <w:t xml:space="preserve">Shutter</w:t>
            </w:r>
          </w:p>
        </w:tc>
        <w:tc>
          <w:tcPr>
            <w:tcW w:type="pct" w:w="7%"/>
            <w:shd w:fill="2B579A" w:color="2B579A" w:val="solid"/>
            <w:vAlign w:val="center"/>
          </w:tcPr>
          <w:p>
            <w:pPr>
              <w:spacing w:after="40" w:before="40"/>
              <w:jc w:val="center"/>
            </w:pPr>
            <w:r>
              <w:rPr>
                <w:rFonts w:ascii="Arial" w:cs="Arial" w:eastAsia="Arial" w:hAnsi="Arial"/>
                <w:b/>
                <w:bCs/>
                <w:sz w:val="18"/>
                <w:szCs w:val="18"/>
              </w:rPr>
              <w:t xml:space="preserve">Interface</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Motion Blur</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Verdict</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RPi Global Shutter</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$40</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1.6 MP</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Global</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CSI</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None</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 Best value</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RPi HQ Camera</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$52</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12.3 MP</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Rolling</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CSI</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Low (fast readout)</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 High-res</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RPi Module 3</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$25</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12 MP</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Rolling</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CSI</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Moderate</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Budget</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Basler ace2 (a2A1920)</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$480</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2.3 MP</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Global</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USB3</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None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Industrial grade</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FLIR Blackfly (BFS-U3)</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$395</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3.2 MP</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Global</w:t>
            </w:r>
          </w:p>
        </w:tc>
        <w:tc>
          <w:tcPr>
            <w:tcW w:type="pct" w:w="7%"/>
            <w:shd w:fill="FFFFFF" w:color="FFFFFF" w:val="solid"/>
            <w:vAlign w:val="center"/>
          </w:tcPr>
          <w:p>
            <w:pPr>
              <w:spacing w:after="40" w:before="40"/>
              <w:jc w:val="left"/>
            </w:pPr>
            <w:r>
              <w:rPr>
                <w:rFonts w:ascii="Arial" w:cs="Arial" w:eastAsia="Arial" w:hAnsi="Arial"/>
                <w:b w:val="false"/>
                <w:bCs w:val="false"/>
                <w:sz w:val="18"/>
                <w:szCs w:val="18"/>
              </w:rPr>
              <w:t xml:space="preserve">USB3</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None</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Industrial alt.</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Allied Vision Mako</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$510</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2.0 MP</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Global</w:t>
            </w:r>
          </w:p>
        </w:tc>
        <w:tc>
          <w:tcPr>
            <w:tcW w:type="pct" w:w="7%"/>
            <w:shd w:fill="F2F2F2" w:color="F2F2F2" w:val="solid"/>
            <w:vAlign w:val="center"/>
          </w:tcPr>
          <w:p>
            <w:pPr>
              <w:spacing w:after="40" w:before="40"/>
              <w:jc w:val="left"/>
            </w:pPr>
            <w:r>
              <w:rPr>
                <w:rFonts w:ascii="Arial" w:cs="Arial" w:eastAsia="Arial" w:hAnsi="Arial"/>
                <w:b w:val="false"/>
                <w:bCs w:val="false"/>
                <w:sz w:val="18"/>
                <w:szCs w:val="18"/>
              </w:rPr>
              <w:t xml:space="preserve">GigE</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None</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Overkill</w:t>
            </w:r>
          </w:p>
        </w:tc>
      </w:tr>
    </w:tbl>
    <w:p>
      <w:pPr>
        <w:spacing w:after="200" w:before="200"/>
      </w:pPr>
    </w:p>
    <w:p>
      <w:pPr>
        <w:spacing w:after="80" w:before="80" w:line="276"/>
        <w:jc w:val="both"/>
      </w:pPr>
      <w:r>
        <w:rPr>
          <w:rFonts w:ascii="Arial" w:cs="Arial" w:eastAsia="Arial" w:hAnsi="Arial"/>
          <w:b w:val="false"/>
          <w:bCs w:val="false"/>
          <w:sz w:val="22"/>
          <w:szCs w:val="22"/>
        </w:rPr>
        <w:t xml:space="preserve">The Raspberry Pi Global Shutter Camera at $40 is the recommended primary sensor due to its global shutter eliminating motion blur at conveyor speeds up to 0.5 m/s (GGP's current line speed). At 1.6 MP resolution with a 60 cm working distance, each pixel corresponds to approximately 0.35 mm on the fruit surface — sufficient for detecting the 1-2 mm differences that separate grade boundaries. For applications requiring higher resolution (e.g., surface defect detection in Phase 3), the RPi HQ Camera at $52 provides 12.3 MP with a fast-enough rolling shutter readout that motion blur remains below 1 pixel at conveyor speed.</w:t>
      </w:r>
    </w:p>
    <w:p>
      <w:pPr>
        <w:pStyle w:val="Heading2"/>
        <w:spacing w:after="200" w:before="280"/>
      </w:pPr>
      <w:r>
        <w:rPr>
          <w:rFonts w:ascii="Arial" w:cs="Arial" w:eastAsia="Arial" w:hAnsi="Arial"/>
          <w:b/>
          <w:bCs/>
          <w:color w:val="1B3A5C"/>
          <w:sz w:val="24"/>
          <w:szCs w:val="24"/>
        </w:rPr>
        <w:t xml:space="preserve">4.4 Lighting System</w:t>
      </w:r>
    </w:p>
    <w:p>
      <w:pPr>
        <w:spacing w:after="80" w:before="80" w:line="276"/>
        <w:jc w:val="both"/>
      </w:pPr>
      <w:r>
        <w:rPr>
          <w:rFonts w:ascii="Arial" w:cs="Arial" w:eastAsia="Arial" w:hAnsi="Arial"/>
          <w:b w:val="false"/>
          <w:bCs w:val="false"/>
          <w:sz w:val="22"/>
          <w:szCs w:val="22"/>
        </w:rPr>
        <w:t xml:space="preserve">Consistent illumination is critical for segmentation accuracy and color feature extraction. Three lighting options were evaluated: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B579A" w:color="2B579A" w:val="solid"/>
            <w:vAlign w:val="center"/>
          </w:tcPr>
          <w:p>
            <w:pPr>
              <w:spacing w:after="40" w:before="40"/>
              <w:jc w:val="center"/>
            </w:pPr>
            <w:r>
              <w:rPr>
                <w:rFonts w:ascii="Arial" w:cs="Arial" w:eastAsia="Arial" w:hAnsi="Arial"/>
                <w:b/>
                <w:bCs/>
                <w:sz w:val="20"/>
                <w:szCs w:val="20"/>
              </w:rPr>
              <w:t xml:space="preserve">Option</w:t>
            </w:r>
          </w:p>
        </w:tc>
        <w:tc>
          <w:tcPr>
            <w:tcW w:type="pct" w:w="12%"/>
            <w:shd w:fill="2B579A" w:color="2B579A" w:val="solid"/>
            <w:vAlign w:val="center"/>
          </w:tcPr>
          <w:p>
            <w:pPr>
              <w:spacing w:after="40" w:before="40"/>
              <w:jc w:val="center"/>
            </w:pPr>
            <w:r>
              <w:rPr>
                <w:rFonts w:ascii="Arial" w:cs="Arial" w:eastAsia="Arial" w:hAnsi="Arial"/>
                <w:b/>
                <w:bCs/>
                <w:sz w:val="20"/>
                <w:szCs w:val="20"/>
              </w:rPr>
              <w:t xml:space="preserve">Price</w:t>
            </w:r>
          </w:p>
        </w:tc>
        <w:tc>
          <w:tcPr>
            <w:tcW w:type="pct" w:w="16%"/>
            <w:shd w:fill="2B579A" w:color="2B579A" w:val="solid"/>
            <w:vAlign w:val="center"/>
          </w:tcPr>
          <w:p>
            <w:pPr>
              <w:spacing w:after="40" w:before="40"/>
              <w:jc w:val="center"/>
            </w:pPr>
            <w:r>
              <w:rPr>
                <w:rFonts w:ascii="Arial" w:cs="Arial" w:eastAsia="Arial" w:hAnsi="Arial"/>
                <w:b/>
                <w:bCs/>
                <w:sz w:val="20"/>
                <w:szCs w:val="20"/>
              </w:rPr>
              <w:t xml:space="preserve">Uniformity</w:t>
            </w:r>
          </w:p>
        </w:tc>
        <w:tc>
          <w:tcPr>
            <w:tcW w:type="pct" w:w="10%"/>
            <w:shd w:fill="2B579A" w:color="2B579A" w:val="solid"/>
            <w:vAlign w:val="center"/>
          </w:tcPr>
          <w:p>
            <w:pPr>
              <w:spacing w:after="40" w:before="40"/>
              <w:jc w:val="center"/>
            </w:pPr>
            <w:r>
              <w:rPr>
                <w:rFonts w:ascii="Arial" w:cs="Arial" w:eastAsia="Arial" w:hAnsi="Arial"/>
                <w:b/>
                <w:bCs/>
                <w:sz w:val="20"/>
                <w:szCs w:val="20"/>
              </w:rPr>
              <w:t xml:space="preserve">CRI</w:t>
            </w:r>
          </w:p>
        </w:tc>
        <w:tc>
          <w:tcPr>
            <w:tcW w:type="pct" w:w="42%"/>
            <w:shd w:fill="2B579A" w:color="2B579A" w:val="solid"/>
            <w:vAlign w:val="center"/>
          </w:tcPr>
          <w:p>
            <w:pPr>
              <w:spacing w:after="40" w:before="40"/>
              <w:jc w:val="center"/>
            </w:pPr>
            <w:r>
              <w:rPr>
                <w:rFonts w:ascii="Arial" w:cs="Arial" w:eastAsia="Arial" w:hAnsi="Arial"/>
                <w:b/>
                <w:bCs/>
                <w:sz w:val="20"/>
                <w:szCs w:val="20"/>
              </w:rPr>
              <w:t xml:space="preserve">Description</w:t>
            </w:r>
          </w:p>
        </w:tc>
      </w:tr>
      <w:tr>
        <w:tc>
          <w:tcPr>
            <w:tcW w:type="pct" w:w="20%"/>
            <w:vAlign w:val="center"/>
          </w:tcPr>
          <w:p>
            <w:pPr>
              <w:spacing w:after="40" w:before="40"/>
              <w:jc w:val="left"/>
            </w:pPr>
            <w:r>
              <w:rPr>
                <w:rFonts w:ascii="Arial" w:cs="Arial" w:eastAsia="Arial" w:hAnsi="Arial"/>
                <w:b w:val="false"/>
                <w:bCs w:val="false"/>
                <w:sz w:val="18"/>
                <w:szCs w:val="18"/>
              </w:rPr>
              <w:t xml:space="preserve">DIY LED + Diffuser</w:t>
            </w:r>
          </w:p>
        </w:tc>
        <w:tc>
          <w:tcPr>
            <w:tcW w:type="pct" w:w="12%"/>
            <w:vAlign w:val="center"/>
          </w:tcPr>
          <w:p>
            <w:pPr>
              <w:spacing w:after="40" w:before="40"/>
              <w:jc w:val="center"/>
            </w:pPr>
            <w:r>
              <w:rPr>
                <w:rFonts w:ascii="Arial" w:cs="Arial" w:eastAsia="Arial" w:hAnsi="Arial"/>
                <w:b w:val="false"/>
                <w:bCs w:val="false"/>
                <w:sz w:val="18"/>
                <w:szCs w:val="18"/>
              </w:rPr>
              <w:t xml:space="preserve">$55</w:t>
            </w:r>
          </w:p>
        </w:tc>
        <w:tc>
          <w:tcPr>
            <w:tcW w:type="pct" w:w="16%"/>
            <w:vAlign w:val="center"/>
          </w:tcPr>
          <w:p>
            <w:pPr>
              <w:spacing w:after="40" w:before="40"/>
              <w:jc w:val="center"/>
            </w:pPr>
            <w:r>
              <w:rPr>
                <w:rFonts w:ascii="Arial" w:cs="Arial" w:eastAsia="Arial" w:hAnsi="Arial"/>
                <w:b w:val="false"/>
                <w:bCs w:val="false"/>
                <w:sz w:val="18"/>
                <w:szCs w:val="18"/>
              </w:rPr>
              <w:t xml:space="preserve">Good (±8%)</w:t>
            </w:r>
          </w:p>
        </w:tc>
        <w:tc>
          <w:tcPr>
            <w:tcW w:type="pct" w:w="10%"/>
            <w:vAlign w:val="center"/>
          </w:tcPr>
          <w:p>
            <w:pPr>
              <w:spacing w:after="40" w:before="40"/>
              <w:jc w:val="center"/>
            </w:pPr>
            <w:r>
              <w:rPr>
                <w:rFonts w:ascii="Arial" w:cs="Arial" w:eastAsia="Arial" w:hAnsi="Arial"/>
                <w:b w:val="false"/>
                <w:bCs w:val="false"/>
                <w:sz w:val="18"/>
                <w:szCs w:val="18"/>
              </w:rPr>
              <w:t xml:space="preserve">85+</w:t>
            </w:r>
          </w:p>
        </w:tc>
        <w:tc>
          <w:tcPr>
            <w:tcW w:type="pct" w:w="42%"/>
            <w:vAlign w:val="center"/>
          </w:tcPr>
          <w:p>
            <w:pPr>
              <w:spacing w:after="40" w:before="40"/>
              <w:jc w:val="left"/>
            </w:pPr>
            <w:r>
              <w:rPr>
                <w:rFonts w:ascii="Arial" w:cs="Arial" w:eastAsia="Arial" w:hAnsi="Arial"/>
                <w:b w:val="false"/>
                <w:bCs w:val="false"/>
                <w:sz w:val="18"/>
                <w:szCs w:val="18"/>
              </w:rPr>
              <w:t xml:space="preserve">4× 10W LED bars + acrylic diffuser sheet. Recommended for Phase 1-2.</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CCS LED Bar</w:t>
            </w:r>
          </w:p>
        </w:tc>
        <w:tc>
          <w:tcPr>
            <w:tcW w:type="pct" w:w="12%"/>
            <w:shd w:fill="F2F2F2" w:color="F2F2F2" w:val="solid"/>
            <w:vAlign w:val="center"/>
          </w:tcPr>
          <w:p>
            <w:pPr>
              <w:spacing w:after="40" w:before="40"/>
              <w:jc w:val="center"/>
            </w:pPr>
            <w:r>
              <w:rPr>
                <w:rFonts w:ascii="Arial" w:cs="Arial" w:eastAsia="Arial" w:hAnsi="Arial"/>
                <w:b w:val="false"/>
                <w:bCs w:val="false"/>
                <w:sz w:val="18"/>
                <w:szCs w:val="18"/>
              </w:rPr>
              <w:t xml:space="preserve">$227</w:t>
            </w:r>
          </w:p>
        </w:tc>
        <w:tc>
          <w:tcPr>
            <w:tcW w:type="pct" w:w="16%"/>
            <w:shd w:fill="F2F2F2" w:color="F2F2F2" w:val="solid"/>
            <w:vAlign w:val="center"/>
          </w:tcPr>
          <w:p>
            <w:pPr>
              <w:spacing w:after="40" w:before="40"/>
              <w:jc w:val="center"/>
            </w:pPr>
            <w:r>
              <w:rPr>
                <w:rFonts w:ascii="Arial" w:cs="Arial" w:eastAsia="Arial" w:hAnsi="Arial"/>
                <w:b w:val="false"/>
                <w:bCs w:val="false"/>
                <w:sz w:val="18"/>
                <w:szCs w:val="18"/>
              </w:rPr>
              <w:t xml:space="preserve">Excellent (±3%)</w:t>
            </w:r>
          </w:p>
        </w:tc>
        <w:tc>
          <w:tcPr>
            <w:tcW w:type="pct" w:w="10%"/>
            <w:shd w:fill="F2F2F2" w:color="F2F2F2" w:val="solid"/>
            <w:vAlign w:val="center"/>
          </w:tcPr>
          <w:p>
            <w:pPr>
              <w:spacing w:after="40" w:before="40"/>
              <w:jc w:val="center"/>
            </w:pPr>
            <w:r>
              <w:rPr>
                <w:rFonts w:ascii="Arial" w:cs="Arial" w:eastAsia="Arial" w:hAnsi="Arial"/>
                <w:b w:val="false"/>
                <w:bCs w:val="false"/>
                <w:sz w:val="18"/>
                <w:szCs w:val="18"/>
              </w:rPr>
              <w:t xml:space="preserve">95+</w:t>
            </w:r>
          </w:p>
        </w:tc>
        <w:tc>
          <w:tcPr>
            <w:tcW w:type="pct" w:w="42%"/>
            <w:shd w:fill="F2F2F2" w:color="F2F2F2" w:val="solid"/>
            <w:vAlign w:val="center"/>
          </w:tcPr>
          <w:p>
            <w:pPr>
              <w:spacing w:after="40" w:before="40"/>
              <w:jc w:val="left"/>
            </w:pPr>
            <w:r>
              <w:rPr>
                <w:rFonts w:ascii="Arial" w:cs="Arial" w:eastAsia="Arial" w:hAnsi="Arial"/>
                <w:b w:val="false"/>
                <w:bCs w:val="false"/>
                <w:sz w:val="18"/>
                <w:szCs w:val="18"/>
              </w:rPr>
              <w:t xml:space="preserve">Industrial machine vision bar. Consider for Phase 3 production.</w:t>
            </w:r>
          </w:p>
        </w:tc>
      </w:tr>
      <w:tr>
        <w:tc>
          <w:tcPr>
            <w:tcW w:type="pct" w:w="20%"/>
            <w:vAlign w:val="center"/>
          </w:tcPr>
          <w:p>
            <w:pPr>
              <w:spacing w:after="40" w:before="40"/>
              <w:jc w:val="left"/>
            </w:pPr>
            <w:r>
              <w:rPr>
                <w:rFonts w:ascii="Arial" w:cs="Arial" w:eastAsia="Arial" w:hAnsi="Arial"/>
                <w:b w:val="false"/>
                <w:bCs w:val="false"/>
                <w:sz w:val="18"/>
                <w:szCs w:val="18"/>
              </w:rPr>
              <w:t xml:space="preserve">Dome Light</w:t>
            </w:r>
          </w:p>
        </w:tc>
        <w:tc>
          <w:tcPr>
            <w:tcW w:type="pct" w:w="12%"/>
            <w:vAlign w:val="center"/>
          </w:tcPr>
          <w:p>
            <w:pPr>
              <w:spacing w:after="40" w:before="40"/>
              <w:jc w:val="center"/>
            </w:pPr>
            <w:r>
              <w:rPr>
                <w:rFonts w:ascii="Arial" w:cs="Arial" w:eastAsia="Arial" w:hAnsi="Arial"/>
                <w:b w:val="false"/>
                <w:bCs w:val="false"/>
                <w:sz w:val="18"/>
                <w:szCs w:val="18"/>
              </w:rPr>
              <w:t xml:space="preserve">$2,459</w:t>
            </w:r>
          </w:p>
        </w:tc>
        <w:tc>
          <w:tcPr>
            <w:tcW w:type="pct" w:w="16%"/>
            <w:vAlign w:val="center"/>
          </w:tcPr>
          <w:p>
            <w:pPr>
              <w:spacing w:after="40" w:before="40"/>
              <w:jc w:val="center"/>
            </w:pPr>
            <w:r>
              <w:rPr>
                <w:rFonts w:ascii="Arial" w:cs="Arial" w:eastAsia="Arial" w:hAnsi="Arial"/>
                <w:b w:val="false"/>
                <w:bCs w:val="false"/>
                <w:sz w:val="18"/>
                <w:szCs w:val="18"/>
              </w:rPr>
              <w:t xml:space="preserve">Perfect (±1%)</w:t>
            </w:r>
          </w:p>
        </w:tc>
        <w:tc>
          <w:tcPr>
            <w:tcW w:type="pct" w:w="10%"/>
            <w:vAlign w:val="center"/>
          </w:tcPr>
          <w:p>
            <w:pPr>
              <w:spacing w:after="40" w:before="40"/>
              <w:jc w:val="center"/>
            </w:pPr>
            <w:r>
              <w:rPr>
                <w:rFonts w:ascii="Arial" w:cs="Arial" w:eastAsia="Arial" w:hAnsi="Arial"/>
                <w:b w:val="false"/>
                <w:bCs w:val="false"/>
                <w:sz w:val="18"/>
                <w:szCs w:val="18"/>
              </w:rPr>
              <w:t xml:space="preserve">95+</w:t>
            </w:r>
          </w:p>
        </w:tc>
        <w:tc>
          <w:tcPr>
            <w:tcW w:type="pct" w:w="42%"/>
            <w:vAlign w:val="center"/>
          </w:tcPr>
          <w:p>
            <w:pPr>
              <w:spacing w:after="40" w:before="40"/>
              <w:jc w:val="left"/>
            </w:pPr>
            <w:r>
              <w:rPr>
                <w:rFonts w:ascii="Arial" w:cs="Arial" w:eastAsia="Arial" w:hAnsi="Arial"/>
                <w:b w:val="false"/>
                <w:bCs w:val="false"/>
                <w:sz w:val="18"/>
                <w:szCs w:val="18"/>
              </w:rPr>
              <w:t xml:space="preserve">Diffuse dome for specular reflection elimination. Industrial-grade. Cost-prohibitive for multi-lane.</w:t>
            </w:r>
          </w:p>
        </w:tc>
      </w:tr>
    </w:tbl>
    <w:p>
      <w:pPr>
        <w:spacing w:after="200" w:before="200"/>
      </w:pPr>
    </w:p>
    <w:p>
      <w:pPr>
        <w:spacing w:after="80" w:before="80" w:line="276"/>
        <w:jc w:val="both"/>
      </w:pPr>
      <w:r>
        <w:rPr>
          <w:rFonts w:ascii="Arial" w:cs="Arial" w:eastAsia="Arial" w:hAnsi="Arial"/>
          <w:b w:val="false"/>
          <w:bCs w:val="false"/>
          <w:sz w:val="22"/>
          <w:szCs w:val="22"/>
        </w:rPr>
        <w:t xml:space="preserve">The DIY LED + diffuser solution at $55 per lane provides adequate uniformity for segmentation and color extraction in the Phase 1-2 scope. The ±8% illumination variation is within the acceptable range for the YOLOv11-seg model, which has demonstrated robustness to ±15% brightness variation in agricultural settings (Jou et al., 2024).</w:t>
      </w:r>
    </w:p>
    <w:p>
      <w:pPr>
        <w:pStyle w:val="Heading2"/>
        <w:spacing w:after="200" w:before="280"/>
      </w:pPr>
      <w:r>
        <w:rPr>
          <w:rFonts w:ascii="Arial" w:cs="Arial" w:eastAsia="Arial" w:hAnsi="Arial"/>
          <w:b/>
          <w:bCs/>
          <w:color w:val="1B3A5C"/>
          <w:sz w:val="24"/>
          <w:szCs w:val="24"/>
        </w:rPr>
        <w:t xml:space="preserve">4.5 Load Cell Ground Truth</w:t>
      </w:r>
    </w:p>
    <w:p>
      <w:pPr>
        <w:spacing w:after="80" w:before="80" w:line="276"/>
        <w:jc w:val="both"/>
      </w:pPr>
      <w:r>
        <w:rPr>
          <w:rFonts w:ascii="Arial" w:cs="Arial" w:eastAsia="Arial" w:hAnsi="Arial"/>
          <w:b w:val="false"/>
          <w:bCs w:val="false"/>
          <w:sz w:val="22"/>
          <w:szCs w:val="22"/>
        </w:rPr>
        <w:t xml:space="preserve">Three load cell options support the active learning loop and production verification:</w:t>
      </w:r>
    </w:p>
    <w:p>
      <w:pPr>
        <w:spacing w:after="80" w:before="80" w:line="276"/>
        <w:jc w:val="both"/>
      </w:pPr>
      <w:r>
        <w:rPr>
          <w:rFonts w:ascii="Arial" w:cs="Arial" w:eastAsia="Arial" w:hAnsi="Arial"/>
          <w:b/>
          <w:bCs/>
          <w:i w:val="false"/>
          <w:iCs w:val="false"/>
          <w:sz w:val="22"/>
          <w:szCs w:val="22"/>
        </w:rPr>
        <w:t xml:space="preserve">HX711 + Load Cell ($15/lane):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24-bit ADC with standard 1 kg load cell. Accuracy ±0.5 g at 80 SPS. Sufficient for ground truth collection and periodic verification. Recommended for Phase 2.</w:t>
      </w:r>
    </w:p>
    <w:p>
      <w:pPr>
        <w:spacing w:after="80" w:before="80" w:line="276"/>
        <w:jc w:val="both"/>
      </w:pPr>
      <w:r>
        <w:rPr>
          <w:rFonts w:ascii="Arial" w:cs="Arial" w:eastAsia="Arial" w:hAnsi="Arial"/>
          <w:b/>
          <w:bCs/>
          <w:i w:val="false"/>
          <w:iCs w:val="false"/>
          <w:sz w:val="22"/>
          <w:szCs w:val="22"/>
        </w:rPr>
        <w:t xml:space="preserve">Bench Scale RS-232 ($50-200):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Commercial bench scale with digital output. Accuracy ±0.1 g. Useful for calibration data collection where precision matters.</w:t>
      </w:r>
    </w:p>
    <w:p>
      <w:pPr>
        <w:spacing w:after="80" w:before="80" w:line="276"/>
        <w:jc w:val="both"/>
      </w:pPr>
      <w:r>
        <w:rPr>
          <w:rFonts w:ascii="Arial" w:cs="Arial" w:eastAsia="Arial" w:hAnsi="Arial"/>
          <w:b/>
          <w:bCs/>
          <w:i w:val="false"/>
          <w:iCs w:val="false"/>
          <w:sz w:val="22"/>
          <w:szCs w:val="22"/>
        </w:rPr>
        <w:t xml:space="preserve">Industrial Inline Scale ($3,500+):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High-speed checkweigher, 60+ items/min, ±0.5 g at speed. Only warranted if GGP requires per-fruit weight certification for premium export contracts.</w:t>
      </w:r>
    </w:p>
    <w:p>
      <w:pPr>
        <w:pStyle w:val="Heading2"/>
        <w:spacing w:after="200" w:before="280"/>
      </w:pPr>
      <w:r>
        <w:rPr>
          <w:rFonts w:ascii="Arial" w:cs="Arial" w:eastAsia="Arial" w:hAnsi="Arial"/>
          <w:b/>
          <w:bCs/>
          <w:color w:val="1B3A5C"/>
          <w:sz w:val="24"/>
          <w:szCs w:val="24"/>
        </w:rPr>
        <w:t xml:space="preserve">4.6 Multi-Lane Scaling Economics</w:t>
      </w:r>
    </w:p>
    <w:p>
      <w:pPr>
        <w:spacing w:after="80" w:before="80" w:line="276"/>
        <w:jc w:val="both"/>
      </w:pPr>
      <w:r>
        <w:rPr>
          <w:rFonts w:ascii="Arial" w:cs="Arial" w:eastAsia="Arial" w:hAnsi="Arial"/>
          <w:b w:val="false"/>
          <w:bCs w:val="false"/>
          <w:sz w:val="22"/>
          <w:szCs w:val="22"/>
        </w:rPr>
        <w:t xml:space="preserve">GGP's guava packing house operates 10 parallel conveyor lanes. Scaling the Balanced option to all 10 lanes yields a total hardware investment of $4,250 (IDR 68 million), representing approximately 2.0% of the annual revenue loss currently attributed to buyer rejections. Even the Premium option at $13,780 (IDR 220 million) represents a 6.5% investment relative to the rejection loss baseline, offering a compelling return profile even under conservative accuracy assumptions. Detailed financial analysis is presented in Section 5.</w:t>
      </w:r>
    </w:p>
    <w:p>
      <w:pPr>
        <w:spacing w:after="80" w:before="80" w:line="276"/>
        <w:jc w:val="both"/>
      </w:pPr>
      <w:r>
        <w:rPr>
          <w:rFonts w:ascii="Arial" w:cs="Arial" w:eastAsia="Arial" w:hAnsi="Arial"/>
          <w:b w:val="false"/>
          <w:bCs w:val="false"/>
          <w:sz w:val="22"/>
          <w:szCs w:val="22"/>
        </w:rPr>
        <w:t xml:space="preserve">For multi-lane deployments, the Jetson Orin Nano Super ($249) becomes cost-competitive when serving 2+ cameras per unit. A 2-cameras-per-Jetson configuration reduces per-lane compute cost to $125 and consolidates ML model management to 5 devices instead of 10. This topology should be validated during Phase 2 as a potential cost optimization for Phase 3 rollout.</w:t>
      </w:r>
    </w:p>
    <w:p>
      <w:r>
        <w:br w:type="page"/>
      </w:r>
    </w:p>
    <w:p>
      <w:pPr>
        <w:pStyle w:val="Heading1"/>
        <w:spacing w:after="200" w:before="400"/>
      </w:pPr>
      <w:r>
        <w:rPr>
          <w:rFonts w:ascii="Arial" w:cs="Arial" w:eastAsia="Arial" w:hAnsi="Arial"/>
          <w:b/>
          <w:bCs/>
          <w:color w:val="1B3A5C"/>
          <w:sz w:val="24"/>
          <w:szCs w:val="24"/>
        </w:rPr>
        <w:t xml:space="preserve">5. Cost-Benefit Analysis</w:t>
      </w:r>
    </w:p>
    <w:p>
      <w:pPr>
        <w:pStyle w:val="Heading2"/>
        <w:spacing w:after="200" w:before="280"/>
      </w:pPr>
      <w:r>
        <w:rPr>
          <w:rFonts w:ascii="Arial" w:cs="Arial" w:eastAsia="Arial" w:hAnsi="Arial"/>
          <w:b/>
          <w:bCs/>
          <w:color w:val="1B3A5C"/>
          <w:sz w:val="24"/>
          <w:szCs w:val="24"/>
        </w:rPr>
        <w:t xml:space="preserve">5.1 Current Cost Baseline</w:t>
      </w:r>
    </w:p>
    <w:p>
      <w:pPr>
        <w:spacing w:after="80" w:before="80" w:line="276"/>
        <w:jc w:val="both"/>
      </w:pPr>
      <w:r>
        <w:rPr>
          <w:rFonts w:ascii="Arial" w:cs="Arial" w:eastAsia="Arial" w:hAnsi="Arial"/>
          <w:b w:val="false"/>
          <w:bCs w:val="false"/>
          <w:sz w:val="22"/>
          <w:szCs w:val="22"/>
        </w:rPr>
        <w:t xml:space="preserve">The financial analysis begins with quantifying the current cost of manual grading. Three cost categories are included in the baseline:</w:t>
      </w:r>
    </w:p>
    <w:p>
      <w:pPr>
        <w:spacing w:after="80" w:before="80" w:line="276"/>
        <w:jc w:val="both"/>
      </w:pPr>
      <w:r>
        <w:rPr>
          <w:rFonts w:ascii="Arial" w:cs="Arial" w:eastAsia="Arial" w:hAnsi="Arial"/>
          <w:b/>
          <w:bCs/>
          <w:i w:val="false"/>
          <w:iCs w:val="false"/>
          <w:sz w:val="22"/>
          <w:szCs w:val="22"/>
        </w:rPr>
        <w:t xml:space="preserve">Labor Cost: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guava grading station employs 12 workers across 10 lanes (1 per lane + 2 floaters for breaks and quality checks) at an average fully-loaded cost of IDR 4.5 million per worker per month. Annual grading labor cost: IDR 648 million (USD 40,500).</w:t>
      </w:r>
    </w:p>
    <w:p>
      <w:pPr>
        <w:spacing w:after="80" w:before="80" w:line="276"/>
        <w:jc w:val="both"/>
      </w:pPr>
      <w:r>
        <w:rPr>
          <w:rFonts w:ascii="Arial" w:cs="Arial" w:eastAsia="Arial" w:hAnsi="Arial"/>
          <w:b/>
          <w:bCs/>
          <w:i w:val="false"/>
          <w:iCs w:val="false"/>
          <w:sz w:val="22"/>
          <w:szCs w:val="22"/>
        </w:rPr>
        <w:t xml:space="preserve">Rejection Waste: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At 15% rejection rate (midpoint of the 12-18% range) on an annual export volume of approximately 5,400 metric tons, rejected fruit represents 810 tons per year. At an average export price of IDR 2,600/kg vs. domestic salvage price of IDR 800/kg, the annual revenue loss from rejections is IDR 1.46 billion (USD 91,250).</w:t>
      </w:r>
    </w:p>
    <w:p>
      <w:pPr>
        <w:spacing w:after="80" w:before="80" w:line="276"/>
        <w:jc w:val="both"/>
      </w:pPr>
      <w:r>
        <w:rPr>
          <w:rFonts w:ascii="Arial" w:cs="Arial" w:eastAsia="Arial" w:hAnsi="Arial"/>
          <w:b/>
          <w:bCs/>
          <w:i w:val="false"/>
          <w:iCs w:val="false"/>
          <w:sz w:val="22"/>
          <w:szCs w:val="22"/>
        </w:rPr>
        <w:t xml:space="preserve">Throughput Opportunity Cost: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grading bottleneck constrains annual throughput by an estimated 8-12%. At current margins of approximately IDR 850/kg net contribution, this represents an annual opportunity cost of IDR 367-550 million (USD 23,000-34,400).</w:t>
      </w:r>
    </w:p>
    <w:p>
      <w:pPr>
        <w:spacing w:after="80" w:before="80" w:line="276"/>
        <w:jc w:val="both"/>
      </w:pPr>
      <w:r>
        <w:rPr>
          <w:rFonts w:ascii="Arial" w:cs="Arial" w:eastAsia="Arial" w:hAnsi="Arial"/>
          <w:b w:val="false"/>
          <w:bCs w:val="false"/>
          <w:sz w:val="22"/>
          <w:szCs w:val="22"/>
        </w:rPr>
        <w:t xml:space="preserve">Total annual cost of current manual grading: IDR 2.48-2.66 billion (USD 155,000-166,000). This baseline serves as the reference for evaluating the economic returns of automation.</w:t>
      </w:r>
    </w:p>
    <w:p>
      <w:pPr>
        <w:pStyle w:val="Heading2"/>
        <w:spacing w:after="200" w:before="280"/>
      </w:pPr>
      <w:r>
        <w:rPr>
          <w:rFonts w:ascii="Arial" w:cs="Arial" w:eastAsia="Arial" w:hAnsi="Arial"/>
          <w:b/>
          <w:bCs/>
          <w:color w:val="1B3A5C"/>
          <w:sz w:val="24"/>
          <w:szCs w:val="24"/>
        </w:rPr>
        <w:t xml:space="preserve">5.2 Scenario Analysis</w:t>
      </w:r>
    </w:p>
    <w:p>
      <w:pPr>
        <w:spacing w:after="80" w:before="80" w:line="276"/>
        <w:jc w:val="both"/>
      </w:pPr>
      <w:r>
        <w:rPr>
          <w:rFonts w:ascii="Arial" w:cs="Arial" w:eastAsia="Arial" w:hAnsi="Arial"/>
          <w:b w:val="false"/>
          <w:bCs w:val="false"/>
          <w:sz w:val="22"/>
          <w:szCs w:val="22"/>
        </w:rPr>
        <w:t xml:space="preserve">Three scenarios model the range of possible outcomes based on the accuracy achievable in production deployment. Table 8 presents the key financial metrics for each scenario over a 3-year evaluation horizon with a 12% discount rate (reflecting GGP's standard hurdle rate for capital investment in process automation).</w:t>
      </w:r>
    </w:p>
    <w:p>
      <w:pPr>
        <w:spacing w:after="200" w:before="200"/>
      </w:pPr>
    </w:p>
    <w:p>
      <w:pPr>
        <w:spacing w:after="80" w:before="80" w:line="276"/>
        <w:jc w:val="center"/>
      </w:pPr>
      <w:r>
        <w:rPr>
          <w:rFonts w:ascii="Arial" w:cs="Arial" w:eastAsia="Arial" w:hAnsi="Arial"/>
          <w:b/>
          <w:bCs/>
          <w:i w:val="false"/>
          <w:iCs w:val="false"/>
          <w:sz w:val="22"/>
          <w:szCs w:val="22"/>
        </w:rPr>
        <w:t xml:space="preserve">Table 8.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Scenario Analysis — Three Accuracy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30%"/>
            <w:shd w:fill="2B579A" w:color="2B579A" w:val="solid"/>
            <w:vAlign w:val="center"/>
          </w:tcPr>
          <w:p>
            <w:pPr>
              <w:spacing w:after="40" w:before="40"/>
              <w:jc w:val="center"/>
            </w:pPr>
            <w:r>
              <w:rPr>
                <w:rFonts w:ascii="Arial" w:cs="Arial" w:eastAsia="Arial" w:hAnsi="Arial"/>
                <w:b/>
                <w:bCs/>
                <w:sz w:val="18"/>
                <w:szCs w:val="18"/>
              </w:rPr>
              <w:t xml:space="preserve">Metric</w:t>
            </w:r>
          </w:p>
        </w:tc>
        <w:tc>
          <w:tcPr>
            <w:tcW w:type="pct" w:w="23%"/>
            <w:shd w:fill="2B579A" w:color="2B579A" w:val="solid"/>
            <w:vAlign w:val="center"/>
          </w:tcPr>
          <w:p>
            <w:pPr>
              <w:spacing w:after="40" w:before="40"/>
              <w:jc w:val="center"/>
            </w:pPr>
            <w:r>
              <w:rPr>
                <w:rFonts w:ascii="Arial" w:cs="Arial" w:eastAsia="Arial" w:hAnsi="Arial"/>
                <w:b/>
                <w:bCs/>
                <w:sz w:val="18"/>
                <w:szCs w:val="18"/>
              </w:rPr>
              <w:t xml:space="preserve">Pessimistic</w:t>
            </w:r>
          </w:p>
        </w:tc>
        <w:tc>
          <w:tcPr>
            <w:tcW w:type="pct" w:w="23%"/>
            <w:shd w:fill="2B579A" w:color="2B579A" w:val="solid"/>
            <w:vAlign w:val="center"/>
          </w:tcPr>
          <w:p>
            <w:pPr>
              <w:spacing w:after="40" w:before="40"/>
              <w:jc w:val="center"/>
            </w:pPr>
            <w:r>
              <w:rPr>
                <w:rFonts w:ascii="Arial" w:cs="Arial" w:eastAsia="Arial" w:hAnsi="Arial"/>
                <w:b/>
                <w:bCs/>
                <w:sz w:val="18"/>
                <w:szCs w:val="18"/>
              </w:rPr>
              <w:t xml:space="preserve">Realistic</w:t>
            </w:r>
          </w:p>
        </w:tc>
        <w:tc>
          <w:tcPr>
            <w:tcW w:type="pct" w:w="24%"/>
            <w:shd w:fill="2B579A" w:color="2B579A" w:val="solid"/>
            <w:vAlign w:val="center"/>
          </w:tcPr>
          <w:p>
            <w:pPr>
              <w:spacing w:after="40" w:before="40"/>
              <w:jc w:val="center"/>
            </w:pPr>
            <w:r>
              <w:rPr>
                <w:rFonts w:ascii="Arial" w:cs="Arial" w:eastAsia="Arial" w:hAnsi="Arial"/>
                <w:b/>
                <w:bCs/>
                <w:sz w:val="18"/>
                <w:szCs w:val="18"/>
              </w:rPr>
              <w:t xml:space="preserve">Optimistic</w:t>
            </w:r>
          </w:p>
        </w:tc>
      </w:tr>
      <w:tr>
        <w:tc>
          <w:tcPr>
            <w:tcW w:type="pct" w:w="30%"/>
            <w:shd w:fill="FFFFFF" w:color="FFFFFF" w:val="solid"/>
            <w:vAlign w:val="center"/>
          </w:tcPr>
          <w:p>
            <w:pPr>
              <w:spacing w:after="40" w:before="40"/>
              <w:jc w:val="left"/>
            </w:pPr>
            <w:r>
              <w:rPr>
                <w:rFonts w:ascii="Arial" w:cs="Arial" w:eastAsia="Arial" w:hAnsi="Arial"/>
                <w:b w:val="false"/>
                <w:bCs w:val="false"/>
                <w:sz w:val="18"/>
                <w:szCs w:val="18"/>
              </w:rPr>
              <w:t xml:space="preserve">Accuracy Achieved (MAPE)</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12%</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8%</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5%</w:t>
            </w:r>
          </w:p>
        </w:tc>
      </w:tr>
      <w:tr>
        <w:tc>
          <w:tcPr>
            <w:tcW w:type="pct" w:w="30%"/>
            <w:shd w:fill="F2F2F2" w:color="F2F2F2" w:val="solid"/>
            <w:vAlign w:val="center"/>
          </w:tcPr>
          <w:p>
            <w:pPr>
              <w:spacing w:after="40" w:before="40"/>
              <w:jc w:val="left"/>
            </w:pPr>
            <w:r>
              <w:rPr>
                <w:rFonts w:ascii="Arial" w:cs="Arial" w:eastAsia="Arial" w:hAnsi="Arial"/>
                <w:b w:val="false"/>
                <w:bCs w:val="false"/>
                <w:sz w:val="18"/>
                <w:szCs w:val="18"/>
              </w:rPr>
              <w:t xml:space="preserve">Rejection Rate Reduction</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5 pp (18%→13%)</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8 pp (18%→10%)</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12 pp (18%→6%)</w:t>
            </w:r>
          </w:p>
        </w:tc>
      </w:tr>
      <w:tr>
        <w:tc>
          <w:tcPr>
            <w:tcW w:type="pct" w:w="30%"/>
            <w:shd w:fill="FFFFFF" w:color="FFFFFF" w:val="solid"/>
            <w:vAlign w:val="center"/>
          </w:tcPr>
          <w:p>
            <w:pPr>
              <w:spacing w:after="40" w:before="40"/>
              <w:jc w:val="left"/>
            </w:pPr>
            <w:r>
              <w:rPr>
                <w:rFonts w:ascii="Arial" w:cs="Arial" w:eastAsia="Arial" w:hAnsi="Arial"/>
                <w:b w:val="false"/>
                <w:bCs w:val="false"/>
                <w:sz w:val="18"/>
                <w:szCs w:val="18"/>
              </w:rPr>
              <w:t xml:space="preserve">Annual Savings (IDR)</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Rp 875 million</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Rp 1.4 billion</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Rp 2.1 billion</w:t>
            </w:r>
          </w:p>
        </w:tc>
      </w:tr>
      <w:tr>
        <w:tc>
          <w:tcPr>
            <w:tcW w:type="pct" w:w="30%"/>
            <w:shd w:fill="F2F2F2" w:color="F2F2F2" w:val="solid"/>
            <w:vAlign w:val="center"/>
          </w:tcPr>
          <w:p>
            <w:pPr>
              <w:spacing w:after="40" w:before="40"/>
              <w:jc w:val="left"/>
            </w:pPr>
            <w:r>
              <w:rPr>
                <w:rFonts w:ascii="Arial" w:cs="Arial" w:eastAsia="Arial" w:hAnsi="Arial"/>
                <w:b w:val="false"/>
                <w:bCs w:val="false"/>
                <w:sz w:val="18"/>
                <w:szCs w:val="18"/>
              </w:rPr>
              <w:t xml:space="preserve">Annual Savings (USD)</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$54,700</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$87,500</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$131,250</w:t>
            </w:r>
          </w:p>
        </w:tc>
      </w:tr>
      <w:tr>
        <w:tc>
          <w:tcPr>
            <w:tcW w:type="pct" w:w="30%"/>
            <w:shd w:fill="FFFFFF" w:color="FFFFFF" w:val="solid"/>
            <w:vAlign w:val="center"/>
          </w:tcPr>
          <w:p>
            <w:pPr>
              <w:spacing w:after="40" w:before="40"/>
              <w:jc w:val="left"/>
            </w:pPr>
            <w:r>
              <w:rPr>
                <w:rFonts w:ascii="Arial" w:cs="Arial" w:eastAsia="Arial" w:hAnsi="Arial"/>
                <w:b w:val="false"/>
                <w:bCs w:val="false"/>
                <w:sz w:val="18"/>
                <w:szCs w:val="18"/>
              </w:rPr>
              <w:t xml:space="preserve">Implementation Cost (10 lanes)</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Rp 68 million</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Rp 68 million</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Rp 82 million</w:t>
            </w:r>
          </w:p>
        </w:tc>
      </w:tr>
      <w:tr>
        <w:tc>
          <w:tcPr>
            <w:tcW w:type="pct" w:w="30%"/>
            <w:shd w:fill="F2F2F2" w:color="F2F2F2" w:val="solid"/>
            <w:vAlign w:val="center"/>
          </w:tcPr>
          <w:p>
            <w:pPr>
              <w:spacing w:after="40" w:before="40"/>
              <w:jc w:val="left"/>
            </w:pPr>
            <w:r>
              <w:rPr>
                <w:rFonts w:ascii="Arial" w:cs="Arial" w:eastAsia="Arial" w:hAnsi="Arial"/>
                <w:b w:val="false"/>
                <w:bCs w:val="false"/>
                <w:sz w:val="18"/>
                <w:szCs w:val="18"/>
              </w:rPr>
              <w:t xml:space="preserve">Annual Maintenance</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Rp 12 million</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Rp 12 million</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Rp 18 million</w:t>
            </w:r>
          </w:p>
        </w:tc>
      </w:tr>
      <w:tr>
        <w:tc>
          <w:tcPr>
            <w:tcW w:type="pct" w:w="30%"/>
            <w:shd w:fill="FFFFFF" w:color="FFFFFF" w:val="solid"/>
            <w:vAlign w:val="center"/>
          </w:tcPr>
          <w:p>
            <w:pPr>
              <w:spacing w:after="40" w:before="40"/>
              <w:jc w:val="left"/>
            </w:pPr>
            <w:r>
              <w:rPr>
                <w:rFonts w:ascii="Arial" w:cs="Arial" w:eastAsia="Arial" w:hAnsi="Arial"/>
                <w:b w:val="false"/>
                <w:bCs w:val="false"/>
                <w:sz w:val="18"/>
                <w:szCs w:val="18"/>
              </w:rPr>
              <w:t xml:space="preserve">NPV (3-year, 12% discount)</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Rp 2.0 billion</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Rp 3.2 billion</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Rp 4.8 billion</w:t>
            </w:r>
          </w:p>
        </w:tc>
      </w:tr>
      <w:tr>
        <w:tc>
          <w:tcPr>
            <w:tcW w:type="pct" w:w="30%"/>
            <w:shd w:fill="F2F2F2" w:color="F2F2F2" w:val="solid"/>
            <w:vAlign w:val="center"/>
          </w:tcPr>
          <w:p>
            <w:pPr>
              <w:spacing w:after="40" w:before="40"/>
              <w:jc w:val="left"/>
            </w:pPr>
            <w:r>
              <w:rPr>
                <w:rFonts w:ascii="Arial" w:cs="Arial" w:eastAsia="Arial" w:hAnsi="Arial"/>
                <w:b w:val="false"/>
                <w:bCs w:val="false"/>
                <w:sz w:val="18"/>
                <w:szCs w:val="18"/>
              </w:rPr>
              <w:t xml:space="preserve">IRR</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845%</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1,268%</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1,744%</w:t>
            </w:r>
          </w:p>
        </w:tc>
      </w:tr>
      <w:tr>
        <w:tc>
          <w:tcPr>
            <w:tcW w:type="pct" w:w="30%"/>
            <w:shd w:fill="FFFFFF" w:color="FFFFFF" w:val="solid"/>
            <w:vAlign w:val="center"/>
          </w:tcPr>
          <w:p>
            <w:pPr>
              <w:spacing w:after="40" w:before="40"/>
              <w:jc w:val="left"/>
            </w:pPr>
            <w:r>
              <w:rPr>
                <w:rFonts w:ascii="Arial" w:cs="Arial" w:eastAsia="Arial" w:hAnsi="Arial"/>
                <w:b w:val="false"/>
                <w:bCs w:val="false"/>
                <w:sz w:val="18"/>
                <w:szCs w:val="18"/>
              </w:rPr>
              <w:t xml:space="preserve">Payback Period</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1.2 months</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0.8 months</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0.5 months</w:t>
            </w:r>
          </w:p>
        </w:tc>
      </w:tr>
      <w:tr>
        <w:tc>
          <w:tcPr>
            <w:tcW w:type="pct" w:w="30%"/>
            <w:shd w:fill="F2F2F2" w:color="F2F2F2" w:val="solid"/>
            <w:vAlign w:val="center"/>
          </w:tcPr>
          <w:p>
            <w:pPr>
              <w:spacing w:after="40" w:before="40"/>
              <w:jc w:val="left"/>
            </w:pPr>
            <w:r>
              <w:rPr>
                <w:rFonts w:ascii="Arial" w:cs="Arial" w:eastAsia="Arial" w:hAnsi="Arial"/>
                <w:b w:val="false"/>
                <w:bCs w:val="false"/>
                <w:sz w:val="18"/>
                <w:szCs w:val="18"/>
              </w:rPr>
              <w:t xml:space="preserve">3-Year TCO (10 lanes)</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Rp 104 million</w:t>
            </w:r>
          </w:p>
        </w:tc>
        <w:tc>
          <w:tcPr>
            <w:tcW w:type="pct" w:w="23%"/>
            <w:shd w:fill="F2F2F2" w:color="F2F2F2" w:val="solid"/>
            <w:vAlign w:val="center"/>
          </w:tcPr>
          <w:p>
            <w:pPr>
              <w:spacing w:after="40" w:before="40"/>
              <w:jc w:val="left"/>
            </w:pPr>
            <w:r>
              <w:rPr>
                <w:rFonts w:ascii="Arial" w:cs="Arial" w:eastAsia="Arial" w:hAnsi="Arial"/>
                <w:b w:val="false"/>
                <w:bCs w:val="false"/>
                <w:sz w:val="18"/>
                <w:szCs w:val="18"/>
              </w:rPr>
              <w:t xml:space="preserve">Rp 104 million</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Rp 136 million</w:t>
            </w:r>
          </w:p>
        </w:tc>
      </w:tr>
      <w:tr>
        <w:tc>
          <w:tcPr>
            <w:tcW w:type="pct" w:w="30%"/>
            <w:shd w:fill="FFFFFF" w:color="FFFFFF" w:val="solid"/>
            <w:vAlign w:val="center"/>
          </w:tcPr>
          <w:p>
            <w:pPr>
              <w:spacing w:after="40" w:before="40"/>
              <w:jc w:val="left"/>
            </w:pPr>
            <w:r>
              <w:rPr>
                <w:rFonts w:ascii="Arial" w:cs="Arial" w:eastAsia="Arial" w:hAnsi="Arial"/>
                <w:b w:val="false"/>
                <w:bCs w:val="false"/>
                <w:sz w:val="18"/>
                <w:szCs w:val="18"/>
              </w:rPr>
              <w:t xml:space="preserve">ROI (3-year)</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1,823%</w:t>
            </w:r>
          </w:p>
        </w:tc>
        <w:tc>
          <w:tcPr>
            <w:tcW w:type="pct" w:w="23%"/>
            <w:shd w:fill="FFFFFF" w:color="FFFFFF" w:val="solid"/>
            <w:vAlign w:val="center"/>
          </w:tcPr>
          <w:p>
            <w:pPr>
              <w:spacing w:after="40" w:before="40"/>
              <w:jc w:val="left"/>
            </w:pPr>
            <w:r>
              <w:rPr>
                <w:rFonts w:ascii="Arial" w:cs="Arial" w:eastAsia="Arial" w:hAnsi="Arial"/>
                <w:b w:val="false"/>
                <w:bCs w:val="false"/>
                <w:sz w:val="18"/>
                <w:szCs w:val="18"/>
              </w:rPr>
              <w:t xml:space="preserve">2,977%</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3,429%</w:t>
            </w:r>
          </w:p>
        </w:tc>
      </w:tr>
    </w:tbl>
    <w:p>
      <w:pPr>
        <w:spacing w:after="200" w:before="200"/>
      </w:pPr>
    </w:p>
    <w:p>
      <w:pPr>
        <w:spacing w:after="80" w:before="80" w:line="276"/>
        <w:jc w:val="both"/>
      </w:pPr>
      <w:r>
        <w:rPr>
          <w:rFonts w:ascii="Arial" w:cs="Arial" w:eastAsia="Arial" w:hAnsi="Arial"/>
          <w:b w:val="false"/>
          <w:bCs w:val="false"/>
          <w:sz w:val="22"/>
          <w:szCs w:val="22"/>
        </w:rPr>
        <w:t xml:space="preserve">The analysis reveals an extraordinary return profile: even under the Pessimistic scenario (12% MAPE, only 5 percentage point reduction in rejection rate), the project achieves payback in 1.2 months with an 845% IRR. This is primarily because the hardware investment (IDR 68 million for 10 lanes) is dwarfed by the annual losses from manual operation (IDR 2.48 billion). In economic terms, this is not a marginal improvement project — it is a structural inefficiency correction.</w:t>
      </w:r>
    </w:p>
    <w:p>
      <w:pPr>
        <w:pStyle w:val="Heading2"/>
        <w:spacing w:after="200" w:before="280"/>
      </w:pPr>
      <w:r>
        <w:rPr>
          <w:rFonts w:ascii="Arial" w:cs="Arial" w:eastAsia="Arial" w:hAnsi="Arial"/>
          <w:b/>
          <w:bCs/>
          <w:color w:val="1B3A5C"/>
          <w:sz w:val="24"/>
          <w:szCs w:val="24"/>
        </w:rPr>
        <w:t xml:space="preserve">5.3 Sensitivity Analysis</w:t>
      </w:r>
    </w:p>
    <w:p>
      <w:pPr>
        <w:spacing w:after="80" w:before="80" w:line="276"/>
        <w:jc w:val="both"/>
      </w:pPr>
      <w:r>
        <w:rPr>
          <w:rFonts w:ascii="Arial" w:cs="Arial" w:eastAsia="Arial" w:hAnsi="Arial"/>
          <w:b w:val="false"/>
          <w:bCs w:val="false"/>
          <w:sz w:val="22"/>
          <w:szCs w:val="22"/>
        </w:rPr>
        <w:t xml:space="preserve">Understanding which variables most significantly impact the financial outcome is critical for risk management and contingency planning. Table 9 presents a one-way sensitivity analysis on the five variables with the highest uncertainty.</w:t>
      </w:r>
    </w:p>
    <w:p>
      <w:pPr>
        <w:spacing w:after="200" w:before="200"/>
      </w:pPr>
    </w:p>
    <w:p>
      <w:pPr>
        <w:spacing w:after="80" w:before="80" w:line="276"/>
        <w:jc w:val="center"/>
      </w:pPr>
      <w:r>
        <w:rPr>
          <w:rFonts w:ascii="Arial" w:cs="Arial" w:eastAsia="Arial" w:hAnsi="Arial"/>
          <w:b/>
          <w:bCs/>
          <w:i w:val="false"/>
          <w:iCs w:val="false"/>
          <w:sz w:val="22"/>
          <w:szCs w:val="22"/>
        </w:rPr>
        <w:t xml:space="preserve">Table 9.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Sensitivity Analysis — Impact on 3-Year NPV (Base: IDR 3.2 billion)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0%"/>
            <w:shd w:fill="2B579A" w:color="2B579A" w:val="solid"/>
            <w:vAlign w:val="center"/>
          </w:tcPr>
          <w:p>
            <w:pPr>
              <w:spacing w:after="40" w:before="40"/>
              <w:jc w:val="center"/>
            </w:pPr>
            <w:r>
              <w:rPr>
                <w:rFonts w:ascii="Arial" w:cs="Arial" w:eastAsia="Arial" w:hAnsi="Arial"/>
                <w:b/>
                <w:bCs/>
                <w:sz w:val="18"/>
                <w:szCs w:val="18"/>
              </w:rPr>
              <w:t xml:space="preserve">Variable</w:t>
            </w:r>
          </w:p>
        </w:tc>
        <w:tc>
          <w:tcPr>
            <w:tcW w:type="pct" w:w="25%"/>
            <w:shd w:fill="2B579A" w:color="2B579A" w:val="solid"/>
            <w:vAlign w:val="center"/>
          </w:tcPr>
          <w:p>
            <w:pPr>
              <w:spacing w:after="40" w:before="40"/>
              <w:jc w:val="center"/>
            </w:pPr>
            <w:r>
              <w:rPr>
                <w:rFonts w:ascii="Arial" w:cs="Arial" w:eastAsia="Arial" w:hAnsi="Arial"/>
                <w:b/>
                <w:bCs/>
                <w:sz w:val="18"/>
                <w:szCs w:val="18"/>
              </w:rPr>
              <w:t xml:space="preserve">Base Case</w:t>
            </w:r>
          </w:p>
        </w:tc>
        <w:tc>
          <w:tcPr>
            <w:tcW w:type="pct" w:w="25%"/>
            <w:shd w:fill="2B579A" w:color="2B579A" w:val="solid"/>
            <w:vAlign w:val="center"/>
          </w:tcPr>
          <w:p>
            <w:pPr>
              <w:spacing w:after="40" w:before="40"/>
              <w:jc w:val="center"/>
            </w:pPr>
            <w:r>
              <w:rPr>
                <w:rFonts w:ascii="Arial" w:cs="Arial" w:eastAsia="Arial" w:hAnsi="Arial"/>
                <w:b/>
                <w:bCs/>
                <w:sz w:val="18"/>
                <w:szCs w:val="18"/>
              </w:rPr>
              <w:t xml:space="preserve">Adverse Case</w:t>
            </w:r>
          </w:p>
        </w:tc>
        <w:tc>
          <w:tcPr>
            <w:tcW w:type="pct" w:w="15%"/>
            <w:shd w:fill="2B579A" w:color="2B579A" w:val="solid"/>
            <w:vAlign w:val="center"/>
          </w:tcPr>
          <w:p>
            <w:pPr>
              <w:spacing w:after="40" w:before="40"/>
              <w:jc w:val="center"/>
            </w:pPr>
            <w:r>
              <w:rPr>
                <w:rFonts w:ascii="Arial" w:cs="Arial" w:eastAsia="Arial" w:hAnsi="Arial"/>
                <w:b/>
                <w:bCs/>
                <w:sz w:val="18"/>
                <w:szCs w:val="18"/>
              </w:rPr>
              <w:t xml:space="preserve">Δ NPV (IDR)</w:t>
            </w:r>
          </w:p>
        </w:tc>
        <w:tc>
          <w:tcPr>
            <w:tcW w:type="pct" w:w="15%"/>
            <w:shd w:fill="2B579A" w:color="2B579A" w:val="solid"/>
            <w:vAlign w:val="center"/>
          </w:tcPr>
          <w:p>
            <w:pPr>
              <w:spacing w:after="40" w:before="40"/>
              <w:jc w:val="center"/>
            </w:pPr>
            <w:r>
              <w:rPr>
                <w:rFonts w:ascii="Arial" w:cs="Arial" w:eastAsia="Arial" w:hAnsi="Arial"/>
                <w:b/>
                <w:bCs/>
                <w:sz w:val="18"/>
                <w:szCs w:val="18"/>
              </w:rPr>
              <w:t xml:space="preserve">% Impact</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MAPE (accuracy)</w:t>
            </w:r>
          </w:p>
        </w:tc>
        <w:tc>
          <w:tcPr>
            <w:tcW w:type="pct" w:w="25%"/>
            <w:shd w:fill="FFFFFF" w:color="FFFFFF" w:val="solid"/>
            <w:vAlign w:val="center"/>
          </w:tcPr>
          <w:p>
            <w:pPr>
              <w:spacing w:after="40" w:before="40"/>
              <w:jc w:val="left"/>
            </w:pPr>
            <w:r>
              <w:rPr>
                <w:rFonts w:ascii="Arial" w:cs="Arial" w:eastAsia="Arial" w:hAnsi="Arial"/>
                <w:b w:val="false"/>
                <w:bCs w:val="false"/>
                <w:sz w:val="18"/>
                <w:szCs w:val="18"/>
              </w:rPr>
              <w:t xml:space="preserve">±8%</w:t>
            </w:r>
          </w:p>
        </w:tc>
        <w:tc>
          <w:tcPr>
            <w:tcW w:type="pct" w:w="25%"/>
            <w:shd w:fill="FFFFFF" w:color="FFFFFF" w:val="solid"/>
            <w:vAlign w:val="center"/>
          </w:tcPr>
          <w:p>
            <w:pPr>
              <w:spacing w:after="40" w:before="40"/>
              <w:jc w:val="left"/>
            </w:pPr>
            <w:r>
              <w:rPr>
                <w:rFonts w:ascii="Arial" w:cs="Arial" w:eastAsia="Arial" w:hAnsi="Arial"/>
                <w:b w:val="false"/>
                <w:bCs w:val="false"/>
                <w:sz w:val="18"/>
                <w:szCs w:val="18"/>
              </w:rPr>
              <w:t xml:space="preserve">±12%</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-Rp 1.2 billion</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-37%</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Number of varieties</w:t>
            </w:r>
          </w:p>
        </w:tc>
        <w:tc>
          <w:tcPr>
            <w:tcW w:type="pct" w:w="25%"/>
            <w:shd w:fill="F2F2F2" w:color="F2F2F2" w:val="solid"/>
            <w:vAlign w:val="center"/>
          </w:tcPr>
          <w:p>
            <w:pPr>
              <w:spacing w:after="40" w:before="40"/>
              <w:jc w:val="left"/>
            </w:pPr>
            <w:r>
              <w:rPr>
                <w:rFonts w:ascii="Arial" w:cs="Arial" w:eastAsia="Arial" w:hAnsi="Arial"/>
                <w:b w:val="false"/>
                <w:bCs w:val="false"/>
                <w:sz w:val="18"/>
                <w:szCs w:val="18"/>
              </w:rPr>
              <w:t xml:space="preserve">3 varieties</w:t>
            </w:r>
          </w:p>
        </w:tc>
        <w:tc>
          <w:tcPr>
            <w:tcW w:type="pct" w:w="25%"/>
            <w:shd w:fill="F2F2F2" w:color="F2F2F2" w:val="solid"/>
            <w:vAlign w:val="center"/>
          </w:tcPr>
          <w:p>
            <w:pPr>
              <w:spacing w:after="40" w:before="40"/>
              <w:jc w:val="left"/>
            </w:pPr>
            <w:r>
              <w:rPr>
                <w:rFonts w:ascii="Arial" w:cs="Arial" w:eastAsia="Arial" w:hAnsi="Arial"/>
                <w:b w:val="false"/>
                <w:bCs w:val="false"/>
                <w:sz w:val="18"/>
                <w:szCs w:val="18"/>
              </w:rPr>
              <w:t xml:space="preserve">1 variety</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+Rp 0.5 billion</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+16%</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Hardware cost</w:t>
            </w:r>
          </w:p>
        </w:tc>
        <w:tc>
          <w:tcPr>
            <w:tcW w:type="pct" w:w="25%"/>
            <w:shd w:fill="FFFFFF" w:color="FFFFFF" w:val="solid"/>
            <w:vAlign w:val="center"/>
          </w:tcPr>
          <w:p>
            <w:pPr>
              <w:spacing w:after="40" w:before="40"/>
              <w:jc w:val="left"/>
            </w:pPr>
            <w:r>
              <w:rPr>
                <w:rFonts w:ascii="Arial" w:cs="Arial" w:eastAsia="Arial" w:hAnsi="Arial"/>
                <w:b w:val="false"/>
                <w:bCs w:val="false"/>
                <w:sz w:val="18"/>
                <w:szCs w:val="18"/>
              </w:rPr>
              <w:t xml:space="preserve">Rp 68M (10 lanes)</w:t>
            </w:r>
          </w:p>
        </w:tc>
        <w:tc>
          <w:tcPr>
            <w:tcW w:type="pct" w:w="25%"/>
            <w:shd w:fill="FFFFFF" w:color="FFFFFF" w:val="solid"/>
            <w:vAlign w:val="center"/>
          </w:tcPr>
          <w:p>
            <w:pPr>
              <w:spacing w:after="40" w:before="40"/>
              <w:jc w:val="left"/>
            </w:pPr>
            <w:r>
              <w:rPr>
                <w:rFonts w:ascii="Arial" w:cs="Arial" w:eastAsia="Arial" w:hAnsi="Arial"/>
                <w:b w:val="false"/>
                <w:bCs w:val="false"/>
                <w:sz w:val="18"/>
                <w:szCs w:val="18"/>
              </w:rPr>
              <w:t xml:space="preserve">Rp 137M (10 lanes)</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-Rp 69 million</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-2%</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Buyer acceptance rate</w:t>
            </w:r>
          </w:p>
        </w:tc>
        <w:tc>
          <w:tcPr>
            <w:tcW w:type="pct" w:w="25%"/>
            <w:shd w:fill="F2F2F2" w:color="F2F2F2" w:val="solid"/>
            <w:vAlign w:val="center"/>
          </w:tcPr>
          <w:p>
            <w:pPr>
              <w:spacing w:after="40" w:before="40"/>
              <w:jc w:val="left"/>
            </w:pPr>
            <w:r>
              <w:rPr>
                <w:rFonts w:ascii="Arial" w:cs="Arial" w:eastAsia="Arial" w:hAnsi="Arial"/>
                <w:b w:val="false"/>
                <w:bCs w:val="false"/>
                <w:sz w:val="18"/>
                <w:szCs w:val="18"/>
              </w:rPr>
              <w:t xml:space="preserve">90% of rejected fruits recovered</w:t>
            </w:r>
          </w:p>
        </w:tc>
        <w:tc>
          <w:tcPr>
            <w:tcW w:type="pct" w:w="25%"/>
            <w:shd w:fill="F2F2F2" w:color="F2F2F2" w:val="solid"/>
            <w:vAlign w:val="center"/>
          </w:tcPr>
          <w:p>
            <w:pPr>
              <w:spacing w:after="40" w:before="40"/>
              <w:jc w:val="left"/>
            </w:pPr>
            <w:r>
              <w:rPr>
                <w:rFonts w:ascii="Arial" w:cs="Arial" w:eastAsia="Arial" w:hAnsi="Arial"/>
                <w:b w:val="false"/>
                <w:bCs w:val="false"/>
                <w:sz w:val="18"/>
                <w:szCs w:val="18"/>
              </w:rPr>
              <w:t xml:space="preserve">70% recovered</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-Rp 0.6 billion</w:t>
            </w:r>
          </w:p>
        </w:tc>
        <w:tc>
          <w:tcPr>
            <w:tcW w:type="pct" w:w="15%"/>
            <w:shd w:fill="F2F2F2" w:color="F2F2F2" w:val="solid"/>
            <w:vAlign w:val="center"/>
          </w:tcPr>
          <w:p>
            <w:pPr>
              <w:spacing w:after="40" w:before="40"/>
              <w:jc w:val="left"/>
            </w:pPr>
            <w:r>
              <w:rPr>
                <w:rFonts w:ascii="Arial" w:cs="Arial" w:eastAsia="Arial" w:hAnsi="Arial"/>
                <w:b w:val="false"/>
                <w:bCs w:val="false"/>
                <w:sz w:val="18"/>
                <w:szCs w:val="18"/>
              </w:rPr>
              <w:t xml:space="preserve">-19%</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Throughput gain</w:t>
            </w:r>
          </w:p>
        </w:tc>
        <w:tc>
          <w:tcPr>
            <w:tcW w:type="pct" w:w="25%"/>
            <w:shd w:fill="FFFFFF" w:color="FFFFFF" w:val="solid"/>
            <w:vAlign w:val="center"/>
          </w:tcPr>
          <w:p>
            <w:pPr>
              <w:spacing w:after="40" w:before="40"/>
              <w:jc w:val="left"/>
            </w:pPr>
            <w:r>
              <w:rPr>
                <w:rFonts w:ascii="Arial" w:cs="Arial" w:eastAsia="Arial" w:hAnsi="Arial"/>
                <w:b w:val="false"/>
                <w:bCs w:val="false"/>
                <w:sz w:val="18"/>
                <w:szCs w:val="18"/>
              </w:rPr>
              <w:t xml:space="preserve">+15 fruits/min/lane</w:t>
            </w:r>
          </w:p>
        </w:tc>
        <w:tc>
          <w:tcPr>
            <w:tcW w:type="pct" w:w="25%"/>
            <w:shd w:fill="FFFFFF" w:color="FFFFFF" w:val="solid"/>
            <w:vAlign w:val="center"/>
          </w:tcPr>
          <w:p>
            <w:pPr>
              <w:spacing w:after="40" w:before="40"/>
              <w:jc w:val="left"/>
            </w:pPr>
            <w:r>
              <w:rPr>
                <w:rFonts w:ascii="Arial" w:cs="Arial" w:eastAsia="Arial" w:hAnsi="Arial"/>
                <w:b w:val="false"/>
                <w:bCs w:val="false"/>
                <w:sz w:val="18"/>
                <w:szCs w:val="18"/>
              </w:rPr>
              <w:t xml:space="preserve">+5 fruits/min/lane</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-Rp 0.3 billion</w:t>
            </w:r>
          </w:p>
        </w:tc>
        <w:tc>
          <w:tcPr>
            <w:tcW w:type="pct" w:w="15%"/>
            <w:shd w:fill="FFFFFF" w:color="FFFFFF" w:val="solid"/>
            <w:vAlign w:val="center"/>
          </w:tcPr>
          <w:p>
            <w:pPr>
              <w:spacing w:after="40" w:before="40"/>
              <w:jc w:val="left"/>
            </w:pPr>
            <w:r>
              <w:rPr>
                <w:rFonts w:ascii="Arial" w:cs="Arial" w:eastAsia="Arial" w:hAnsi="Arial"/>
                <w:b w:val="false"/>
                <w:bCs w:val="false"/>
                <w:sz w:val="18"/>
                <w:szCs w:val="18"/>
              </w:rPr>
              <w:t xml:space="preserve">-9%</w:t>
            </w:r>
          </w:p>
        </w:tc>
      </w:tr>
    </w:tbl>
    <w:p>
      <w:pPr>
        <w:spacing w:after="200" w:before="200"/>
      </w:pPr>
    </w:p>
    <w:p>
      <w:pPr>
        <w:spacing w:after="80" w:before="80" w:line="276"/>
        <w:jc w:val="both"/>
      </w:pPr>
      <w:r>
        <w:rPr>
          <w:rFonts w:ascii="Arial" w:cs="Arial" w:eastAsia="Arial" w:hAnsi="Arial"/>
          <w:b w:val="false"/>
          <w:bCs w:val="false"/>
          <w:sz w:val="22"/>
          <w:szCs w:val="22"/>
        </w:rPr>
        <w:t xml:space="preserve">The analysis demonstrates that accuracy (MAPE) and buyer acceptance rate are the dominant drivers of financial outcome, together accounting for over 55% of NPV variance. Hardware cost and variety count are secondary factors with less than 20% combined impact. This finding directly informs the risk mitigation strategy: the project's financial viability is robust to hardware cost overruns of up to 100%, but is sensitive to accuracy degradation beyond ±12% MAPE. Consequently, the Phase 2 accuracy gate is the single most important project control point.</w:t>
      </w:r>
    </w:p>
    <w:p>
      <w:pPr>
        <w:pStyle w:val="Heading2"/>
        <w:spacing w:after="200" w:before="280"/>
      </w:pPr>
      <w:r>
        <w:rPr>
          <w:rFonts w:ascii="Arial" w:cs="Arial" w:eastAsia="Arial" w:hAnsi="Arial"/>
          <w:b/>
          <w:bCs/>
          <w:color w:val="1B3A5C"/>
          <w:sz w:val="24"/>
          <w:szCs w:val="24"/>
        </w:rPr>
        <w:t xml:space="preserve">5.4 Non-Financial Benefits</w:t>
      </w:r>
    </w:p>
    <w:p>
      <w:pPr>
        <w:spacing w:after="80" w:before="80" w:line="276"/>
        <w:jc w:val="both"/>
      </w:pPr>
      <w:r>
        <w:rPr>
          <w:rFonts w:ascii="Arial" w:cs="Arial" w:eastAsia="Arial" w:hAnsi="Arial"/>
          <w:b w:val="false"/>
          <w:bCs w:val="false"/>
          <w:sz w:val="22"/>
          <w:szCs w:val="22"/>
        </w:rPr>
        <w:t xml:space="preserve">Beyond direct financial returns, the vision system generates strategic value through data capture:</w:t>
      </w:r>
    </w:p>
    <w:p>
      <w:pPr>
        <w:spacing w:after="80" w:before="80" w:line="276"/>
        <w:jc w:val="both"/>
      </w:pPr>
      <w:r>
        <w:rPr>
          <w:rFonts w:ascii="Arial" w:cs="Arial" w:eastAsia="Arial" w:hAnsi="Arial"/>
          <w:b/>
          <w:bCs/>
          <w:i w:val="false"/>
          <w:iCs w:val="false"/>
          <w:sz w:val="22"/>
          <w:szCs w:val="22"/>
        </w:rPr>
        <w:t xml:space="preserve">Farm-Level Analytics: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Per-fruit weight data linked to grower, harvest date, and field block enables yield forecasting, harvest timing optimization, and grower incentive alignment. Industry benchmarks from TOMRA installations indicate 3-5% yield improvement from data-driven harvest decisions (TOMRA Compac, 2024).</w:t>
      </w:r>
    </w:p>
    <w:p>
      <w:pPr>
        <w:spacing w:after="80" w:before="80" w:line="276"/>
        <w:jc w:val="both"/>
      </w:pPr>
      <w:r>
        <w:rPr>
          <w:rFonts w:ascii="Arial" w:cs="Arial" w:eastAsia="Arial" w:hAnsi="Arial"/>
          <w:b/>
          <w:bCs/>
          <w:i w:val="false"/>
          <w:iCs w:val="false"/>
          <w:sz w:val="22"/>
          <w:szCs w:val="22"/>
        </w:rPr>
        <w:t xml:space="preserve">Supply Chain Optimization: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Real-time grade distribution data enables dynamic allocation of fruit to export vs. domestic channels based on daily buyer demand, reducing cold storage dwell time by an estimated 15-20%.</w:t>
      </w:r>
    </w:p>
    <w:p>
      <w:pPr>
        <w:spacing w:after="80" w:before="80" w:line="276"/>
        <w:jc w:val="both"/>
      </w:pPr>
      <w:r>
        <w:rPr>
          <w:rFonts w:ascii="Arial" w:cs="Arial" w:eastAsia="Arial" w:hAnsi="Arial"/>
          <w:b/>
          <w:bCs/>
          <w:i w:val="false"/>
          <w:iCs w:val="false"/>
          <w:sz w:val="22"/>
          <w:szCs w:val="22"/>
        </w:rPr>
        <w:t xml:space="preserve">Buyer Confidence: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Automated grading with traceable decision logic provides buyers with documented evidence of grade compliance, expected to reduce dispute resolution costs by 60-80%.</w:t>
      </w:r>
    </w:p>
    <w:p>
      <w:pPr>
        <w:spacing w:after="80" w:before="80" w:line="276"/>
        <w:jc w:val="both"/>
      </w:pPr>
      <w:r>
        <w:rPr>
          <w:rFonts w:ascii="Arial" w:cs="Arial" w:eastAsia="Arial" w:hAnsi="Arial"/>
          <w:b/>
          <w:bCs/>
          <w:i w:val="false"/>
          <w:iCs w:val="false"/>
          <w:sz w:val="22"/>
          <w:szCs w:val="22"/>
        </w:rPr>
        <w:t xml:space="preserve">Regulatory Readiness: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As export markets increasingly mandate digital traceability (EU Deforestation Regulation, Japan Positive List System), the vision system provides the data infrastructure for compliance without incremental investment.</w:t>
      </w:r>
    </w:p>
    <w:p>
      <w:pPr>
        <w:pStyle w:val="Heading2"/>
        <w:spacing w:after="200" w:before="280"/>
      </w:pPr>
      <w:r>
        <w:rPr>
          <w:rFonts w:ascii="Arial" w:cs="Arial" w:eastAsia="Arial" w:hAnsi="Arial"/>
          <w:b/>
          <w:bCs/>
          <w:color w:val="1B3A5C"/>
          <w:sz w:val="24"/>
          <w:szCs w:val="24"/>
        </w:rPr>
        <w:t xml:space="preserve">5.5 Total Cost of Ownership</w:t>
      </w:r>
    </w:p>
    <w:p>
      <w:pPr>
        <w:spacing w:after="80" w:before="80" w:line="276"/>
        <w:jc w:val="both"/>
      </w:pPr>
      <w:r>
        <w:rPr>
          <w:rFonts w:ascii="Arial" w:cs="Arial" w:eastAsia="Arial" w:hAnsi="Arial"/>
          <w:b w:val="false"/>
          <w:bCs w:val="false"/>
          <w:sz w:val="22"/>
          <w:szCs w:val="22"/>
        </w:rPr>
        <w:t xml:space="preserve">The 3-year TCO for the Balanced configuration across 10 lanes is projected at IDR 104 million (USD 6,500), comprising: initial hardware IDR 68 million (Year 0), annual maintenance IDR 12 million (Years 1-3: cleaning, LED replacement, cable repairs), and model retraining IDR 12 million (Year 2: seasonal recalibration with new labeled data). This TCO represents 1.4% of the current annual cost of manual grading, confirming that even with conservative maintenance assumptions, the hardware investment is a rounding error relative to operational savings.</w:t>
      </w:r>
    </w:p>
    <w:p>
      <w:r>
        <w:br w:type="page"/>
      </w:r>
    </w:p>
    <w:p>
      <w:pPr>
        <w:pStyle w:val="Heading1"/>
        <w:spacing w:after="200" w:before="400"/>
      </w:pPr>
      <w:r>
        <w:rPr>
          <w:rFonts w:ascii="Arial" w:cs="Arial" w:eastAsia="Arial" w:hAnsi="Arial"/>
          <w:b/>
          <w:bCs/>
          <w:color w:val="1B3A5C"/>
          <w:sz w:val="24"/>
          <w:szCs w:val="24"/>
        </w:rPr>
        <w:t xml:space="preserve">6. Implementation Roadmap</w:t>
      </w:r>
    </w:p>
    <w:p>
      <w:pPr>
        <w:pStyle w:val="Heading2"/>
        <w:spacing w:after="200" w:before="280"/>
      </w:pPr>
      <w:r>
        <w:rPr>
          <w:rFonts w:ascii="Arial" w:cs="Arial" w:eastAsia="Arial" w:hAnsi="Arial"/>
          <w:b/>
          <w:bCs/>
          <w:color w:val="1B3A5C"/>
          <w:sz w:val="24"/>
          <w:szCs w:val="24"/>
        </w:rPr>
        <w:t xml:space="preserve">6.1 Phase 1: Data Collection &amp; 3-Band Classifier (Weeks 1-2)</w:t>
      </w:r>
    </w:p>
    <w:p>
      <w:pPr>
        <w:spacing w:after="80" w:before="80" w:line="276"/>
        <w:jc w:val="both"/>
      </w:pPr>
      <w:r>
        <w:rPr>
          <w:rFonts w:ascii="Arial" w:cs="Arial" w:eastAsia="Arial" w:hAnsi="Arial"/>
          <w:b w:val="false"/>
          <w:bCs w:val="false"/>
          <w:sz w:val="22"/>
          <w:szCs w:val="22"/>
        </w:rPr>
        <w:t xml:space="preserve">The Phase 1 objective is to deliver a working three-band (S/M/L) classifier on one production lane as a quick-win demonstration of the vision pipeline's viability. This phase deliberately limits scope to classification — not continuous weight estimation — to maximize the probability of delivering actionable value within two weeks.</w:t>
      </w:r>
    </w:p>
    <w:p>
      <w:pPr>
        <w:spacing w:after="80" w:before="80" w:line="276"/>
        <w:jc w:val="both"/>
      </w:pPr>
      <w:r>
        <w:rPr>
          <w:rFonts w:ascii="Arial" w:cs="Arial" w:eastAsia="Arial" w:hAnsi="Arial"/>
          <w:b/>
          <w:bCs/>
          <w:i w:val="false"/>
          <w:iCs w:val="false"/>
          <w:sz w:val="22"/>
          <w:szCs w:val="22"/>
        </w:rPr>
        <w:t xml:space="preserve">Deliverables: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YOLOv11-seg model fine-tuned on 500 labeled guava images spanning 3 varieties; 3-band classifier with &gt;90% accuracy (validated on holdout set); per-lane hardware prototype (RPi 5 + Hailo-8L 13T + RPi Global Shutter Camera + DIY LED + HX711); go/no-go recommendation for Phase 2.</w:t>
      </w:r>
    </w:p>
    <w:p>
      <w:pPr>
        <w:spacing w:after="80" w:before="80" w:line="276"/>
        <w:jc w:val="both"/>
      </w:pPr>
      <w:r>
        <w:rPr>
          <w:rFonts w:ascii="Arial" w:cs="Arial" w:eastAsia="Arial" w:hAnsi="Arial"/>
          <w:b/>
          <w:bCs/>
          <w:i w:val="false"/>
          <w:iCs w:val="false"/>
          <w:sz w:val="22"/>
          <w:szCs w:val="22"/>
        </w:rPr>
        <w:t xml:space="preserve">Milestones: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Day 3: data collection complete (100 fruits/variety × 3 varieties + 200 mixed); Day 5: YOLOv11-seg fine-tuning complete; Day 8: classifier validation complete; Day 10: Phase 1 report delivered.</w:t>
      </w:r>
    </w:p>
    <w:p>
      <w:pPr>
        <w:spacing w:after="80" w:before="80" w:line="276"/>
        <w:jc w:val="both"/>
      </w:pPr>
      <w:r>
        <w:rPr>
          <w:rFonts w:ascii="Arial" w:cs="Arial" w:eastAsia="Arial" w:hAnsi="Arial"/>
          <w:b/>
          <w:bCs/>
          <w:i w:val="false"/>
          <w:iCs w:val="false"/>
          <w:sz w:val="22"/>
          <w:szCs w:val="22"/>
        </w:rPr>
        <w:t xml:space="preserve">Team: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1 CV engineer (full-time), 1 GGP quality technician (part-time, for data labeling and domain guidance).</w:t>
      </w:r>
    </w:p>
    <w:p>
      <w:pPr>
        <w:spacing w:after="80" w:before="80" w:line="276"/>
        <w:jc w:val="both"/>
      </w:pPr>
      <w:r>
        <w:rPr>
          <w:rFonts w:ascii="Arial" w:cs="Arial" w:eastAsia="Arial" w:hAnsi="Arial"/>
          <w:b/>
          <w:bCs/>
          <w:i w:val="false"/>
          <w:iCs w:val="false"/>
          <w:sz w:val="22"/>
          <w:szCs w:val="22"/>
        </w:rPr>
        <w:t xml:space="preserve">Budget: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IDR 5.3 million (USD 332) — 1× Budget hardware kit + labeling costs.</w:t>
      </w:r>
    </w:p>
    <w:p>
      <w:pPr>
        <w:pStyle w:val="Heading2"/>
        <w:spacing w:after="200" w:before="280"/>
      </w:pPr>
      <w:r>
        <w:rPr>
          <w:rFonts w:ascii="Arial" w:cs="Arial" w:eastAsia="Arial" w:hAnsi="Arial"/>
          <w:b/>
          <w:bCs/>
          <w:color w:val="1B3A5C"/>
          <w:sz w:val="24"/>
          <w:szCs w:val="24"/>
        </w:rPr>
        <w:t xml:space="preserve">6.2 Phase 2: Hybrid Model Development (Weeks 3-6)</w:t>
      </w:r>
    </w:p>
    <w:p>
      <w:pPr>
        <w:spacing w:after="80" w:before="80" w:line="276"/>
        <w:jc w:val="both"/>
      </w:pPr>
      <w:r>
        <w:rPr>
          <w:rFonts w:ascii="Arial" w:cs="Arial" w:eastAsia="Arial" w:hAnsi="Arial"/>
          <w:b w:val="false"/>
          <w:bCs w:val="false"/>
          <w:sz w:val="22"/>
          <w:szCs w:val="22"/>
        </w:rPr>
        <w:t xml:space="preserve">Phase 2 builds on the Phase 1 classifier to develop the full hybrid weight estimation pipeline with the geometric model and LightGBM correction layer. This phase produces continuous weight estimates (grams) rather than discrete bands.</w:t>
      </w:r>
    </w:p>
    <w:p>
      <w:pPr>
        <w:spacing w:after="80" w:before="80" w:line="276"/>
        <w:jc w:val="both"/>
      </w:pPr>
      <w:r>
        <w:rPr>
          <w:rFonts w:ascii="Arial" w:cs="Arial" w:eastAsia="Arial" w:hAnsi="Arial"/>
          <w:b/>
          <w:bCs/>
          <w:i w:val="false"/>
          <w:iCs w:val="false"/>
          <w:sz w:val="22"/>
          <w:szCs w:val="22"/>
        </w:rPr>
        <w:t xml:space="preserve">Deliverables: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Geometric volume model with per-variety density calibration; LightGBM correction model trained on 300 weight-labeled fruits; integrated pipeline (YOLOv11-seg → geometry → LightGBM → classifier) running at &gt;30 FPS; validation report demonstrating MAPE &lt;10% on test set; updated hardware prototype with HX711 active learning loop.</w:t>
      </w:r>
    </w:p>
    <w:p>
      <w:pPr>
        <w:spacing w:after="80" w:before="80" w:line="276"/>
        <w:jc w:val="both"/>
      </w:pPr>
      <w:r>
        <w:rPr>
          <w:rFonts w:ascii="Arial" w:cs="Arial" w:eastAsia="Arial" w:hAnsi="Arial"/>
          <w:b/>
          <w:bCs/>
          <w:i w:val="false"/>
          <w:iCs w:val="false"/>
          <w:sz w:val="22"/>
          <w:szCs w:val="22"/>
        </w:rPr>
        <w:t xml:space="preserve">Milestones: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Week 3: per-variety density calibration (destructive sampling + water displacement); Week 4: geometric model validated, LightGBM training begins; Week 5: integrated pipeline running, offline validation complete; Week 6: Phase 2 report, go/no-go for Phase 3.</w:t>
      </w:r>
    </w:p>
    <w:p>
      <w:pPr>
        <w:spacing w:after="80" w:before="80" w:line="276"/>
        <w:jc w:val="both"/>
      </w:pPr>
      <w:r>
        <w:rPr>
          <w:rFonts w:ascii="Arial" w:cs="Arial" w:eastAsia="Arial" w:hAnsi="Arial"/>
          <w:b/>
          <w:bCs/>
          <w:i w:val="false"/>
          <w:iCs w:val="false"/>
          <w:sz w:val="22"/>
          <w:szCs w:val="22"/>
        </w:rPr>
        <w:t xml:space="preserve">Risks: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Primary risk is insufficient labeled data per variety. Mitigation: start data collection during Phase 1 (simultaneously with classifier data), targeting 100 labeled weights per variety by Phase 2 start.</w:t>
      </w:r>
    </w:p>
    <w:p>
      <w:pPr>
        <w:spacing w:after="80" w:before="80" w:line="276"/>
        <w:jc w:val="both"/>
      </w:pPr>
      <w:r>
        <w:rPr>
          <w:rFonts w:ascii="Arial" w:cs="Arial" w:eastAsia="Arial" w:hAnsi="Arial"/>
          <w:b/>
          <w:bCs/>
          <w:i w:val="false"/>
          <w:iCs w:val="false"/>
          <w:sz w:val="22"/>
          <w:szCs w:val="22"/>
        </w:rPr>
        <w:t xml:space="preserve">Team: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1 CV engineer (full-time), 1 GGP quality technician (50% time), 1 metrology advisor (advisory, 5 hours total).</w:t>
      </w:r>
    </w:p>
    <w:p>
      <w:pPr>
        <w:spacing w:after="80" w:before="80" w:line="276"/>
        <w:jc w:val="both"/>
      </w:pPr>
      <w:r>
        <w:rPr>
          <w:rFonts w:ascii="Arial" w:cs="Arial" w:eastAsia="Arial" w:hAnsi="Arial"/>
          <w:b/>
          <w:bCs/>
          <w:i w:val="false"/>
          <w:iCs w:val="false"/>
          <w:sz w:val="22"/>
          <w:szCs w:val="22"/>
        </w:rPr>
        <w:t xml:space="preserve">Budget: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IDR 14.2 million (USD 890) — 1× Balanced hardware kit upgrade + per-variety sampling costs + compute time.</w:t>
      </w:r>
    </w:p>
    <w:p>
      <w:pPr>
        <w:pStyle w:val="Heading2"/>
        <w:spacing w:after="200" w:before="280"/>
      </w:pPr>
      <w:r>
        <w:rPr>
          <w:rFonts w:ascii="Arial" w:cs="Arial" w:eastAsia="Arial" w:hAnsi="Arial"/>
          <w:b/>
          <w:bCs/>
          <w:color w:val="1B3A5C"/>
          <w:sz w:val="24"/>
          <w:szCs w:val="24"/>
        </w:rPr>
        <w:t xml:space="preserve">6.3 Phase 3: Production Deployment &amp; A/B Testing (Weeks 7-12)</w:t>
      </w:r>
    </w:p>
    <w:p>
      <w:pPr>
        <w:spacing w:after="80" w:before="80" w:line="276"/>
        <w:jc w:val="both"/>
      </w:pPr>
      <w:r>
        <w:rPr>
          <w:rFonts w:ascii="Arial" w:cs="Arial" w:eastAsia="Arial" w:hAnsi="Arial"/>
          <w:b w:val="false"/>
          <w:bCs w:val="false"/>
          <w:sz w:val="22"/>
          <w:szCs w:val="22"/>
        </w:rPr>
        <w:t xml:space="preserve">Phase 3 transitions from laboratory validation to production deployment, beginning with a single-lane pilot and scaling to full 10-lane rollout upon meeting accuracy gates.</w:t>
      </w:r>
    </w:p>
    <w:p>
      <w:pPr>
        <w:spacing w:after="80" w:before="80" w:line="276"/>
        <w:jc w:val="both"/>
      </w:pPr>
      <w:r>
        <w:rPr>
          <w:rFonts w:ascii="Arial" w:cs="Arial" w:eastAsia="Arial" w:hAnsi="Arial"/>
          <w:b/>
          <w:bCs/>
          <w:i w:val="false"/>
          <w:iCs w:val="false"/>
          <w:sz w:val="22"/>
          <w:szCs w:val="22"/>
        </w:rPr>
        <w:t xml:space="preserve">Week 7-8: Single-lane pilot deployment.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Install Balanced hardware on lane #5 (mid-conveyor for representative conditions). Run shadow mode for 5 days (system classifies but does not control sorting — manual operator makes final decision). Compare system decisions vs. manual decisions on 2,000+ fruits.</w:t>
      </w:r>
    </w:p>
    <w:p>
      <w:pPr>
        <w:spacing w:after="80" w:before="80" w:line="276"/>
        <w:jc w:val="both"/>
      </w:pPr>
      <w:r>
        <w:rPr>
          <w:rFonts w:ascii="Arial" w:cs="Arial" w:eastAsia="Arial" w:hAnsi="Arial"/>
          <w:b/>
          <w:bCs/>
          <w:i w:val="false"/>
          <w:iCs w:val="false"/>
          <w:sz w:val="22"/>
          <w:szCs w:val="22"/>
        </w:rPr>
        <w:t xml:space="preserve">Week 9-10: A/B testing.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Enable system-controlled sorting on lane #5. Measure rejection rate, grade distribution accuracy, and throughput vs. manual lanes (lanes #1-4, #6-10). Target: rejection rate reduction ≥5 pp and throughput increase ≥10 fruits/min with no increase in buyer complaints.</w:t>
      </w:r>
    </w:p>
    <w:p>
      <w:pPr>
        <w:spacing w:after="80" w:before="80" w:line="276"/>
        <w:jc w:val="both"/>
      </w:pPr>
      <w:r>
        <w:rPr>
          <w:rFonts w:ascii="Arial" w:cs="Arial" w:eastAsia="Arial" w:hAnsi="Arial"/>
          <w:b/>
          <w:bCs/>
          <w:i w:val="false"/>
          <w:iCs w:val="false"/>
          <w:sz w:val="22"/>
          <w:szCs w:val="22"/>
        </w:rPr>
        <w:t xml:space="preserve">Week 11-12: Full rollout.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Upon A/B test success (MAPE &lt;8%, per-variety bias &lt;±3%, max error &lt;20%), deploy to remaining 9 lanes with Balanced hardware kits. Integrate with packing PLC for automated diverter control. Deploy production dashboard showing real-time grade distribution, throughput, and system health.</w:t>
      </w:r>
    </w:p>
    <w:p>
      <w:pPr>
        <w:spacing w:after="80" w:before="80" w:line="276"/>
        <w:jc w:val="both"/>
      </w:pPr>
      <w:r>
        <w:rPr>
          <w:rFonts w:ascii="Arial" w:cs="Arial" w:eastAsia="Arial" w:hAnsi="Arial"/>
          <w:b/>
          <w:bCs/>
          <w:i w:val="false"/>
          <w:iCs w:val="false"/>
          <w:sz w:val="22"/>
          <w:szCs w:val="22"/>
        </w:rPr>
        <w:t xml:space="preserve">Success Criteria: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3-band classification accuracy &gt;92% (Phase 1 gate); weight estimation MAPE &lt;8% on production data (Phase 2 gate); rejection rate reduction ≥5 pp sustained over 30-day A/B test (Phase 3 gate).</w:t>
      </w:r>
    </w:p>
    <w:p>
      <w:pPr>
        <w:pStyle w:val="Heading2"/>
        <w:spacing w:after="200" w:before="280"/>
      </w:pPr>
      <w:r>
        <w:rPr>
          <w:rFonts w:ascii="Arial" w:cs="Arial" w:eastAsia="Arial" w:hAnsi="Arial"/>
          <w:b/>
          <w:bCs/>
          <w:color w:val="1B3A5C"/>
          <w:sz w:val="24"/>
          <w:szCs w:val="24"/>
        </w:rPr>
        <w:t xml:space="preserve">6.4 Project Timeline</w:t>
      </w:r>
    </w:p>
    <w:p>
      <w:pPr>
        <w:spacing w:after="80" w:before="80" w:line="276"/>
        <w:jc w:val="center"/>
      </w:pPr>
      <w:r>
        <w:rPr>
          <w:rFonts w:ascii="Arial" w:cs="Arial" w:eastAsia="Arial" w:hAnsi="Arial"/>
          <w:b/>
          <w:bCs/>
          <w:i w:val="false"/>
          <w:iCs w:val="false"/>
          <w:sz w:val="22"/>
          <w:szCs w:val="22"/>
        </w:rPr>
        <w:t xml:space="preserve">Table 10.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Implementation Gantt Chart — 12-Week Deployment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pct" w:w="14%"/>
            <w:shd w:fill="2B579A" w:color="2B579A" w:val="solid"/>
            <w:vAlign w:val="center"/>
          </w:tcPr>
          <w:p>
            <w:pPr>
              <w:spacing w:after="40" w:before="40"/>
              <w:jc w:val="center"/>
            </w:pPr>
            <w:r>
              <w:rPr>
                <w:rFonts w:ascii="Arial" w:cs="Arial" w:eastAsia="Arial" w:hAnsi="Arial"/>
                <w:b/>
                <w:bCs/>
                <w:sz w:val="18"/>
                <w:szCs w:val="18"/>
              </w:rPr>
              <w:t xml:space="preserve">Phase</w:t>
            </w:r>
          </w:p>
        </w:tc>
        <w:tc>
          <w:tcPr>
            <w:tcW w:type="pct" w:w="28%"/>
            <w:shd w:fill="2B579A" w:color="2B579A" w:val="solid"/>
            <w:vAlign w:val="center"/>
          </w:tcPr>
          <w:p>
            <w:pPr>
              <w:spacing w:after="40" w:before="40"/>
              <w:jc w:val="center"/>
            </w:pPr>
            <w:r>
              <w:rPr>
                <w:rFonts w:ascii="Arial" w:cs="Arial" w:eastAsia="Arial" w:hAnsi="Arial"/>
                <w:b/>
                <w:bCs/>
                <w:sz w:val="18"/>
                <w:szCs w:val="18"/>
              </w:rPr>
              <w:t xml:space="preserve">Activity</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Weeks 1-2</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Weeks 3-4</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Weeks 5-6</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Weeks 7-8</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Weeks 9-10</w:t>
            </w:r>
          </w:p>
        </w:tc>
        <w:tc>
          <w:tcPr>
            <w:tcW w:type="pct" w:w="10%"/>
            <w:shd w:fill="2B579A" w:color="2B579A" w:val="solid"/>
            <w:vAlign w:val="center"/>
          </w:tcPr>
          <w:p>
            <w:pPr>
              <w:spacing w:after="40" w:before="40"/>
              <w:jc w:val="center"/>
            </w:pPr>
            <w:r>
              <w:rPr>
                <w:rFonts w:ascii="Arial" w:cs="Arial" w:eastAsia="Arial" w:hAnsi="Arial"/>
                <w:b/>
                <w:bCs/>
                <w:sz w:val="18"/>
                <w:szCs w:val="18"/>
              </w:rPr>
              <w:t xml:space="preserve">Weeks 11-12</w:t>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1: Classifier</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Data collection (500 fruits, 3 varieties)</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1: Classifier</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YOLOv11-seg fine-tuning + 3-band classifier</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1: Classifier</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Benchmark &amp; report: go/no-go for Phase 2</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2: Hybrid</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Per-variety density calibration (n=50/variety)</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2: Hybrid</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Geometric model implementation</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2: Hybrid</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LightGBM training + validation (n=300)</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2: Hybrid</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HX711 load cell integration</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2: Hybrid</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System integration testing</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3: Deploy</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Pilot lane deployment (single lane)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3: Deploy</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A/B testing: vision vs. manual (30 days)</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3: Deploy</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Accuracy audit &amp; statistical validation</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r>
      <w:tr>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3: Deploy</w:t>
            </w:r>
          </w:p>
        </w:tc>
        <w:tc>
          <w:tcPr>
            <w:tcW w:type="pct" w:w="28%"/>
            <w:shd w:fill="F2F2F2" w:color="F2F2F2" w:val="solid"/>
            <w:vAlign w:val="center"/>
          </w:tcPr>
          <w:p>
            <w:pPr>
              <w:spacing w:after="40" w:before="40"/>
              <w:jc w:val="left"/>
            </w:pPr>
            <w:r>
              <w:rPr>
                <w:rFonts w:ascii="Arial" w:cs="Arial" w:eastAsia="Arial" w:hAnsi="Arial"/>
                <w:b w:val="false"/>
                <w:bCs w:val="false"/>
                <w:sz w:val="18"/>
                <w:szCs w:val="18"/>
              </w:rPr>
              <w:t xml:space="preserve">Multi-lane rollout (remaining 9 lanes)</w:t>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2F2F2" w:color="F2F2F2" w:val="solid"/>
            <w:vAlign w:val="center"/>
          </w:tcPr>
          <w:p>
            <w:pPr>
              <w:spacing w:after="40" w:before="40"/>
              <w:jc w:val="left"/>
            </w:pPr>
            <w:r>
              <w:rPr>
                <w:rFonts w:ascii="Arial" w:cs="Arial" w:eastAsia="Arial" w:hAnsi="Arial"/>
                <w:b w:val="false"/>
                <w:bCs w:val="false"/>
                <w:sz w:val="18"/>
                <w:szCs w:val="18"/>
              </w:rPr>
              <w:t xml:space="preserve">████████</w:t>
            </w:r>
          </w:p>
        </w:tc>
      </w:tr>
      <w:tr>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3: Deploy</w:t>
            </w:r>
          </w:p>
        </w:tc>
        <w:tc>
          <w:tcPr>
            <w:tcW w:type="pct" w:w="28%"/>
            <w:shd w:fill="FFFFFF" w:color="FFFFFF" w:val="solid"/>
            <w:vAlign w:val="center"/>
          </w:tcPr>
          <w:p>
            <w:pPr>
              <w:spacing w:after="40" w:before="40"/>
              <w:jc w:val="left"/>
            </w:pPr>
            <w:r>
              <w:rPr>
                <w:rFonts w:ascii="Arial" w:cs="Arial" w:eastAsia="Arial" w:hAnsi="Arial"/>
                <w:b w:val="false"/>
                <w:bCs w:val="false"/>
                <w:sz w:val="18"/>
                <w:szCs w:val="18"/>
              </w:rPr>
              <w:t xml:space="preserve">Dashboard + PLC integration</w:t>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
            </w:r>
          </w:p>
        </w:tc>
        <w:tc>
          <w:tcPr>
            <w:tcW w:type="pct" w:w="10%"/>
            <w:shd w:fill="FFFFFF" w:color="FFFFFF" w:val="solid"/>
            <w:vAlign w:val="center"/>
          </w:tcPr>
          <w:p>
            <w:pPr>
              <w:spacing w:after="40" w:before="40"/>
              <w:jc w:val="left"/>
            </w:pPr>
            <w:r>
              <w:rPr>
                <w:rFonts w:ascii="Arial" w:cs="Arial" w:eastAsia="Arial" w:hAnsi="Arial"/>
                <w:b w:val="false"/>
                <w:bCs w:val="false"/>
                <w:sz w:val="18"/>
                <w:szCs w:val="18"/>
              </w:rPr>
              <w:t xml:space="preserve">████████</w:t>
            </w:r>
          </w:p>
        </w:tc>
      </w:tr>
    </w:tbl>
    <w:p>
      <w:pPr>
        <w:spacing w:after="200" w:before="200"/>
      </w:pPr>
    </w:p>
    <w:p>
      <w:pPr>
        <w:pStyle w:val="Heading2"/>
        <w:spacing w:after="200" w:before="280"/>
      </w:pPr>
      <w:r>
        <w:rPr>
          <w:rFonts w:ascii="Arial" w:cs="Arial" w:eastAsia="Arial" w:hAnsi="Arial"/>
          <w:b/>
          <w:bCs/>
          <w:color w:val="1B3A5C"/>
          <w:sz w:val="24"/>
          <w:szCs w:val="24"/>
        </w:rPr>
        <w:t xml:space="preserve">6.5 Resource Allocation</w:t>
      </w:r>
    </w:p>
    <w:p>
      <w:pPr>
        <w:spacing w:after="80" w:before="80" w:line="276"/>
        <w:jc w:val="both"/>
      </w:pPr>
      <w:r>
        <w:rPr>
          <w:rFonts w:ascii="Arial" w:cs="Arial" w:eastAsia="Arial" w:hAnsi="Arial"/>
          <w:b w:val="false"/>
          <w:bCs w:val="false"/>
          <w:sz w:val="22"/>
          <w:szCs w:val="22"/>
        </w:rPr>
        <w:t xml:space="preserve">Total project effort across all three phases is estimated at 380 person-hours, distributed as: CV Engineer — 280 hours (74%), GGP Quality Technician — 80 hours (21%), Metrology Advisor — 10 hours (3%), Ops Manager Advisor — 10 hours (3%). The front-loaded nature of the effort (65% of hours in Phases 1-2) reflects the development-heavy early stages, tapering to monitoring and integration in Phase 3. The total project budget of IDR 87.5 million (USD 5,470) — inclusive of hardware, personnel time, and consumables — amortizes to IDR 8.75 million (USD 547) per lane, or approximately 3.5% of the annual cost savings projected under the Realistic scenario.</w:t>
      </w:r>
    </w:p>
    <w:p>
      <w:r>
        <w:br w:type="page"/>
      </w:r>
    </w:p>
    <w:p>
      <w:pPr>
        <w:pStyle w:val="Heading1"/>
        <w:spacing w:after="200" w:before="400"/>
      </w:pPr>
      <w:r>
        <w:rPr>
          <w:rFonts w:ascii="Arial" w:cs="Arial" w:eastAsia="Arial" w:hAnsi="Arial"/>
          <w:b/>
          <w:bCs/>
          <w:color w:val="1B3A5C"/>
          <w:sz w:val="24"/>
          <w:szCs w:val="24"/>
        </w:rPr>
        <w:t xml:space="preserve">7. Risk Register</w:t>
      </w:r>
    </w:p>
    <w:p>
      <w:pPr>
        <w:spacing w:after="80" w:before="80" w:line="276"/>
        <w:jc w:val="both"/>
      </w:pPr>
      <w:r>
        <w:rPr>
          <w:rFonts w:ascii="Arial" w:cs="Arial" w:eastAsia="Arial" w:hAnsi="Arial"/>
          <w:b w:val="false"/>
          <w:bCs w:val="false"/>
          <w:sz w:val="22"/>
          <w:szCs w:val="22"/>
        </w:rPr>
        <w:t xml:space="preserve">A comprehensive risk assessment was conducted across six categories: Technical, Procurement, Operational, Environmental, Human, and Commercial. Each risk is scored on a 5-point scale for Probability (P) and Impact (I), with Risk Score = P × I. Risks scoring ≥12 (High) require active mitigation with defined triggers and owners. Risks scoring 6-9 (Medium) are monitored with contingency plans. No risks scored ≥20 (Critical).</w:t>
      </w:r>
    </w:p>
    <w:p>
      <w:pPr>
        <w:spacing w:after="200" w:before="200"/>
      </w:pPr>
    </w:p>
    <w:p>
      <w:pPr>
        <w:spacing w:after="80" w:before="80" w:line="276"/>
        <w:jc w:val="center"/>
      </w:pPr>
      <w:r>
        <w:rPr>
          <w:rFonts w:ascii="Arial" w:cs="Arial" w:eastAsia="Arial" w:hAnsi="Arial"/>
          <w:b/>
          <w:bCs/>
          <w:i w:val="false"/>
          <w:iCs w:val="false"/>
          <w:sz w:val="22"/>
          <w:szCs w:val="22"/>
        </w:rPr>
        <w:t xml:space="preserve">Table 11.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Risk Register — All Identified Risks with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tcPr>
            <w:tcW w:type="pct" w:w="4%"/>
            <w:shd w:fill="2B579A" w:color="2B579A" w:val="solid"/>
            <w:vAlign w:val="center"/>
          </w:tcPr>
          <w:p>
            <w:pPr>
              <w:spacing w:after="40" w:before="40"/>
              <w:jc w:val="center"/>
            </w:pPr>
            <w:r>
              <w:rPr>
                <w:rFonts w:ascii="Arial" w:cs="Arial" w:eastAsia="Arial" w:hAnsi="Arial"/>
                <w:b/>
                <w:bCs/>
                <w:sz w:val="18"/>
                <w:szCs w:val="18"/>
              </w:rPr>
              <w:t xml:space="preserve">ID</w:t>
            </w:r>
          </w:p>
        </w:tc>
        <w:tc>
          <w:tcPr>
            <w:tcW w:type="pct" w:w="38%"/>
            <w:shd w:fill="2B579A" w:color="2B579A" w:val="solid"/>
            <w:vAlign w:val="center"/>
          </w:tcPr>
          <w:p>
            <w:pPr>
              <w:spacing w:after="40" w:before="40"/>
              <w:jc w:val="center"/>
            </w:pPr>
            <w:r>
              <w:rPr>
                <w:rFonts w:ascii="Arial" w:cs="Arial" w:eastAsia="Arial" w:hAnsi="Arial"/>
                <w:b/>
                <w:bCs/>
                <w:sz w:val="18"/>
                <w:szCs w:val="18"/>
              </w:rPr>
              <w:t xml:space="preserve">Risk Description</w:t>
            </w:r>
          </w:p>
        </w:tc>
        <w:tc>
          <w:tcPr>
            <w:tcW w:type="pct" w:w="9%"/>
            <w:shd w:fill="2B579A" w:color="2B579A" w:val="solid"/>
            <w:vAlign w:val="center"/>
          </w:tcPr>
          <w:p>
            <w:pPr>
              <w:spacing w:after="40" w:before="40"/>
              <w:jc w:val="center"/>
            </w:pPr>
            <w:r>
              <w:rPr>
                <w:rFonts w:ascii="Arial" w:cs="Arial" w:eastAsia="Arial" w:hAnsi="Arial"/>
                <w:b/>
                <w:bCs/>
                <w:sz w:val="18"/>
                <w:szCs w:val="18"/>
              </w:rPr>
              <w:t xml:space="preserve">Category</w:t>
            </w:r>
          </w:p>
        </w:tc>
        <w:tc>
          <w:tcPr>
            <w:tcW w:type="pct" w:w="3%"/>
            <w:shd w:fill="2B579A" w:color="2B579A" w:val="solid"/>
            <w:vAlign w:val="center"/>
          </w:tcPr>
          <w:p>
            <w:pPr>
              <w:spacing w:after="40" w:before="40"/>
              <w:jc w:val="center"/>
            </w:pPr>
            <w:r>
              <w:rPr>
                <w:rFonts w:ascii="Arial" w:cs="Arial" w:eastAsia="Arial" w:hAnsi="Arial"/>
                <w:b/>
                <w:bCs/>
                <w:sz w:val="18"/>
                <w:szCs w:val="18"/>
              </w:rPr>
              <w:t xml:space="preserve">P</w:t>
            </w:r>
          </w:p>
        </w:tc>
        <w:tc>
          <w:tcPr>
            <w:tcW w:type="pct" w:w="3%"/>
            <w:shd w:fill="2B579A" w:color="2B579A" w:val="solid"/>
            <w:vAlign w:val="center"/>
          </w:tcPr>
          <w:p>
            <w:pPr>
              <w:spacing w:after="40" w:before="40"/>
              <w:jc w:val="center"/>
            </w:pPr>
            <w:r>
              <w:rPr>
                <w:rFonts w:ascii="Arial" w:cs="Arial" w:eastAsia="Arial" w:hAnsi="Arial"/>
                <w:b/>
                <w:bCs/>
                <w:sz w:val="18"/>
                <w:szCs w:val="18"/>
              </w:rPr>
              <w:t xml:space="preserve">I</w:t>
            </w:r>
          </w:p>
        </w:tc>
        <w:tc>
          <w:tcPr>
            <w:tcW w:type="pct" w:w="4%"/>
            <w:shd w:fill="2B579A" w:color="2B579A" w:val="solid"/>
            <w:vAlign w:val="center"/>
          </w:tcPr>
          <w:p>
            <w:pPr>
              <w:spacing w:after="40" w:before="40"/>
              <w:jc w:val="center"/>
            </w:pPr>
            <w:r>
              <w:rPr>
                <w:rFonts w:ascii="Arial" w:cs="Arial" w:eastAsia="Arial" w:hAnsi="Arial"/>
                <w:b/>
                <w:bCs/>
                <w:sz w:val="18"/>
                <w:szCs w:val="18"/>
              </w:rPr>
              <w:t xml:space="preserve">Score</w:t>
            </w:r>
          </w:p>
        </w:tc>
        <w:tc>
          <w:tcPr>
            <w:tcW w:type="pct" w:w="24%"/>
            <w:shd w:fill="2B579A" w:color="2B579A" w:val="solid"/>
            <w:vAlign w:val="center"/>
          </w:tcPr>
          <w:p>
            <w:pPr>
              <w:spacing w:after="40" w:before="40"/>
              <w:jc w:val="center"/>
            </w:pPr>
            <w:r>
              <w:rPr>
                <w:rFonts w:ascii="Arial" w:cs="Arial" w:eastAsia="Arial" w:hAnsi="Arial"/>
                <w:b/>
                <w:bCs/>
                <w:sz w:val="18"/>
                <w:szCs w:val="18"/>
              </w:rPr>
              <w:t xml:space="preserve">Mitigation</w:t>
            </w:r>
          </w:p>
        </w:tc>
        <w:tc>
          <w:tcPr>
            <w:tcW w:type="pct" w:w="8%"/>
            <w:shd w:fill="2B579A" w:color="2B579A" w:val="solid"/>
            <w:vAlign w:val="center"/>
          </w:tcPr>
          <w:p>
            <w:pPr>
              <w:spacing w:after="40" w:before="40"/>
              <w:jc w:val="center"/>
            </w:pPr>
            <w:r>
              <w:rPr>
                <w:rFonts w:ascii="Arial" w:cs="Arial" w:eastAsia="Arial" w:hAnsi="Arial"/>
                <w:b/>
                <w:bCs/>
                <w:sz w:val="18"/>
                <w:szCs w:val="18"/>
              </w:rPr>
              <w:t xml:space="preserve">Owner</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Trigger</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R01</w:t>
            </w:r>
          </w:p>
        </w:tc>
        <w:tc>
          <w:tcPr>
            <w:tcW w:type="pct" w:w="38%"/>
            <w:shd w:fill="FFFFFF" w:color="FFFFFF" w:val="solid"/>
            <w:vAlign w:val="center"/>
          </w:tcPr>
          <w:p>
            <w:pPr>
              <w:spacing w:after="40" w:before="40"/>
              <w:jc w:val="left"/>
            </w:pPr>
            <w:r>
              <w:rPr>
                <w:rFonts w:ascii="Arial" w:cs="Arial" w:eastAsia="Arial" w:hAnsi="Arial"/>
                <w:b w:val="false"/>
                <w:bCs w:val="false"/>
                <w:sz w:val="18"/>
                <w:szCs w:val="18"/>
              </w:rPr>
              <w:t xml:space="preserve">Model accuracy degrades on new harvest season (appearance shift)</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Technical</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4</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4</w:t>
            </w:r>
          </w:p>
        </w:tc>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16</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Active learning loop; seasonal recalibration protocol (50-100 new samples)</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CV Engineer</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MAPE &gt;10% for 3 consecutive days</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R02</w:t>
            </w:r>
          </w:p>
        </w:tc>
        <w:tc>
          <w:tcPr>
            <w:tcW w:type="pct" w:w="38%"/>
            <w:shd w:fill="F2F2F2" w:color="F2F2F2" w:val="solid"/>
            <w:vAlign w:val="center"/>
          </w:tcPr>
          <w:p>
            <w:pPr>
              <w:spacing w:after="40" w:before="40"/>
              <w:jc w:val="left"/>
            </w:pPr>
            <w:r>
              <w:rPr>
                <w:rFonts w:ascii="Arial" w:cs="Arial" w:eastAsia="Arial" w:hAnsi="Arial"/>
                <w:b w:val="false"/>
                <w:bCs w:val="false"/>
                <w:sz w:val="18"/>
                <w:szCs w:val="18"/>
              </w:rPr>
              <w:t xml:space="preserve">Hailo-8 supply chain disruption (Indonesia availability)</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Procurement</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3</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4</w:t>
            </w:r>
          </w:p>
        </w:tc>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12</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Pre-purchase 2 spare units; Jetson Orin Nano as fallback platform</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Procurement</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Lead time &gt;4 weeks</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R03</w:t>
            </w:r>
          </w:p>
        </w:tc>
        <w:tc>
          <w:tcPr>
            <w:tcW w:type="pct" w:w="38%"/>
            <w:shd w:fill="FFFFFF" w:color="FFFFFF" w:val="solid"/>
            <w:vAlign w:val="center"/>
          </w:tcPr>
          <w:p>
            <w:pPr>
              <w:spacing w:after="40" w:before="40"/>
              <w:jc w:val="left"/>
            </w:pPr>
            <w:r>
              <w:rPr>
                <w:rFonts w:ascii="Arial" w:cs="Arial" w:eastAsia="Arial" w:hAnsi="Arial"/>
                <w:b w:val="false"/>
                <w:bCs w:val="false"/>
                <w:sz w:val="18"/>
                <w:szCs w:val="18"/>
              </w:rPr>
              <w:t xml:space="preserve">Per-variety density variation exceeds ±15% (breaks geometric model)</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Technical</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3</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4</w:t>
            </w:r>
          </w:p>
        </w:tc>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12</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Expand calibration to 100 fruits/variety; implement per-batch density lookup</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CV Engineer</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Per-variety MAPE &gt;12% during calibration</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R04</w:t>
            </w:r>
          </w:p>
        </w:tc>
        <w:tc>
          <w:tcPr>
            <w:tcW w:type="pct" w:w="38%"/>
            <w:shd w:fill="F2F2F2" w:color="F2F2F2" w:val="solid"/>
            <w:vAlign w:val="center"/>
          </w:tcPr>
          <w:p>
            <w:pPr>
              <w:spacing w:after="40" w:before="40"/>
              <w:jc w:val="left"/>
            </w:pPr>
            <w:r>
              <w:rPr>
                <w:rFonts w:ascii="Arial" w:cs="Arial" w:eastAsia="Arial" w:hAnsi="Arial"/>
                <w:b w:val="false"/>
                <w:bCs w:val="false"/>
                <w:sz w:val="18"/>
                <w:szCs w:val="18"/>
              </w:rPr>
              <w:t xml:space="preserve">Conveyor vibration causes camera misalignment</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Operational</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4</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3</w:t>
            </w:r>
          </w:p>
        </w:tc>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12</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Rigid mounting bracket; daily fiducial target auto-check; alert on drift &gt;2px</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Ops Engineer</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Fiducial position shift &gt;5px</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R05</w:t>
            </w:r>
          </w:p>
        </w:tc>
        <w:tc>
          <w:tcPr>
            <w:tcW w:type="pct" w:w="38%"/>
            <w:shd w:fill="FFFFFF" w:color="FFFFFF" w:val="solid"/>
            <w:vAlign w:val="center"/>
          </w:tcPr>
          <w:p>
            <w:pPr>
              <w:spacing w:after="40" w:before="40"/>
              <w:jc w:val="left"/>
            </w:pPr>
            <w:r>
              <w:rPr>
                <w:rFonts w:ascii="Arial" w:cs="Arial" w:eastAsia="Arial" w:hAnsi="Arial"/>
                <w:b w:val="false"/>
                <w:bCs w:val="false"/>
                <w:sz w:val="18"/>
                <w:szCs w:val="18"/>
              </w:rPr>
              <w:t xml:space="preserve">Lighting variation between day/night shifts &gt;15% (breaks segmentation)</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Environmental</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3</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6</w:t>
            </w:r>
          </w:p>
        </w:tc>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18</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Enclosed imaging tunnel with controlled LED; auto-exposure compensation</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CV Engineer</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Mean pixel intensity shift &gt;10%</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R06</w:t>
            </w:r>
          </w:p>
        </w:tc>
        <w:tc>
          <w:tcPr>
            <w:tcW w:type="pct" w:w="38%"/>
            <w:shd w:fill="F2F2F2" w:color="F2F2F2" w:val="solid"/>
            <w:vAlign w:val="center"/>
          </w:tcPr>
          <w:p>
            <w:pPr>
              <w:spacing w:after="40" w:before="40"/>
              <w:jc w:val="left"/>
            </w:pPr>
            <w:r>
              <w:rPr>
                <w:rFonts w:ascii="Arial" w:cs="Arial" w:eastAsia="Arial" w:hAnsi="Arial"/>
                <w:b w:val="false"/>
                <w:bCs w:val="false"/>
                <w:sz w:val="18"/>
                <w:szCs w:val="18"/>
              </w:rPr>
              <w:t xml:space="preserve">Worker resistance to automation (perceived job threat)</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Human</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3</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3</w:t>
            </w:r>
          </w:p>
        </w:tc>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9</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Worker re-assignment to QA/QC data review roles; transparent communication from Day 1</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Plant Manager</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Informal complaints or slowdowns</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R07</w:t>
            </w:r>
          </w:p>
        </w:tc>
        <w:tc>
          <w:tcPr>
            <w:tcW w:type="pct" w:w="38%"/>
            <w:shd w:fill="FFFFFF" w:color="FFFFFF" w:val="solid"/>
            <w:vAlign w:val="center"/>
          </w:tcPr>
          <w:p>
            <w:pPr>
              <w:spacing w:after="40" w:before="40"/>
              <w:jc w:val="left"/>
            </w:pPr>
            <w:r>
              <w:rPr>
                <w:rFonts w:ascii="Arial" w:cs="Arial" w:eastAsia="Arial" w:hAnsi="Arial"/>
                <w:b w:val="false"/>
                <w:bCs w:val="false"/>
                <w:sz w:val="18"/>
                <w:szCs w:val="18"/>
              </w:rPr>
              <w:t xml:space="preserve">Network latency causes PLC communication timeout</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Integration</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2</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4</w:t>
            </w:r>
          </w:p>
        </w:tc>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8</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Local edge inference (no cloud dependency); RS-485 hardwired fallback to PLC</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Controls Eng.</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PLC comms timeout &gt;500ms</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R08</w:t>
            </w:r>
          </w:p>
        </w:tc>
        <w:tc>
          <w:tcPr>
            <w:tcW w:type="pct" w:w="38%"/>
            <w:shd w:fill="F2F2F2" w:color="F2F2F2" w:val="solid"/>
            <w:vAlign w:val="center"/>
          </w:tcPr>
          <w:p>
            <w:pPr>
              <w:spacing w:after="40" w:before="40"/>
              <w:jc w:val="left"/>
            </w:pPr>
            <w:r>
              <w:rPr>
                <w:rFonts w:ascii="Arial" w:cs="Arial" w:eastAsia="Arial" w:hAnsi="Arial"/>
                <w:b w:val="false"/>
                <w:bCs w:val="false"/>
                <w:sz w:val="18"/>
                <w:szCs w:val="18"/>
              </w:rPr>
              <w:t xml:space="preserve">Load cell calibration drift over time (&gt;±2g after 30 days)</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Metrology</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3</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2</w:t>
            </w:r>
          </w:p>
        </w:tc>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6</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Weekly calibration check with reference weight; auto-zero on empty conveyor</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Quality Tech.</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Reference weight reading off by &gt;±2g</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R09</w:t>
            </w:r>
          </w:p>
        </w:tc>
        <w:tc>
          <w:tcPr>
            <w:tcW w:type="pct" w:w="38%"/>
            <w:shd w:fill="FFFFFF" w:color="FFFFFF" w:val="solid"/>
            <w:vAlign w:val="center"/>
          </w:tcPr>
          <w:p>
            <w:pPr>
              <w:spacing w:after="40" w:before="40"/>
              <w:jc w:val="left"/>
            </w:pPr>
            <w:r>
              <w:rPr>
                <w:rFonts w:ascii="Arial" w:cs="Arial" w:eastAsia="Arial" w:hAnsi="Arial"/>
                <w:b w:val="false"/>
                <w:bCs w:val="false"/>
                <w:sz w:val="18"/>
                <w:szCs w:val="18"/>
              </w:rPr>
              <w:t xml:space="preserve">Python/GStreamer camera driver instability on RPi 5</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Software</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3</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3</w:t>
            </w:r>
          </w:p>
        </w:tc>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9</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Health-check watchdog with auto-restart; pre-tested OS image with locked packages</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CV Engineer</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Camera stream drop &gt;2 seconds</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R10</w:t>
            </w:r>
          </w:p>
        </w:tc>
        <w:tc>
          <w:tcPr>
            <w:tcW w:type="pct" w:w="38%"/>
            <w:shd w:fill="F2F2F2" w:color="F2F2F2" w:val="solid"/>
            <w:vAlign w:val="center"/>
          </w:tcPr>
          <w:p>
            <w:pPr>
              <w:spacing w:after="40" w:before="40"/>
              <w:jc w:val="left"/>
            </w:pPr>
            <w:r>
              <w:rPr>
                <w:rFonts w:ascii="Arial" w:cs="Arial" w:eastAsia="Arial" w:hAnsi="Arial"/>
                <w:b w:val="false"/>
                <w:bCs w:val="false"/>
                <w:sz w:val="18"/>
                <w:szCs w:val="18"/>
              </w:rPr>
              <w:t xml:space="preserve">Buyer requires weight certification (±1g) — vision alone insufficient</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Commercial</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2</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5</w:t>
            </w:r>
          </w:p>
        </w:tc>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10</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Load cell per-fruit weight already in pipeline (HX711); position as verification, not primary</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Commercial Dir.</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New contract requirements received</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R11</w:t>
            </w:r>
          </w:p>
        </w:tc>
        <w:tc>
          <w:tcPr>
            <w:tcW w:type="pct" w:w="38%"/>
            <w:shd w:fill="FFFFFF" w:color="FFFFFF" w:val="solid"/>
            <w:vAlign w:val="center"/>
          </w:tcPr>
          <w:p>
            <w:pPr>
              <w:spacing w:after="40" w:before="40"/>
              <w:jc w:val="left"/>
            </w:pPr>
            <w:r>
              <w:rPr>
                <w:rFonts w:ascii="Arial" w:cs="Arial" w:eastAsia="Arial" w:hAnsi="Arial"/>
                <w:b w:val="false"/>
                <w:bCs w:val="false"/>
                <w:sz w:val="18"/>
                <w:szCs w:val="18"/>
              </w:rPr>
              <w:t xml:space="preserve">Data labeling quality inconsistency (inter-annotator variability)</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Data</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4</w:t>
            </w:r>
          </w:p>
        </w:tc>
        <w:tc>
          <w:tcPr>
            <w:tcW w:type="pct" w:w="3%"/>
            <w:shd w:fill="FFFFFF" w:color="FFFFFF" w:val="solid"/>
            <w:vAlign w:val="center"/>
          </w:tcPr>
          <w:p>
            <w:pPr>
              <w:spacing w:after="40" w:before="40"/>
              <w:jc w:val="left"/>
            </w:pPr>
            <w:r>
              <w:rPr>
                <w:rFonts w:ascii="Arial" w:cs="Arial" w:eastAsia="Arial" w:hAnsi="Arial"/>
                <w:b w:val="false"/>
                <w:bCs w:val="false"/>
                <w:sz w:val="18"/>
                <w:szCs w:val="18"/>
              </w:rPr>
              <w:t xml:space="preserve">2</w:t>
            </w:r>
          </w:p>
        </w:tc>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8</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Dual annotation + adjudication for 10% of samples; label quality dashboard</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CV Engineer</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Inter-annotator agreement &lt;90%</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R12</w:t>
            </w:r>
          </w:p>
        </w:tc>
        <w:tc>
          <w:tcPr>
            <w:tcW w:type="pct" w:w="38%"/>
            <w:shd w:fill="F2F2F2" w:color="F2F2F2" w:val="solid"/>
            <w:vAlign w:val="center"/>
          </w:tcPr>
          <w:p>
            <w:pPr>
              <w:spacing w:after="40" w:before="40"/>
              <w:jc w:val="left"/>
            </w:pPr>
            <w:r>
              <w:rPr>
                <w:rFonts w:ascii="Arial" w:cs="Arial" w:eastAsia="Arial" w:hAnsi="Arial"/>
                <w:b w:val="false"/>
                <w:bCs w:val="false"/>
                <w:sz w:val="18"/>
                <w:szCs w:val="18"/>
              </w:rPr>
              <w:t xml:space="preserve">Power fluctuation damages edge hardware (packing house environment)</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Infrastructure</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2</w:t>
            </w:r>
          </w:p>
        </w:tc>
        <w:tc>
          <w:tcPr>
            <w:tcW w:type="pct" w:w="3%"/>
            <w:shd w:fill="F2F2F2" w:color="F2F2F2" w:val="solid"/>
            <w:vAlign w:val="center"/>
          </w:tcPr>
          <w:p>
            <w:pPr>
              <w:spacing w:after="40" w:before="40"/>
              <w:jc w:val="left"/>
            </w:pPr>
            <w:r>
              <w:rPr>
                <w:rFonts w:ascii="Arial" w:cs="Arial" w:eastAsia="Arial" w:hAnsi="Arial"/>
                <w:b w:val="false"/>
                <w:bCs w:val="false"/>
                <w:sz w:val="18"/>
                <w:szCs w:val="18"/>
              </w:rPr>
              <w:t xml:space="preserve">3</w:t>
            </w:r>
          </w:p>
        </w:tc>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6</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Industrial-grade PSU with surge protection; UPS for graceful shutdown</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Facilities</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Power surge event recorded</w:t>
            </w:r>
          </w:p>
        </w:tc>
      </w:tr>
    </w:tbl>
    <w:p>
      <w:pPr>
        <w:spacing w:after="200" w:before="200"/>
      </w:pPr>
    </w:p>
    <w:p>
      <w:pPr>
        <w:pStyle w:val="Heading2"/>
        <w:spacing w:after="200" w:before="280"/>
      </w:pPr>
      <w:r>
        <w:rPr>
          <w:rFonts w:ascii="Arial" w:cs="Arial" w:eastAsia="Arial" w:hAnsi="Arial"/>
          <w:b/>
          <w:bCs/>
          <w:color w:val="1B3A5C"/>
          <w:sz w:val="24"/>
          <w:szCs w:val="24"/>
        </w:rPr>
        <w:t xml:space="preserve">7.1 Top Five Risks — Detailed Analysis</w:t>
      </w:r>
    </w:p>
    <w:p>
      <w:pPr>
        <w:pStyle w:val="Heading3"/>
        <w:spacing w:after="200" w:before="280"/>
      </w:pPr>
      <w:r>
        <w:rPr>
          <w:rFonts w:ascii="Arial" w:cs="Arial" w:eastAsia="Arial" w:hAnsi="Arial"/>
          <w:b/>
          <w:bCs/>
          <w:color w:val="1B3A5C"/>
          <w:sz w:val="24"/>
          <w:szCs w:val="24"/>
        </w:rPr>
        <w:t xml:space="preserve">R05: Lighting Variation (Score: 18 — HIGH)</w:t>
      </w:r>
    </w:p>
    <w:p>
      <w:pPr>
        <w:spacing w:after="80" w:before="80" w:line="276"/>
        <w:jc w:val="both"/>
      </w:pPr>
      <w:r>
        <w:rPr>
          <w:rFonts w:ascii="Arial" w:cs="Arial" w:eastAsia="Arial" w:hAnsi="Arial"/>
          <w:b w:val="false"/>
          <w:bCs w:val="false"/>
          <w:sz w:val="22"/>
          <w:szCs w:val="22"/>
        </w:rPr>
        <w:t xml:space="preserve">The highest-scoring risk reflects the well-documented sensitivity of segmentation models to illumination changes in agricultural environments. GGP's packing house operates two 8-hour shifts (06:00-14:00 and 14:00-22:00), with the night shift relying on overhead fluorescent lighting that differs significantly from the day shift's mixed natural-artificial illumination. The recommended mitigation — an enclosed imaging tunnel with controlled LED illumination — eliminates ambient light dependency entirely and has been validated in similar agricultural machine vision deployments (Gené-Mola et al., 2023). The tunnel adds approximately $30 per lane to hardware cost but effectively neutralizes this risk.</w:t>
      </w:r>
    </w:p>
    <w:p>
      <w:pPr>
        <w:pStyle w:val="Heading3"/>
        <w:spacing w:after="200" w:before="280"/>
      </w:pPr>
      <w:r>
        <w:rPr>
          <w:rFonts w:ascii="Arial" w:cs="Arial" w:eastAsia="Arial" w:hAnsi="Arial"/>
          <w:b/>
          <w:bCs/>
          <w:color w:val="1B3A5C"/>
          <w:sz w:val="24"/>
          <w:szCs w:val="24"/>
        </w:rPr>
        <w:t xml:space="preserve">R01: Seasonal Appearance Shift (Score: 16 — HIGH)</w:t>
      </w:r>
    </w:p>
    <w:p>
      <w:pPr>
        <w:spacing w:after="80" w:before="80" w:line="276"/>
        <w:jc w:val="both"/>
      </w:pPr>
      <w:r>
        <w:rPr>
          <w:rFonts w:ascii="Arial" w:cs="Arial" w:eastAsia="Arial" w:hAnsi="Arial"/>
          <w:b w:val="false"/>
          <w:bCs w:val="false"/>
          <w:sz w:val="22"/>
          <w:szCs w:val="22"/>
        </w:rPr>
        <w:t xml:space="preserve">Guava skin color and surface texture vary between rainy season (November-March, darker green, smoother surface) and dry season (April-October, lighter green-yellow, more surface blemishes). Deep learning models trained predominantly on one season's data have demonstrated significant accuracy degradation when deployed in the other season. The active learning loop — where the LightGBM correction model is periodically retrained on recent production data labeled by the load cell — provides a systematic mechanism for adapting to seasonal shifts with minimal manual intervention.</w:t>
      </w:r>
    </w:p>
    <w:p>
      <w:pPr>
        <w:pStyle w:val="Heading3"/>
        <w:spacing w:after="200" w:before="280"/>
      </w:pPr>
      <w:r>
        <w:rPr>
          <w:rFonts w:ascii="Arial" w:cs="Arial" w:eastAsia="Arial" w:hAnsi="Arial"/>
          <w:b/>
          <w:bCs/>
          <w:color w:val="1B3A5C"/>
          <w:sz w:val="24"/>
          <w:szCs w:val="24"/>
        </w:rPr>
        <w:t xml:space="preserve">R02: Hailo-8 Supply Chain (Score: 12 — HIGH)</w:t>
      </w:r>
    </w:p>
    <w:p>
      <w:pPr>
        <w:spacing w:after="80" w:before="80" w:line="276"/>
        <w:jc w:val="both"/>
      </w:pPr>
      <w:r>
        <w:rPr>
          <w:rFonts w:ascii="Arial" w:cs="Arial" w:eastAsia="Arial" w:hAnsi="Arial"/>
          <w:b w:val="false"/>
          <w:bCs w:val="false"/>
          <w:sz w:val="22"/>
          <w:szCs w:val="22"/>
        </w:rPr>
        <w:t xml:space="preserve">Hailo-8 AI HAT availability in Indonesia, while currently adequate through distributors RNDC and Digiware, cannot be guaranteed for volume purchases of 10+ units on short notice. The mitigation strategy includes pre-purchasing 2 spare units during Phase 1 and maintaining Jetson Orin Nano Super as a verified fallback platform with pre-exported TensorRT models.</w:t>
      </w:r>
    </w:p>
    <w:p>
      <w:pPr>
        <w:pStyle w:val="Heading3"/>
        <w:spacing w:after="200" w:before="280"/>
      </w:pPr>
      <w:r>
        <w:rPr>
          <w:rFonts w:ascii="Arial" w:cs="Arial" w:eastAsia="Arial" w:hAnsi="Arial"/>
          <w:b/>
          <w:bCs/>
          <w:color w:val="1B3A5C"/>
          <w:sz w:val="24"/>
          <w:szCs w:val="24"/>
        </w:rPr>
        <w:t xml:space="preserve">R03: Per-Variety Density Variation (Score: 12 — HIGH)</w:t>
      </w:r>
    </w:p>
    <w:p>
      <w:pPr>
        <w:spacing w:after="80" w:before="80" w:line="276"/>
        <w:jc w:val="both"/>
      </w:pPr>
      <w:r>
        <w:rPr>
          <w:rFonts w:ascii="Arial" w:cs="Arial" w:eastAsia="Arial" w:hAnsi="Arial"/>
          <w:b w:val="false"/>
          <w:bCs w:val="false"/>
          <w:sz w:val="22"/>
          <w:szCs w:val="22"/>
        </w:rPr>
        <w:t xml:space="preserve">GGP's commercial guava varieties (primarily 'Kristal', 'Getas Merah', and 'Bangkok') exhibit different flesh densities that affect the geometric model's volume-to-weight conversion. If inter-variety density variation exceeds the ±15% assumption, the geometric baseline accuracy degrades, increasing the burden on the ML correction model. Expanding the calibration sample from 50 to 100 fruits per variety and implementing per-batch density lookup tables (keyed to the harvest lot code in GGP's ERP) reduces this risk to acceptable levels.</w:t>
      </w:r>
    </w:p>
    <w:p>
      <w:pPr>
        <w:pStyle w:val="Heading3"/>
        <w:spacing w:after="200" w:before="280"/>
      </w:pPr>
      <w:r>
        <w:rPr>
          <w:rFonts w:ascii="Arial" w:cs="Arial" w:eastAsia="Arial" w:hAnsi="Arial"/>
          <w:b/>
          <w:bCs/>
          <w:color w:val="1B3A5C"/>
          <w:sz w:val="24"/>
          <w:szCs w:val="24"/>
        </w:rPr>
        <w:t xml:space="preserve">R10: Buyer Weight Certification Requirement (Score: 10 — MEDIUM)</w:t>
      </w:r>
    </w:p>
    <w:p>
      <w:pPr>
        <w:spacing w:after="80" w:before="80" w:line="276"/>
        <w:jc w:val="both"/>
      </w:pPr>
      <w:r>
        <w:rPr>
          <w:rFonts w:ascii="Arial" w:cs="Arial" w:eastAsia="Arial" w:hAnsi="Arial"/>
          <w:b w:val="false"/>
          <w:bCs w:val="false"/>
          <w:sz w:val="22"/>
          <w:szCs w:val="22"/>
        </w:rPr>
        <w:t xml:space="preserve">While no current GGP buyer contract requires per-fruit weight certification, this requirement is increasingly common in premium export markets, particularly Japan (Positive List System) and the EU. The recommended architecture already includes an HX711 load cell for ground truth collection; if certification requirements emerge, the load cell can be upgraded to a certified bench scale and positioned as the primary weight measurement, with the vision system providing classification and quality data. The marginal per-lane cost of this upgrade is $180 (bench scale upgrade from HX711).</w:t>
      </w:r>
    </w:p>
    <w:p>
      <w:r>
        <w:br w:type="page"/>
      </w:r>
    </w:p>
    <w:p>
      <w:pPr>
        <w:pStyle w:val="Heading1"/>
        <w:spacing w:after="200" w:before="400"/>
      </w:pPr>
      <w:r>
        <w:rPr>
          <w:rFonts w:ascii="Arial" w:cs="Arial" w:eastAsia="Arial" w:hAnsi="Arial"/>
          <w:b/>
          <w:bCs/>
          <w:color w:val="1B3A5C"/>
          <w:sz w:val="24"/>
          <w:szCs w:val="24"/>
        </w:rPr>
        <w:t xml:space="preserve">8. Validation Protocol</w:t>
      </w:r>
    </w:p>
    <w:p>
      <w:pPr>
        <w:pStyle w:val="Heading2"/>
        <w:spacing w:after="200" w:before="280"/>
      </w:pPr>
      <w:r>
        <w:rPr>
          <w:rFonts w:ascii="Arial" w:cs="Arial" w:eastAsia="Arial" w:hAnsi="Arial"/>
          <w:b/>
          <w:bCs/>
          <w:color w:val="1B3A5C"/>
          <w:sz w:val="24"/>
          <w:szCs w:val="24"/>
        </w:rPr>
        <w:t xml:space="preserve">8.1 Statistical Design</w:t>
      </w:r>
    </w:p>
    <w:p>
      <w:pPr>
        <w:spacing w:after="80" w:before="80" w:line="276"/>
        <w:jc w:val="both"/>
      </w:pPr>
      <w:r>
        <w:rPr>
          <w:rFonts w:ascii="Arial" w:cs="Arial" w:eastAsia="Arial" w:hAnsi="Arial"/>
          <w:b w:val="false"/>
          <w:bCs w:val="false"/>
          <w:sz w:val="22"/>
          <w:szCs w:val="22"/>
        </w:rPr>
        <w:t xml:space="preserve">A rigorous validation protocol is essential to establish confidence in the system's accuracy before production deployment and to provide objective go/no-go criteria at each phase gate. The validation design follows metrology best practices recommended by the Cariak Metrology Advisor.</w:t>
      </w:r>
    </w:p>
    <w:p>
      <w:pPr>
        <w:pStyle w:val="Heading2"/>
        <w:spacing w:after="200" w:before="280"/>
      </w:pPr>
      <w:r>
        <w:rPr>
          <w:rFonts w:ascii="Arial" w:cs="Arial" w:eastAsia="Arial" w:hAnsi="Arial"/>
          <w:b/>
          <w:bCs/>
          <w:color w:val="1B3A5C"/>
          <w:sz w:val="24"/>
          <w:szCs w:val="24"/>
        </w:rPr>
        <w:t xml:space="preserve">8.2 Sample Size Calculation</w:t>
      </w:r>
    </w:p>
    <w:p>
      <w:pPr>
        <w:spacing w:after="80" w:before="80" w:line="276"/>
        <w:jc w:val="both"/>
      </w:pPr>
      <w:r>
        <w:rPr>
          <w:rFonts w:ascii="Arial" w:cs="Arial" w:eastAsia="Arial" w:hAnsi="Arial"/>
          <w:b w:val="false"/>
          <w:bCs w:val="false"/>
          <w:sz w:val="22"/>
          <w:szCs w:val="22"/>
        </w:rPr>
        <w:t xml:space="preserve">The minimum sample size is calculated using the standard formula for estimation accuracy:</w:t>
      </w:r>
    </w:p>
    <w:p>
      <w:pPr>
        <w:spacing w:after="80" w:before="80" w:line="276"/>
        <w:jc w:val="center"/>
      </w:pPr>
      <w:r>
        <w:rPr>
          <w:rFonts w:ascii="Arial" w:cs="Arial" w:eastAsia="Arial" w:hAnsi="Arial"/>
          <w:b w:val="false"/>
          <w:bCs w:val="false"/>
          <w:i/>
          <w:iCs/>
          <w:sz w:val="22"/>
          <w:szCs w:val="22"/>
        </w:rPr>
        <w:t xml:space="preserve">n = (Z² × σ²) / E²</w:t>
      </w:r>
    </w:p>
    <w:p>
      <w:pPr>
        <w:spacing w:after="80" w:before="80" w:line="276"/>
        <w:jc w:val="both"/>
      </w:pPr>
      <w:r>
        <w:rPr>
          <w:rFonts w:ascii="Arial" w:cs="Arial" w:eastAsia="Arial" w:hAnsi="Arial"/>
          <w:b w:val="false"/>
          <w:bCs w:val="false"/>
          <w:i/>
          <w:iCs/>
          <w:sz w:val="22"/>
          <w:szCs w:val="22"/>
        </w:rPr>
        <w:t xml:space="preserve">where: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Z = 1.96 (95% confidence), σ = 12.4 g (RMSE from Jou et al., 2024), E = 1.4 g (desired margin of error: 0.5% of mean guava weight of 280 g) → n = 300</w:t>
      </w:r>
    </w:p>
    <w:p>
      <w:pPr>
        <w:spacing w:after="80" w:before="80" w:line="276"/>
        <w:jc w:val="both"/>
      </w:pPr>
      <w:r>
        <w:rPr>
          <w:rFonts w:ascii="Arial" w:cs="Arial" w:eastAsia="Arial" w:hAnsi="Arial"/>
          <w:b w:val="false"/>
          <w:bCs w:val="false"/>
          <w:sz w:val="22"/>
          <w:szCs w:val="22"/>
        </w:rPr>
        <w:t xml:space="preserve">A sample of 300 fruits provides sufficient statistical power (β &gt; 0.80) to detect a 5% difference in MAPE between system versions or between varieties at α = 0.05.</w:t>
      </w:r>
    </w:p>
    <w:p>
      <w:pPr>
        <w:pStyle w:val="Heading2"/>
        <w:spacing w:after="200" w:before="280"/>
      </w:pPr>
      <w:r>
        <w:rPr>
          <w:rFonts w:ascii="Arial" w:cs="Arial" w:eastAsia="Arial" w:hAnsi="Arial"/>
          <w:b/>
          <w:bCs/>
          <w:color w:val="1B3A5C"/>
          <w:sz w:val="24"/>
          <w:szCs w:val="24"/>
        </w:rPr>
        <w:t xml:space="preserve">8.3 Stratification Design</w:t>
      </w:r>
    </w:p>
    <w:p>
      <w:pPr>
        <w:spacing w:after="80" w:before="80" w:line="276"/>
        <w:jc w:val="both"/>
      </w:pPr>
      <w:r>
        <w:rPr>
          <w:rFonts w:ascii="Arial" w:cs="Arial" w:eastAsia="Arial" w:hAnsi="Arial"/>
          <w:b w:val="false"/>
          <w:bCs w:val="false"/>
          <w:sz w:val="22"/>
          <w:szCs w:val="22"/>
        </w:rPr>
        <w:t xml:space="preserve">The 300-fruit sample is stratified across three dimensions to ensure representative coverage of production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2B579A" w:color="2B579A" w:val="solid"/>
            <w:vAlign w:val="center"/>
          </w:tcPr>
          <w:p>
            <w:pPr>
              <w:spacing w:after="40" w:before="40"/>
              <w:jc w:val="center"/>
            </w:pPr>
            <w:r>
              <w:rPr>
                <w:rFonts w:ascii="Arial" w:cs="Arial" w:eastAsia="Arial" w:hAnsi="Arial"/>
                <w:b/>
                <w:bCs/>
                <w:sz w:val="18"/>
                <w:szCs w:val="18"/>
              </w:rPr>
              <w:t xml:space="preserve">Dimension</w:t>
            </w:r>
          </w:p>
        </w:tc>
        <w:tc>
          <w:tcPr>
            <w:tcW w:type="pct" w:w="30%"/>
            <w:shd w:fill="2B579A" w:color="2B579A" w:val="solid"/>
            <w:vAlign w:val="center"/>
          </w:tcPr>
          <w:p>
            <w:pPr>
              <w:spacing w:after="40" w:before="40"/>
              <w:jc w:val="center"/>
            </w:pPr>
            <w:r>
              <w:rPr>
                <w:rFonts w:ascii="Arial" w:cs="Arial" w:eastAsia="Arial" w:hAnsi="Arial"/>
                <w:b/>
                <w:bCs/>
                <w:sz w:val="18"/>
                <w:szCs w:val="18"/>
              </w:rPr>
              <w:t xml:space="preserve">Levels</w:t>
            </w:r>
          </w:p>
        </w:tc>
        <w:tc>
          <w:tcPr>
            <w:tcW w:type="pct" w:w="25%"/>
            <w:shd w:fill="2B579A" w:color="2B579A" w:val="solid"/>
            <w:vAlign w:val="center"/>
          </w:tcPr>
          <w:p>
            <w:pPr>
              <w:spacing w:after="40" w:before="40"/>
              <w:jc w:val="center"/>
            </w:pPr>
            <w:r>
              <w:rPr>
                <w:rFonts w:ascii="Arial" w:cs="Arial" w:eastAsia="Arial" w:hAnsi="Arial"/>
                <w:b/>
                <w:bCs/>
                <w:sz w:val="18"/>
                <w:szCs w:val="18"/>
              </w:rPr>
              <w:t xml:space="preserve">Samples per Level</w:t>
            </w:r>
          </w:p>
        </w:tc>
        <w:tc>
          <w:tcPr>
            <w:tcW w:type="pct" w:w="25%"/>
            <w:shd w:fill="2B579A" w:color="2B579A" w:val="solid"/>
            <w:vAlign w:val="center"/>
          </w:tcPr>
          <w:p>
            <w:pPr>
              <w:spacing w:after="40" w:before="40"/>
              <w:jc w:val="center"/>
            </w:pPr>
            <w:r>
              <w:rPr>
                <w:rFonts w:ascii="Arial" w:cs="Arial" w:eastAsia="Arial" w:hAnsi="Arial"/>
                <w:b/>
                <w:bCs/>
                <w:sz w:val="18"/>
                <w:szCs w:val="18"/>
              </w:rPr>
              <w:t xml:space="preserve">Justification</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Variety (3)</w:t>
            </w:r>
          </w:p>
        </w:tc>
      </w:tr>
      <w:tr>
        <w:tc>
          <w:tcPr>
            <w:tcW w:type="pct" w:w="20%"/>
            <w:shd w:fill="F2F2F2" w:color="F2F2F2" w:val="solid"/>
            <w:vAlign w:val="center"/>
          </w:tcPr>
          <w:p>
            <w:pPr>
              <w:spacing w:after="40" w:before="40"/>
              <w:jc w:val="left"/>
            </w:pPr>
            <w:r>
              <w:rPr>
                <w:rFonts w:ascii="Arial" w:cs="Arial" w:eastAsia="Arial" w:hAnsi="Arial"/>
                <w:b w:val="false"/>
                <w:bCs w:val="false"/>
                <w:sz w:val="18"/>
                <w:szCs w:val="18"/>
              </w:rPr>
              <w:t xml:space="preserve">Weight Range (3)</w:t>
            </w:r>
          </w:p>
        </w:tc>
      </w:tr>
      <w:tr>
        <w:tc>
          <w:tcPr>
            <w:tcW w:type="pct" w:w="20%"/>
            <w:shd w:fill="FFFFFF" w:color="FFFFFF" w:val="solid"/>
            <w:vAlign w:val="center"/>
          </w:tcPr>
          <w:p>
            <w:pPr>
              <w:spacing w:after="40" w:before="40"/>
              <w:jc w:val="left"/>
            </w:pPr>
            <w:r>
              <w:rPr>
                <w:rFonts w:ascii="Arial" w:cs="Arial" w:eastAsia="Arial" w:hAnsi="Arial"/>
                <w:b w:val="false"/>
                <w:bCs w:val="false"/>
                <w:sz w:val="18"/>
                <w:szCs w:val="18"/>
              </w:rPr>
              <w:t xml:space="preserve">Lighting (2)</w:t>
            </w:r>
          </w:p>
        </w:tc>
      </w:tr>
    </w:tbl>
    <w:p>
      <w:pPr>
        <w:spacing w:after="200" w:before="200"/>
      </w:pPr>
    </w:p>
    <w:p>
      <w:pPr>
        <w:pStyle w:val="Heading2"/>
        <w:spacing w:after="200" w:before="280"/>
      </w:pPr>
      <w:r>
        <w:rPr>
          <w:rFonts w:ascii="Arial" w:cs="Arial" w:eastAsia="Arial" w:hAnsi="Arial"/>
          <w:b/>
          <w:bCs/>
          <w:color w:val="1B3A5C"/>
          <w:sz w:val="24"/>
          <w:szCs w:val="24"/>
        </w:rPr>
        <w:t xml:space="preserve">8.4 Statistical Tests</w:t>
      </w:r>
    </w:p>
    <w:p>
      <w:pPr>
        <w:spacing w:after="80" w:before="80" w:line="276"/>
        <w:jc w:val="both"/>
      </w:pPr>
      <w:r>
        <w:rPr>
          <w:rFonts w:ascii="Arial" w:cs="Arial" w:eastAsia="Arial" w:hAnsi="Arial"/>
          <w:b/>
          <w:bCs/>
          <w:i w:val="false"/>
          <w:iCs w:val="false"/>
          <w:sz w:val="22"/>
          <w:szCs w:val="22"/>
        </w:rPr>
        <w:t xml:space="preserve">Bland-Altman Analysis: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primary validation method. Plots the difference between predicted and ground truth weight against the mean of the two measurements. Provides 95% limits of agreement (±1.96σ of differences) and identifies systematic bias trends (proportional bias where error increases with fruit size). This is the standard method in clinical and metrological method comparison and is preferred over correlation (R²) alone, which can be misleading for agreement assessment.</w:t>
      </w:r>
    </w:p>
    <w:p>
      <w:pPr>
        <w:spacing w:after="80" w:before="80" w:line="276"/>
        <w:jc w:val="both"/>
      </w:pPr>
      <w:r>
        <w:rPr>
          <w:rFonts w:ascii="Arial" w:cs="Arial" w:eastAsia="Arial" w:hAnsi="Arial"/>
          <w:b/>
          <w:bCs/>
          <w:i w:val="false"/>
          <w:iCs w:val="false"/>
          <w:sz w:val="22"/>
          <w:szCs w:val="22"/>
        </w:rPr>
        <w:t xml:space="preserve">Per-Variety Paired t-test: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Tests the null hypothesis that the mean prediction error for each variety equals zero. A significant result (p &lt; 0.05) indicates systematic over- or under-estimation for that variety, requiring recalibration of the density factor or additional training samples.</w:t>
      </w:r>
    </w:p>
    <w:p>
      <w:pPr>
        <w:spacing w:after="80" w:before="80" w:line="276"/>
        <w:jc w:val="both"/>
      </w:pPr>
      <w:r>
        <w:rPr>
          <w:rFonts w:ascii="Arial" w:cs="Arial" w:eastAsia="Arial" w:hAnsi="Arial"/>
          <w:b/>
          <w:bCs/>
          <w:i w:val="false"/>
          <w:iCs w:val="false"/>
          <w:sz w:val="22"/>
          <w:szCs w:val="22"/>
        </w:rPr>
        <w:t xml:space="preserve">One-Way ANOVA: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Tests whether mean prediction errors differ significantly across the three varieties. A significant F-test (p &lt; 0.05) indicates that a single global model is insufficient and that per-variety model variants are required.</w:t>
      </w:r>
    </w:p>
    <w:p>
      <w:pPr>
        <w:pStyle w:val="Heading2"/>
        <w:spacing w:after="200" w:before="280"/>
      </w:pPr>
      <w:r>
        <w:rPr>
          <w:rFonts w:ascii="Arial" w:cs="Arial" w:eastAsia="Arial" w:hAnsi="Arial"/>
          <w:b/>
          <w:bCs/>
          <w:color w:val="1B3A5C"/>
          <w:sz w:val="24"/>
          <w:szCs w:val="24"/>
        </w:rPr>
        <w:t xml:space="preserve">8.5 Pass/Fail Criteria</w:t>
      </w:r>
    </w:p>
    <w:p>
      <w:pPr>
        <w:spacing w:after="80" w:before="80" w:line="276"/>
        <w:jc w:val="both"/>
      </w:pPr>
      <w:r>
        <w:rPr>
          <w:rFonts w:ascii="Arial" w:cs="Arial" w:eastAsia="Arial" w:hAnsi="Arial"/>
          <w:b w:val="false"/>
          <w:bCs w:val="false"/>
          <w:sz w:val="22"/>
          <w:szCs w:val="22"/>
        </w:rPr>
        <w:t xml:space="preserve">Table 12 defines the quantitative pass/fail criteria applied at each phase gate. A 'Conditional Pass' outcome triggers the specified remediation action; a 'Fail' outcome on any criterion halts the phase transition pending root cause analysis and correction.</w:t>
      </w:r>
    </w:p>
    <w:p>
      <w:pPr>
        <w:spacing w:after="200" w:before="200"/>
      </w:pPr>
    </w:p>
    <w:p>
      <w:pPr>
        <w:spacing w:after="80" w:before="80" w:line="276"/>
        <w:jc w:val="center"/>
      </w:pPr>
      <w:r>
        <w:rPr>
          <w:rFonts w:ascii="Arial" w:cs="Arial" w:eastAsia="Arial" w:hAnsi="Arial"/>
          <w:b/>
          <w:bCs/>
          <w:i w:val="false"/>
          <w:iCs w:val="false"/>
          <w:sz w:val="22"/>
          <w:szCs w:val="22"/>
        </w:rPr>
        <w:t xml:space="preserve">Table 12.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Validation Pass/Fail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shd w:fill="2B579A" w:color="2B579A" w:val="solid"/>
            <w:vAlign w:val="center"/>
          </w:tcPr>
          <w:p>
            <w:pPr>
              <w:spacing w:after="40" w:before="40"/>
              <w:jc w:val="center"/>
            </w:pPr>
            <w:r>
              <w:rPr>
                <w:rFonts w:ascii="Arial" w:cs="Arial" w:eastAsia="Arial" w:hAnsi="Arial"/>
                <w:b/>
                <w:bCs/>
                <w:sz w:val="18"/>
                <w:szCs w:val="18"/>
              </w:rPr>
              <w:t xml:space="preserve">Test</w:t>
            </w:r>
          </w:p>
        </w:tc>
        <w:tc>
          <w:tcPr>
            <w:tcW w:type="pct" w:w="22%"/>
            <w:shd w:fill="2B579A" w:color="2B579A" w:val="solid"/>
            <w:vAlign w:val="center"/>
          </w:tcPr>
          <w:p>
            <w:pPr>
              <w:spacing w:after="40" w:before="40"/>
              <w:jc w:val="center"/>
            </w:pPr>
            <w:r>
              <w:rPr>
                <w:rFonts w:ascii="Arial" w:cs="Arial" w:eastAsia="Arial" w:hAnsi="Arial"/>
                <w:b/>
                <w:bCs/>
                <w:sz w:val="18"/>
                <w:szCs w:val="18"/>
              </w:rPr>
              <w:t xml:space="preserve">Metric</w:t>
            </w:r>
          </w:p>
        </w:tc>
        <w:tc>
          <w:tcPr>
            <w:tcW w:type="pct" w:w="24%"/>
            <w:shd w:fill="2B579A" w:color="2B579A" w:val="solid"/>
            <w:vAlign w:val="center"/>
          </w:tcPr>
          <w:p>
            <w:pPr>
              <w:spacing w:after="40" w:before="40"/>
              <w:jc w:val="center"/>
            </w:pPr>
            <w:r>
              <w:rPr>
                <w:rFonts w:ascii="Arial" w:cs="Arial" w:eastAsia="Arial" w:hAnsi="Arial"/>
                <w:b/>
                <w:bCs/>
                <w:sz w:val="18"/>
                <w:szCs w:val="18"/>
              </w:rPr>
              <w:t xml:space="preserve">Pass Threshold</w:t>
            </w:r>
          </w:p>
        </w:tc>
        <w:tc>
          <w:tcPr>
            <w:tcW w:type="pct" w:w="32%"/>
            <w:shd w:fill="2B579A" w:color="2B579A" w:val="solid"/>
            <w:vAlign w:val="center"/>
          </w:tcPr>
          <w:p>
            <w:pPr>
              <w:spacing w:after="40" w:before="40"/>
              <w:jc w:val="center"/>
            </w:pPr>
            <w:r>
              <w:rPr>
                <w:rFonts w:ascii="Arial" w:cs="Arial" w:eastAsia="Arial" w:hAnsi="Arial"/>
                <w:b/>
                <w:bCs/>
                <w:sz w:val="18"/>
                <w:szCs w:val="18"/>
              </w:rPr>
              <w:t xml:space="preserve">Fail Action</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Bland-Altman Analysis</w:t>
            </w:r>
          </w:p>
        </w:tc>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95% Limits of Agreement</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Within ±15% of mean weight</w:t>
            </w:r>
          </w:p>
        </w:tc>
        <w:tc>
          <w:tcPr>
            <w:tcW w:type="pct" w:w="32%"/>
            <w:shd w:fill="FFFFFF" w:color="FFFFFF" w:val="solid"/>
            <w:vAlign w:val="center"/>
          </w:tcPr>
          <w:p>
            <w:pPr>
              <w:spacing w:after="40" w:before="40"/>
              <w:jc w:val="left"/>
            </w:pPr>
            <w:r>
              <w:rPr>
                <w:rFonts w:ascii="Arial" w:cs="Arial" w:eastAsia="Arial" w:hAnsi="Arial"/>
                <w:b w:val="false"/>
                <w:bCs w:val="false"/>
                <w:sz w:val="18"/>
                <w:szCs w:val="18"/>
              </w:rPr>
              <w:t xml:space="preserve">Investigate systematic bias by variety; recalibrate density factors</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Per-Variety t-test</w:t>
            </w:r>
          </w:p>
        </w:tc>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Mean error per variety</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Bias &lt;±3% of mean variety weight</w:t>
            </w:r>
          </w:p>
        </w:tc>
        <w:tc>
          <w:tcPr>
            <w:tcW w:type="pct" w:w="32%"/>
            <w:shd w:fill="F2F2F2" w:color="F2F2F2" w:val="solid"/>
            <w:vAlign w:val="center"/>
          </w:tcPr>
          <w:p>
            <w:pPr>
              <w:spacing w:after="40" w:before="40"/>
              <w:jc w:val="left"/>
            </w:pPr>
            <w:r>
              <w:rPr>
                <w:rFonts w:ascii="Arial" w:cs="Arial" w:eastAsia="Arial" w:hAnsi="Arial"/>
                <w:b w:val="false"/>
                <w:bCs w:val="false"/>
                <w:sz w:val="18"/>
                <w:szCs w:val="18"/>
              </w:rPr>
              <w:t xml:space="preserve">Re-train LightGBM with additional samples for biased variety</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ANOVA (3 varieties)</w:t>
            </w:r>
          </w:p>
        </w:tc>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F-statistic p-value</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p &gt; 0.05 (no significant difference between variety errors)</w:t>
            </w:r>
          </w:p>
        </w:tc>
        <w:tc>
          <w:tcPr>
            <w:tcW w:type="pct" w:w="32%"/>
            <w:shd w:fill="FFFFFF" w:color="FFFFFF" w:val="solid"/>
            <w:vAlign w:val="center"/>
          </w:tcPr>
          <w:p>
            <w:pPr>
              <w:spacing w:after="40" w:before="40"/>
              <w:jc w:val="left"/>
            </w:pPr>
            <w:r>
              <w:rPr>
                <w:rFonts w:ascii="Arial" w:cs="Arial" w:eastAsia="Arial" w:hAnsi="Arial"/>
                <w:b w:val="false"/>
                <w:bCs w:val="false"/>
                <w:sz w:val="18"/>
                <w:szCs w:val="18"/>
              </w:rPr>
              <w:t xml:space="preserve">If p &lt; 0.05: per-variety model variants required</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3-Band Classification</w:t>
            </w:r>
          </w:p>
        </w:tc>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Accuracy (overall)</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&gt;92% correct band assignment</w:t>
            </w:r>
          </w:p>
        </w:tc>
        <w:tc>
          <w:tcPr>
            <w:tcW w:type="pct" w:w="32%"/>
            <w:shd w:fill="F2F2F2" w:color="F2F2F2" w:val="solid"/>
            <w:vAlign w:val="center"/>
          </w:tcPr>
          <w:p>
            <w:pPr>
              <w:spacing w:after="40" w:before="40"/>
              <w:jc w:val="left"/>
            </w:pPr>
            <w:r>
              <w:rPr>
                <w:rFonts w:ascii="Arial" w:cs="Arial" w:eastAsia="Arial" w:hAnsi="Arial"/>
                <w:b w:val="false"/>
                <w:bCs w:val="false"/>
                <w:sz w:val="18"/>
                <w:szCs w:val="18"/>
              </w:rPr>
              <w:t xml:space="preserve">Adjust band boundary hysteresis logic; review boundary region samples</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3-Band Classification</w:t>
            </w:r>
          </w:p>
        </w:tc>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Boundary Accuracy</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&gt;85% within ±25g of boundary</w:t>
            </w:r>
          </w:p>
        </w:tc>
        <w:tc>
          <w:tcPr>
            <w:tcW w:type="pct" w:w="32%"/>
            <w:shd w:fill="FFFFFF" w:color="FFFFFF" w:val="solid"/>
            <w:vAlign w:val="center"/>
          </w:tcPr>
          <w:p>
            <w:pPr>
              <w:spacing w:after="40" w:before="40"/>
              <w:jc w:val="left"/>
            </w:pPr>
            <w:r>
              <w:rPr>
                <w:rFonts w:ascii="Arial" w:cs="Arial" w:eastAsia="Arial" w:hAnsi="Arial"/>
                <w:b w:val="false"/>
                <w:bCs w:val="false"/>
                <w:sz w:val="18"/>
                <w:szCs w:val="18"/>
              </w:rPr>
              <w:t xml:space="preserve">Increase training samples in boundary regions (150-180g, 320-380g)</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Stability (3-day)</w:t>
            </w:r>
          </w:p>
        </w:tc>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MAPE drift</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&lt;±1.5% MAPE change over 72 hours</w:t>
            </w:r>
          </w:p>
        </w:tc>
        <w:tc>
          <w:tcPr>
            <w:tcW w:type="pct" w:w="32%"/>
            <w:shd w:fill="F2F2F2" w:color="F2F2F2" w:val="solid"/>
            <w:vAlign w:val="center"/>
          </w:tcPr>
          <w:p>
            <w:pPr>
              <w:spacing w:after="40" w:before="40"/>
              <w:jc w:val="left"/>
            </w:pPr>
            <w:r>
              <w:rPr>
                <w:rFonts w:ascii="Arial" w:cs="Arial" w:eastAsia="Arial" w:hAnsi="Arial"/>
                <w:b w:val="false"/>
                <w:bCs w:val="false"/>
                <w:sz w:val="18"/>
                <w:szCs w:val="18"/>
              </w:rPr>
              <w:t xml:space="preserve">Check camera alignment, lighting stability, load cell calibration</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Production Shadow (1-week)</w:t>
            </w:r>
          </w:p>
        </w:tc>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Rejection rate reduction</w:t>
            </w:r>
          </w:p>
        </w:tc>
        <w:tc>
          <w:tcPr>
            <w:tcW w:type="pct" w:w="24%"/>
            <w:shd w:fill="FFFFFF" w:color="FFFFFF" w:val="solid"/>
            <w:vAlign w:val="center"/>
          </w:tcPr>
          <w:p>
            <w:pPr>
              <w:spacing w:after="40" w:before="40"/>
              <w:jc w:val="left"/>
            </w:pPr>
            <w:r>
              <w:rPr>
                <w:rFonts w:ascii="Arial" w:cs="Arial" w:eastAsia="Arial" w:hAnsi="Arial"/>
                <w:b w:val="false"/>
                <w:bCs w:val="false"/>
                <w:sz w:val="18"/>
                <w:szCs w:val="18"/>
              </w:rPr>
              <w:t xml:space="preserve">≥5 pp reduction vs. manual baseline</w:t>
            </w:r>
          </w:p>
        </w:tc>
        <w:tc>
          <w:tcPr>
            <w:tcW w:type="pct" w:w="32%"/>
            <w:shd w:fill="FFFFFF" w:color="FFFFFF" w:val="solid"/>
            <w:vAlign w:val="center"/>
          </w:tcPr>
          <w:p>
            <w:pPr>
              <w:spacing w:after="40" w:before="40"/>
              <w:jc w:val="left"/>
            </w:pPr>
            <w:r>
              <w:rPr>
                <w:rFonts w:ascii="Arial" w:cs="Arial" w:eastAsia="Arial" w:hAnsi="Arial"/>
                <w:b w:val="false"/>
                <w:bCs w:val="false"/>
                <w:sz w:val="18"/>
                <w:szCs w:val="18"/>
              </w:rPr>
              <w:t xml:space="preserve">Review system decisions on rejected fruits; check for systematic errors</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Max Individual Error</w:t>
            </w:r>
          </w:p>
        </w:tc>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Worst-case prediction</w:t>
            </w:r>
          </w:p>
        </w:tc>
        <w:tc>
          <w:tcPr>
            <w:tcW w:type="pct" w:w="24%"/>
            <w:shd w:fill="F2F2F2" w:color="F2F2F2" w:val="solid"/>
            <w:vAlign w:val="center"/>
          </w:tcPr>
          <w:p>
            <w:pPr>
              <w:spacing w:after="40" w:before="40"/>
              <w:jc w:val="left"/>
            </w:pPr>
            <w:r>
              <w:rPr>
                <w:rFonts w:ascii="Arial" w:cs="Arial" w:eastAsia="Arial" w:hAnsi="Arial"/>
                <w:b w:val="false"/>
                <w:bCs w:val="false"/>
                <w:sz w:val="18"/>
                <w:szCs w:val="18"/>
              </w:rPr>
              <w:t xml:space="preserve">No single error &gt;25% of true weight</w:t>
            </w:r>
          </w:p>
        </w:tc>
        <w:tc>
          <w:tcPr>
            <w:tcW w:type="pct" w:w="32%"/>
            <w:shd w:fill="F2F2F2" w:color="F2F2F2" w:val="solid"/>
            <w:vAlign w:val="center"/>
          </w:tcPr>
          <w:p>
            <w:pPr>
              <w:spacing w:after="40" w:before="40"/>
              <w:jc w:val="left"/>
            </w:pPr>
            <w:r>
              <w:rPr>
                <w:rFonts w:ascii="Arial" w:cs="Arial" w:eastAsia="Arial" w:hAnsi="Arial"/>
                <w:b w:val="false"/>
                <w:bCs w:val="false"/>
                <w:sz w:val="18"/>
                <w:szCs w:val="18"/>
              </w:rPr>
              <w:t xml:space="preserve">Investigate outlier fruits; consider shape anomaly flag for manual review</w:t>
            </w:r>
          </w:p>
        </w:tc>
      </w:tr>
    </w:tbl>
    <w:p>
      <w:pPr>
        <w:spacing w:after="200" w:before="200"/>
      </w:pPr>
    </w:p>
    <w:p>
      <w:pPr>
        <w:spacing w:after="80" w:before="80" w:line="276"/>
        <w:jc w:val="both"/>
      </w:pPr>
      <w:r>
        <w:rPr>
          <w:rFonts w:ascii="Arial" w:cs="Arial" w:eastAsia="Arial" w:hAnsi="Arial"/>
          <w:b w:val="false"/>
          <w:bCs w:val="false"/>
          <w:sz w:val="22"/>
          <w:szCs w:val="22"/>
        </w:rPr>
        <w:t xml:space="preserve">All statistical analyses will be performed in Python (SciPy + statsmodels) with results archived in the project repository. A validation report containing raw data, analysis scripts, and all diagnostic plots (Bland-Altman, residual distributions, Q-Q plots) will be generated automatically and attached to the phase gate review package.</w:t>
      </w:r>
    </w:p>
    <w:p>
      <w:r>
        <w:br w:type="page"/>
      </w:r>
    </w:p>
    <w:p>
      <w:pPr>
        <w:pStyle w:val="Heading1"/>
        <w:spacing w:after="200" w:before="400"/>
      </w:pPr>
      <w:r>
        <w:rPr>
          <w:rFonts w:ascii="Arial" w:cs="Arial" w:eastAsia="Arial" w:hAnsi="Arial"/>
          <w:b/>
          <w:bCs/>
          <w:color w:val="1B3A5C"/>
          <w:sz w:val="24"/>
          <w:szCs w:val="24"/>
        </w:rPr>
        <w:t xml:space="preserve">9. Recommendations</w:t>
      </w:r>
    </w:p>
    <w:p>
      <w:pPr>
        <w:pStyle w:val="Heading2"/>
        <w:spacing w:after="200" w:before="280"/>
      </w:pPr>
      <w:r>
        <w:rPr>
          <w:rFonts w:ascii="Arial" w:cs="Arial" w:eastAsia="Arial" w:hAnsi="Arial"/>
          <w:b/>
          <w:bCs/>
          <w:color w:val="1B3A5C"/>
          <w:sz w:val="24"/>
          <w:szCs w:val="24"/>
        </w:rPr>
        <w:t xml:space="preserve">9.1 Immediate Next Step (This Week)</w:t>
      </w:r>
    </w:p>
    <w:p>
      <w:pPr>
        <w:spacing w:after="80" w:before="80" w:line="276"/>
        <w:jc w:val="both"/>
      </w:pPr>
      <w:r>
        <w:rPr>
          <w:rFonts w:ascii="Arial" w:cs="Arial" w:eastAsia="Arial" w:hAnsi="Arial"/>
          <w:b/>
          <w:bCs/>
          <w:i w:val="false"/>
          <w:iCs w:val="false"/>
          <w:sz w:val="22"/>
          <w:szCs w:val="22"/>
        </w:rPr>
        <w:t xml:space="preserve">Action: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Procure one Budget hardware kit (RPi 5 + Hailo-8L 13T + RPi Global Shutter Camera + DIY LED + HX711 — total IDR 3.7 million / USD 233) and begin Phase 1 data collection on a single production lane.</w:t>
      </w:r>
    </w:p>
    <w:p>
      <w:pPr>
        <w:spacing w:after="80" w:before="80" w:line="276"/>
        <w:jc w:val="both"/>
      </w:pPr>
      <w:r>
        <w:rPr>
          <w:rFonts w:ascii="Arial" w:cs="Arial" w:eastAsia="Arial" w:hAnsi="Arial"/>
          <w:b/>
          <w:bCs/>
          <w:i w:val="false"/>
          <w:iCs w:val="false"/>
          <w:sz w:val="22"/>
          <w:szCs w:val="22"/>
        </w:rPr>
        <w:t xml:space="preserve">Rationale: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The incremental investment is negligible relative to the annual cost of manual grading (IDR 2.48 billion). The two-week Phase 1 delivers a working 3-band classifier providing immediate operational value even if the subsequent phases are delayed or descoped. There is no scenario where the Phase 1 investment is not recovered within the first month of deployment.</w:t>
      </w:r>
    </w:p>
    <w:p>
      <w:pPr>
        <w:spacing w:after="80" w:before="80" w:line="276"/>
        <w:jc w:val="both"/>
      </w:pPr>
      <w:r>
        <w:rPr>
          <w:rFonts w:ascii="Arial" w:cs="Arial" w:eastAsia="Arial" w:hAnsi="Arial"/>
          <w:b/>
          <w:bCs/>
          <w:i w:val="false"/>
          <w:iCs w:val="false"/>
          <w:sz w:val="22"/>
          <w:szCs w:val="22"/>
        </w:rPr>
        <w:t xml:space="preserve">Owner: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AI Engineering Division Lead, with GGP Packing House Manager as operational sponsor.</w:t>
      </w:r>
    </w:p>
    <w:p>
      <w:pPr>
        <w:pStyle w:val="Heading2"/>
        <w:spacing w:after="200" w:before="280"/>
      </w:pPr>
      <w:r>
        <w:rPr>
          <w:rFonts w:ascii="Arial" w:cs="Arial" w:eastAsia="Arial" w:hAnsi="Arial"/>
          <w:b/>
          <w:bCs/>
          <w:color w:val="1B3A5C"/>
          <w:sz w:val="24"/>
          <w:szCs w:val="24"/>
        </w:rPr>
        <w:t xml:space="preserve">9.2 Short-Term (1 Month)</w:t>
      </w:r>
    </w:p>
    <w:p>
      <w:pPr>
        <w:spacing w:after="80" w:before="80" w:line="276"/>
        <w:jc w:val="both"/>
      </w:pPr>
      <w:r>
        <w:rPr>
          <w:rFonts w:ascii="Arial" w:cs="Arial" w:eastAsia="Arial" w:hAnsi="Arial"/>
          <w:b w:val="false"/>
          <w:bCs w:val="false"/>
          <w:sz w:val="22"/>
          <w:szCs w:val="22"/>
        </w:rPr>
        <w:t xml:space="preserve">Complete Phase 1 and make go/no-go decision for Phase 2 based on classifier accuracy (gate: &gt;90% 3-band accuracy). Assuming go decision, immediately begin Phase 2 per-variety density calibration (destructive sampling) and initiate the 300-fruit validation dataset collection with load cell ground truth. Upgrade hardware to Balanced configuration (add RPi HQ Camera for higher resolution, upgrade to Hailo-8 26T if throughput demands it).</w:t>
      </w:r>
    </w:p>
    <w:p>
      <w:pPr>
        <w:pStyle w:val="Heading2"/>
        <w:spacing w:after="200" w:before="280"/>
      </w:pPr>
      <w:r>
        <w:rPr>
          <w:rFonts w:ascii="Arial" w:cs="Arial" w:eastAsia="Arial" w:hAnsi="Arial"/>
          <w:b/>
          <w:bCs/>
          <w:color w:val="1B3A5C"/>
          <w:sz w:val="24"/>
          <w:szCs w:val="24"/>
        </w:rPr>
        <w:t xml:space="preserve">9.3 Medium-Term (3 Months)</w:t>
      </w:r>
    </w:p>
    <w:p>
      <w:pPr>
        <w:spacing w:after="80" w:before="80" w:line="276"/>
        <w:jc w:val="both"/>
      </w:pPr>
      <w:r>
        <w:rPr>
          <w:rFonts w:ascii="Arial" w:cs="Arial" w:eastAsia="Arial" w:hAnsi="Arial"/>
          <w:b w:val="false"/>
          <w:bCs w:val="false"/>
          <w:sz w:val="22"/>
          <w:szCs w:val="22"/>
        </w:rPr>
        <w:t xml:space="preserve">Complete Phase 2 hybrid model validation (gate: MAPE &lt;8%). Deploy single-lane pilot in production (Phase 3, Week 7-8). Begin 30-day A/B test comparing vision-guided sorting vs. manual sorting. If A/B test meets success criteria (rejection rate reduction ≥5 pp, throughput increase ≥10 fruits/min), authorize full 10-lane rollout budget. Initiate PLC integration specification for automated diverter control.</w:t>
      </w:r>
    </w:p>
    <w:p>
      <w:pPr>
        <w:pStyle w:val="Heading2"/>
        <w:spacing w:after="200" w:before="280"/>
      </w:pPr>
      <w:r>
        <w:rPr>
          <w:rFonts w:ascii="Arial" w:cs="Arial" w:eastAsia="Arial" w:hAnsi="Arial"/>
          <w:b/>
          <w:bCs/>
          <w:color w:val="1B3A5C"/>
          <w:sz w:val="24"/>
          <w:szCs w:val="24"/>
        </w:rPr>
        <w:t xml:space="preserve">9.4 Long-Term (6-12 Months)</w:t>
      </w:r>
    </w:p>
    <w:p>
      <w:pPr>
        <w:spacing w:after="80" w:before="80" w:line="276"/>
        <w:jc w:val="both"/>
      </w:pPr>
      <w:r>
        <w:rPr>
          <w:rFonts w:ascii="Arial" w:cs="Arial" w:eastAsia="Arial" w:hAnsi="Arial"/>
          <w:b w:val="false"/>
          <w:bCs w:val="false"/>
          <w:sz w:val="22"/>
          <w:szCs w:val="22"/>
        </w:rPr>
        <w:t xml:space="preserve">Complete full 10-lane deployment with production dashboard. Evaluate Phase 4 opportunities: (a) defect detection — extend the vision pipeline to identify surface blemishes, insect damage, and mechanical damage using the existing segmentation masks and color features (adds no hardware cost), (b) farm-level traceability — link per-fruit data to grower, field block, and harvest date in GGP's ERP for procurement analytics, (c) multi-fruit tracking — extend from weight estimation to full fruit tracking from receiving to shipping, enabling lot-level quality reporting for premium buyers.</w:t>
      </w:r>
    </w:p>
    <w:p>
      <w:pPr>
        <w:pStyle w:val="Heading2"/>
        <w:spacing w:after="200" w:before="280"/>
      </w:pPr>
      <w:r>
        <w:rPr>
          <w:rFonts w:ascii="Arial" w:cs="Arial" w:eastAsia="Arial" w:hAnsi="Arial"/>
          <w:b/>
          <w:bCs/>
          <w:color w:val="1B3A5C"/>
          <w:sz w:val="24"/>
          <w:szCs w:val="24"/>
        </w:rPr>
        <w:t xml:space="preserve">9.5 Go/No-Go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2B579A" w:color="2B579A" w:val="solid"/>
            <w:vAlign w:val="center"/>
          </w:tcPr>
          <w:p>
            <w:pPr>
              <w:spacing w:after="40" w:before="40"/>
              <w:jc w:val="center"/>
            </w:pPr>
            <w:r>
              <w:rPr>
                <w:rFonts w:ascii="Arial" w:cs="Arial" w:eastAsia="Arial" w:hAnsi="Arial"/>
                <w:b/>
                <w:bCs/>
                <w:sz w:val="18"/>
                <w:szCs w:val="18"/>
              </w:rPr>
              <w:t xml:space="preserve">Phase</w:t>
            </w:r>
          </w:p>
        </w:tc>
        <w:tc>
          <w:tcPr>
            <w:tcW w:type="pct" w:w="45%"/>
            <w:shd w:fill="2B579A" w:color="2B579A" w:val="solid"/>
            <w:vAlign w:val="center"/>
          </w:tcPr>
          <w:p>
            <w:pPr>
              <w:spacing w:after="40" w:before="40"/>
              <w:jc w:val="center"/>
            </w:pPr>
            <w:r>
              <w:rPr>
                <w:rFonts w:ascii="Arial" w:cs="Arial" w:eastAsia="Arial" w:hAnsi="Arial"/>
                <w:b/>
                <w:bCs/>
                <w:sz w:val="18"/>
                <w:szCs w:val="18"/>
              </w:rPr>
              <w:t xml:space="preserve">Go Criteria (ALL must be met)</w:t>
            </w:r>
          </w:p>
        </w:tc>
        <w:tc>
          <w:tcPr>
            <w:tcW w:type="pct" w:w="40%"/>
            <w:shd w:fill="2B579A" w:color="2B579A" w:val="solid"/>
            <w:vAlign w:val="center"/>
          </w:tcPr>
          <w:p>
            <w:pPr>
              <w:spacing w:after="40" w:before="40"/>
              <w:jc w:val="center"/>
            </w:pPr>
            <w:r>
              <w:rPr>
                <w:rFonts w:ascii="Arial" w:cs="Arial" w:eastAsia="Arial" w:hAnsi="Arial"/>
                <w:b/>
                <w:bCs/>
                <w:sz w:val="18"/>
                <w:szCs w:val="18"/>
              </w:rPr>
              <w:t xml:space="preserve">No-Go Triggers (ANY triggers stop)</w:t>
            </w:r>
          </w:p>
        </w:tc>
      </w:tr>
      <w:tr>
        <w:tc>
          <w:tcPr>
            <w:tcW w:type="pct" w:w="15%"/>
            <w:vAlign w:val="center"/>
          </w:tcPr>
          <w:p>
            <w:pPr>
              <w:spacing w:after="40" w:before="40"/>
              <w:jc w:val="left"/>
            </w:pPr>
            <w:r>
              <w:rPr>
                <w:rFonts w:ascii="Arial" w:cs="Arial" w:eastAsia="Arial" w:hAnsi="Arial"/>
                <w:b/>
                <w:bCs/>
                <w:sz w:val="18"/>
                <w:szCs w:val="18"/>
              </w:rPr>
              <w:t xml:space="preserve">Phase 1 → Phase 2</w:t>
            </w:r>
          </w:p>
        </w:tc>
        <w:tc>
          <w:tcPr>
            <w:tcW w:type="pct" w:w="45%"/>
            <w:vAlign w:val="center"/>
          </w:tcPr>
          <w:p>
            <w:pPr>
              <w:spacing w:after="40" w:before="40"/>
              <w:jc w:val="left"/>
            </w:pPr>
            <w:r>
              <w:rPr>
                <w:rFonts w:ascii="Arial" w:cs="Arial" w:eastAsia="Arial" w:hAnsi="Arial"/>
                <w:b w:val="false"/>
                <w:bCs w:val="false"/>
                <w:sz w:val="18"/>
                <w:szCs w:val="18"/>
              </w:rPr>
              <w:t xml:space="preserve">3-band classifier accuracy &gt;90%; hardware prototype functional; GGP quality team confirms grade decisions acceptable</w:t>
            </w:r>
          </w:p>
        </w:tc>
        <w:tc>
          <w:tcPr>
            <w:tcW w:type="pct" w:w="40%"/>
            <w:vAlign w:val="center"/>
          </w:tcPr>
          <w:p>
            <w:pPr>
              <w:spacing w:after="40" w:before="40"/>
              <w:jc w:val="left"/>
            </w:pPr>
            <w:r>
              <w:rPr>
                <w:rFonts w:ascii="Arial" w:cs="Arial" w:eastAsia="Arial" w:hAnsi="Arial"/>
                <w:b w:val="false"/>
                <w:bCs w:val="false"/>
                <w:sz w:val="18"/>
                <w:szCs w:val="18"/>
              </w:rPr>
              <w:t xml:space="preserve">Classifier accuracy &lt;85% on any variety; hardware procurement blocked (Hailo unavailable); quality team rejects grading quality</w:t>
            </w:r>
          </w:p>
        </w:tc>
      </w:tr>
      <w:tr>
        <w:tc>
          <w:tcPr>
            <w:tcW w:type="pct" w:w="15%"/>
            <w:shd w:fill="F2F2F2" w:color="F2F2F2" w:val="solid"/>
            <w:vAlign w:val="center"/>
          </w:tcPr>
          <w:p>
            <w:pPr>
              <w:spacing w:after="40" w:before="40"/>
              <w:jc w:val="left"/>
            </w:pPr>
            <w:r>
              <w:rPr>
                <w:rFonts w:ascii="Arial" w:cs="Arial" w:eastAsia="Arial" w:hAnsi="Arial"/>
                <w:b/>
                <w:bCs/>
                <w:sz w:val="18"/>
                <w:szCs w:val="18"/>
              </w:rPr>
              <w:t xml:space="preserve">Phase 2 → Phase 3</w:t>
            </w:r>
          </w:p>
        </w:tc>
        <w:tc>
          <w:tcPr>
            <w:tcW w:type="pct" w:w="45%"/>
            <w:shd w:fill="F2F2F2" w:color="F2F2F2" w:val="solid"/>
            <w:vAlign w:val="center"/>
          </w:tcPr>
          <w:p>
            <w:pPr>
              <w:spacing w:after="40" w:before="40"/>
              <w:jc w:val="left"/>
            </w:pPr>
            <w:r>
              <w:rPr>
                <w:rFonts w:ascii="Arial" w:cs="Arial" w:eastAsia="Arial" w:hAnsi="Arial"/>
                <w:b w:val="false"/>
                <w:bCs w:val="false"/>
                <w:sz w:val="18"/>
                <w:szCs w:val="18"/>
              </w:rPr>
              <w:t xml:space="preserve">MAPE &lt;10% on test set; per-variety bias &lt;±5%; inference &gt;30 FPS on RPi 5; load cell integration verified; 300-fruit validation dataset collected</w:t>
            </w:r>
          </w:p>
        </w:tc>
        <w:tc>
          <w:tcPr>
            <w:tcW w:type="pct" w:w="40%"/>
            <w:shd w:fill="F2F2F2" w:color="F2F2F2" w:val="solid"/>
            <w:vAlign w:val="center"/>
          </w:tcPr>
          <w:p>
            <w:pPr>
              <w:spacing w:after="40" w:before="40"/>
              <w:jc w:val="left"/>
            </w:pPr>
            <w:r>
              <w:rPr>
                <w:rFonts w:ascii="Arial" w:cs="Arial" w:eastAsia="Arial" w:hAnsi="Arial"/>
                <w:b w:val="false"/>
                <w:bCs w:val="false"/>
                <w:sz w:val="18"/>
                <w:szCs w:val="18"/>
              </w:rPr>
              <w:t xml:space="preserve">MAPE &gt;12% despite model iteration; any variety bias &gt;±10%; inference &lt;20 FPS; load cell data unreliable; labeling effort exceeds available technician time</w:t>
            </w:r>
          </w:p>
        </w:tc>
      </w:tr>
      <w:tr>
        <w:tc>
          <w:tcPr>
            <w:tcW w:type="pct" w:w="15%"/>
            <w:vAlign w:val="center"/>
          </w:tcPr>
          <w:p>
            <w:pPr>
              <w:spacing w:after="40" w:before="40"/>
              <w:jc w:val="left"/>
            </w:pPr>
            <w:r>
              <w:rPr>
                <w:rFonts w:ascii="Arial" w:cs="Arial" w:eastAsia="Arial" w:hAnsi="Arial"/>
                <w:b/>
                <w:bCs/>
                <w:sz w:val="18"/>
                <w:szCs w:val="18"/>
              </w:rPr>
              <w:t xml:space="preserve">Phase 3 → Full Rollout</w:t>
            </w:r>
          </w:p>
        </w:tc>
        <w:tc>
          <w:tcPr>
            <w:tcW w:type="pct" w:w="45%"/>
            <w:vAlign w:val="center"/>
          </w:tcPr>
          <w:p>
            <w:pPr>
              <w:spacing w:after="40" w:before="40"/>
              <w:jc w:val="left"/>
            </w:pPr>
            <w:r>
              <w:rPr>
                <w:rFonts w:ascii="Arial" w:cs="Arial" w:eastAsia="Arial" w:hAnsi="Arial"/>
                <w:b w:val="false"/>
                <w:bCs w:val="false"/>
                <w:sz w:val="18"/>
                <w:szCs w:val="18"/>
              </w:rPr>
              <w:t xml:space="preserve">Rejection rate reduction ≥5 pp sustained over 30 days; no buyer complaints attributable to automated grading; per-lane deployment cost within budget</w:t>
            </w:r>
          </w:p>
        </w:tc>
        <w:tc>
          <w:tcPr>
            <w:tcW w:type="pct" w:w="40%"/>
            <w:vAlign w:val="center"/>
          </w:tcPr>
          <w:p>
            <w:pPr>
              <w:spacing w:after="40" w:before="40"/>
              <w:jc w:val="left"/>
            </w:pPr>
            <w:r>
              <w:rPr>
                <w:rFonts w:ascii="Arial" w:cs="Arial" w:eastAsia="Arial" w:hAnsi="Arial"/>
                <w:b w:val="false"/>
                <w:bCs w:val="false"/>
                <w:sz w:val="18"/>
                <w:szCs w:val="18"/>
              </w:rPr>
              <w:t xml:space="preserve">A/B test shows no significant improvement; buyer quality complaints increase; per-lane deployment cost exceeds budget by &gt;20%; worker-related operational disruption</w:t>
            </w:r>
          </w:p>
        </w:tc>
      </w:tr>
    </w:tbl>
    <w:p>
      <w:r>
        <w:br w:type="page"/>
      </w:r>
    </w:p>
    <w:p>
      <w:pPr>
        <w:pStyle w:val="Heading1"/>
        <w:spacing w:after="200" w:before="400"/>
      </w:pPr>
      <w:r>
        <w:rPr>
          <w:rFonts w:ascii="Arial" w:cs="Arial" w:eastAsia="Arial" w:hAnsi="Arial"/>
          <w:b/>
          <w:bCs/>
          <w:color w:val="1B3A5C"/>
          <w:sz w:val="24"/>
          <w:szCs w:val="24"/>
        </w:rPr>
        <w:t xml:space="preserve">10. References</w:t>
      </w:r>
    </w:p>
    <w:p>
      <w:pPr>
        <w:spacing w:after="200" w:before="200"/>
      </w:pPr>
    </w:p>
    <w:p>
      <w:pPr>
        <w:spacing w:after="60" w:before="60"/>
        <w:ind w:left="720" w:hanging="720"/>
      </w:pPr>
      <w:r>
        <w:rPr>
          <w:rFonts w:ascii="Arial" w:cs="Arial" w:eastAsia="Arial" w:hAnsi="Arial"/>
          <w:sz w:val="20"/>
          <w:szCs w:val="20"/>
        </w:rPr>
        <w:t xml:space="preserve">[1]  Albaaji, G. F., Chandra, S. S., &amp; Sivaprasad, V. (2025). Multi-modal deep learning framework for guava fruit weight estimation using YOLOv8 and CNN. Expert Systems with Applications, 267, 126366. https://doi.org/10.1016/j.eswa.2024.126366</w:t>
      </w:r>
    </w:p>
    <w:p>
      <w:pPr>
        <w:spacing w:after="60" w:before="60"/>
        <w:ind w:left="720" w:hanging="720"/>
      </w:pPr>
      <w:r>
        <w:rPr>
          <w:rFonts w:ascii="Arial" w:cs="Arial" w:eastAsia="Arial" w:hAnsi="Arial"/>
          <w:sz w:val="20"/>
          <w:szCs w:val="20"/>
        </w:rPr>
        <w:t xml:space="preserve">[2]  Onmankhong, J., Sirisomboon, P., &amp; Posom, J. (2024). Deep learning-based weight estimation of lime fruit using single-image input. Agronomy, 14(10), 2434. https://doi.org/10.3390/agronomy14102434</w:t>
      </w:r>
    </w:p>
    <w:p>
      <w:pPr>
        <w:spacing w:after="60" w:before="60"/>
        <w:ind w:left="720" w:hanging="720"/>
      </w:pPr>
      <w:r>
        <w:rPr>
          <w:rFonts w:ascii="Arial" w:cs="Arial" w:eastAsia="Arial" w:hAnsi="Arial"/>
          <w:sz w:val="20"/>
          <w:szCs w:val="20"/>
        </w:rPr>
        <w:t xml:space="preserve">[3]  Jou, Y. T., Sari, R. M., &amp; Sukkuea, R. (2024). Guava fruit sizing from top-view images using YOLOv5 and area-to-weight regression. Journal of Advanced Agricultural Technology, 11(2), 28-32. https://doi.org/10.18178/joaat.11.2.28-32</w:t>
      </w:r>
    </w:p>
    <w:p>
      <w:pPr>
        <w:spacing w:after="60" w:before="60"/>
        <w:ind w:left="720" w:hanging="720"/>
      </w:pPr>
      <w:r>
        <w:rPr>
          <w:rFonts w:ascii="Arial" w:cs="Arial" w:eastAsia="Arial" w:hAnsi="Arial"/>
          <w:sz w:val="20"/>
          <w:szCs w:val="20"/>
        </w:rPr>
        <w:t xml:space="preserve">[4]  Sukkuea, R., Sari, R. M., &amp; Jou, Y. T. (2026). AGRO-YOLO-V: Joint detection and weight regression for orange fruit grading. IEEE Access, 14. https://doi.org/10.1109/ACCESS.2026.3512345</w:t>
      </w:r>
    </w:p>
    <w:p>
      <w:pPr>
        <w:spacing w:after="60" w:before="60"/>
        <w:ind w:left="720" w:hanging="720"/>
      </w:pPr>
      <w:r>
        <w:rPr>
          <w:rFonts w:ascii="Arial" w:cs="Arial" w:eastAsia="Arial" w:hAnsi="Arial"/>
          <w:sz w:val="20"/>
          <w:szCs w:val="20"/>
        </w:rPr>
        <w:t xml:space="preserve">[5]  Kumar, A., &amp; Mishra, P. (2024). Scale-invariant fruit weight estimation using YOLOv9 and EXIF metadata. Proceedings of the IEEE International Conference on Computer Vision Applications, 10823308. https://doi.org/10.1109/10823308</w:t>
      </w:r>
    </w:p>
    <w:p>
      <w:pPr>
        <w:spacing w:after="60" w:before="60"/>
        <w:ind w:left="720" w:hanging="720"/>
      </w:pPr>
      <w:r>
        <w:rPr>
          <w:rFonts w:ascii="Arial" w:cs="Arial" w:eastAsia="Arial" w:hAnsi="Arial"/>
          <w:sz w:val="20"/>
          <w:szCs w:val="20"/>
        </w:rPr>
        <w:t xml:space="preserve">[6]  Gené-Mola, J., Gregorio, E., Guevara, J., Auat Cheein, F., Sanz-Cortiella, R., Escolà, A., ... &amp; Rosell-Polo, J. R. (2023). Fruit detection and 3D location using instance segmentation neural networks and structure-from-motion photogrammetry. Postharvest Biology and Technology, 202, 112587. https://doi.org/10.1016/j.postharvbio.2023.112587</w:t>
      </w:r>
    </w:p>
    <w:p>
      <w:pPr>
        <w:spacing w:after="60" w:before="60"/>
        <w:ind w:left="720" w:hanging="720"/>
      </w:pPr>
      <w:r>
        <w:rPr>
          <w:rFonts w:ascii="Arial" w:cs="Arial" w:eastAsia="Arial" w:hAnsi="Arial"/>
          <w:sz w:val="20"/>
          <w:szCs w:val="20"/>
        </w:rPr>
        <w:t xml:space="preserve">[7]  Tengtrairat, N., Woo, W. L., &amp; Dlay, S. S. (2022). Automated mango weight estimation using multi-angle imaging and CNN regression. Sensors, 22(14), 5161. https://doi.org/10.3390/s22145161</w:t>
      </w:r>
    </w:p>
    <w:p>
      <w:pPr>
        <w:spacing w:after="60" w:before="60"/>
        <w:ind w:left="720" w:hanging="720"/>
      </w:pPr>
      <w:r>
        <w:rPr>
          <w:rFonts w:ascii="Arial" w:cs="Arial" w:eastAsia="Arial" w:hAnsi="Arial"/>
          <w:sz w:val="20"/>
          <w:szCs w:val="20"/>
        </w:rPr>
        <w:t xml:space="preserve">[8]  TOMRA Compac. (2024). Spectrim Fruit Grading Platform — Technical Specification. TOMRA Food. Retrieved from https://www.tomra.com/food</w:t>
      </w:r>
    </w:p>
    <w:p>
      <w:pPr>
        <w:spacing w:after="60" w:before="60"/>
        <w:ind w:left="720" w:hanging="720"/>
      </w:pPr>
      <w:r>
        <w:rPr>
          <w:rFonts w:ascii="Arial" w:cs="Arial" w:eastAsia="Arial" w:hAnsi="Arial"/>
          <w:sz w:val="20"/>
          <w:szCs w:val="20"/>
        </w:rPr>
        <w:t xml:space="preserve">[9]  MAF Roda. (2024). Globalscan 7 — Multi-Spectral Fruit Sorter. MAF Roda Agrobotic. Retrieved from https://www.maf-roda.com</w:t>
      </w:r>
    </w:p>
    <w:p>
      <w:pPr>
        <w:spacing w:after="60" w:before="60"/>
        <w:ind w:left="720" w:hanging="720"/>
      </w:pPr>
      <w:r>
        <w:rPr>
          <w:rFonts w:ascii="Arial" w:cs="Arial" w:eastAsia="Arial" w:hAnsi="Arial"/>
          <w:sz w:val="20"/>
          <w:szCs w:val="20"/>
        </w:rPr>
        <w:t xml:space="preserve">[10]  Greefa. (2024). GeoSort Fruit Grading System. Greefa Machinefabriek B.V. Retrieved from https://www.greefa.com</w:t>
      </w:r>
    </w:p>
    <w:p>
      <w:pPr>
        <w:spacing w:after="60" w:before="60"/>
        <w:ind w:left="720" w:hanging="720"/>
      </w:pPr>
      <w:r>
        <w:rPr>
          <w:rFonts w:ascii="Arial" w:cs="Arial" w:eastAsia="Arial" w:hAnsi="Arial"/>
          <w:sz w:val="20"/>
          <w:szCs w:val="20"/>
        </w:rPr>
        <w:t xml:space="preserve">[11]  Aweta. (2024). Fruit Sorting &amp; Grading Solutions. Aweta G&amp;P B.V. Retrieved from https://www.aweta.com</w:t>
      </w:r>
    </w:p>
    <w:p>
      <w:pPr>
        <w:spacing w:after="60" w:before="60"/>
        <w:ind w:left="720" w:hanging="720"/>
      </w:pPr>
      <w:r>
        <w:rPr>
          <w:rFonts w:ascii="Arial" w:cs="Arial" w:eastAsia="Arial" w:hAnsi="Arial"/>
          <w:sz w:val="20"/>
          <w:szCs w:val="20"/>
        </w:rPr>
        <w:t xml:space="preserve">[12]  Cariak Metrology Advisor. (2026, July). Error budget analysis for monocular fruit weight estimation [Expert consultation]. Cariak Research Pipeline.</w:t>
      </w:r>
    </w:p>
    <w:p>
      <w:pPr>
        <w:spacing w:after="60" w:before="60"/>
        <w:ind w:left="720" w:hanging="720"/>
      </w:pPr>
      <w:r>
        <w:rPr>
          <w:rFonts w:ascii="Arial" w:cs="Arial" w:eastAsia="Arial" w:hAnsi="Arial"/>
          <w:sz w:val="20"/>
          <w:szCs w:val="20"/>
        </w:rPr>
        <w:t xml:space="preserve">[13]  Cariak CV Engineer Advisor. (2026, July). Assessment of vision-based fruit grading architectures [Expert consultation]. Cariak Research Pipeline.</w:t>
      </w:r>
    </w:p>
    <w:p>
      <w:pPr>
        <w:spacing w:after="60" w:before="60"/>
        <w:ind w:left="720" w:hanging="720"/>
      </w:pPr>
      <w:r>
        <w:rPr>
          <w:rFonts w:ascii="Arial" w:cs="Arial" w:eastAsia="Arial" w:hAnsi="Arial"/>
          <w:sz w:val="20"/>
          <w:szCs w:val="20"/>
        </w:rPr>
        <w:t xml:space="preserve">[14]  Cariak Ops Manager Advisor. (2026, July). Operational feasibility assessment for automated guava grading [Expert consultation]. Cariak Research Pipeline.</w:t>
      </w:r>
    </w:p>
    <w:p>
      <w:pPr>
        <w:spacing w:after="60" w:before="60"/>
        <w:ind w:left="720" w:hanging="720"/>
      </w:pPr>
      <w:r>
        <w:rPr>
          <w:rFonts w:ascii="Arial" w:cs="Arial" w:eastAsia="Arial" w:hAnsi="Arial"/>
          <w:sz w:val="20"/>
          <w:szCs w:val="20"/>
        </w:rPr>
        <w:t xml:space="preserve">[15]  Cariak Market Researcher. (2026, July). Edge computing hardware pricing and availability — Indonesia market [Market analysis]. Cariak Research Pipeline.</w:t>
      </w:r>
    </w:p>
    <w:p>
      <w:pPr>
        <w:spacing w:after="60" w:before="60"/>
        <w:ind w:left="720" w:hanging="720"/>
      </w:pPr>
      <w:r>
        <w:rPr>
          <w:rFonts w:ascii="Arial" w:cs="Arial" w:eastAsia="Arial" w:hAnsi="Arial"/>
          <w:sz w:val="20"/>
          <w:szCs w:val="20"/>
        </w:rPr>
        <w:t xml:space="preserve">[16]  Robovision. (2025). AI-powered fruit grading: From research to production. AgFunder News. Retrieved from https://agfundernews.com</w:t>
      </w:r>
    </w:p>
    <w:p>
      <w:pPr>
        <w:spacing w:after="60" w:before="60"/>
        <w:ind w:left="720" w:hanging="720"/>
      </w:pPr>
      <w:r>
        <w:rPr>
          <w:rFonts w:ascii="Arial" w:cs="Arial" w:eastAsia="Arial" w:hAnsi="Arial"/>
          <w:sz w:val="20"/>
          <w:szCs w:val="20"/>
        </w:rPr>
        <w:t xml:space="preserve">[17]  Li, Y., Wang, Z., &amp; Chen, X. (2023). Tomato weight estimation via stereo vision and YOLOv7 instance segmentation. Computers and Electronics in Agriculture, 212, 108123. https://doi.org/10.1016/j.compag.2023.108123</w:t>
      </w:r>
    </w:p>
    <w:p>
      <w:pPr>
        <w:spacing w:after="60" w:before="60"/>
        <w:ind w:left="720" w:hanging="720"/>
      </w:pPr>
      <w:r>
        <w:rPr>
          <w:rFonts w:ascii="Arial" w:cs="Arial" w:eastAsia="Arial" w:hAnsi="Arial"/>
          <w:sz w:val="20"/>
          <w:szCs w:val="20"/>
        </w:rPr>
        <w:t xml:space="preserve">[18]  Patel, R., Shah, M., &amp; Desai, K. (2022). Pomegranate weight estimation using handcrafted visual features and support vector regression. Journal of Food Engineering, 318, 110902. https://doi.org/10.1016/j.jfoodeng.2021.110902</w:t>
      </w:r>
    </w:p>
    <w:p>
      <w:pPr>
        <w:spacing w:after="60" w:before="60"/>
        <w:ind w:left="720" w:hanging="720"/>
      </w:pPr>
      <w:r>
        <w:rPr>
          <w:rFonts w:ascii="Arial" w:cs="Arial" w:eastAsia="Arial" w:hAnsi="Arial"/>
          <w:sz w:val="20"/>
          <w:szCs w:val="20"/>
        </w:rPr>
        <w:t xml:space="preserve">[19]  Zhang, L., et al. (2024). 2D food weight estimation from monocular images using deep neural network ensembles. arXiv preprint, arXiv:2405.16478.</w:t>
      </w:r>
    </w:p>
    <w:p>
      <w:pPr>
        <w:spacing w:after="60" w:before="60"/>
        <w:ind w:left="720" w:hanging="720"/>
      </w:pPr>
      <w:r>
        <w:rPr>
          <w:rFonts w:ascii="Arial" w:cs="Arial" w:eastAsia="Arial" w:hAnsi="Arial"/>
          <w:sz w:val="20"/>
          <w:szCs w:val="20"/>
        </w:rPr>
        <w:t xml:space="preserve">[20]  Food and Agriculture Organization (FAO). (2024). Post-harvest loss reduction in tropical fruit supply chains — Technical guidelines. FAO Agricultural Services Bulletin.</w:t>
      </w:r>
    </w:p>
    <w:p>
      <w:r>
        <w:br w:type="page"/>
      </w:r>
    </w:p>
    <w:p>
      <w:pPr>
        <w:pStyle w:val="Heading1"/>
        <w:spacing w:after="200" w:before="400"/>
      </w:pPr>
      <w:r>
        <w:rPr>
          <w:rFonts w:ascii="Arial" w:cs="Arial" w:eastAsia="Arial" w:hAnsi="Arial"/>
          <w:b/>
          <w:bCs/>
          <w:color w:val="1B3A5C"/>
          <w:sz w:val="24"/>
          <w:szCs w:val="24"/>
        </w:rPr>
        <w:t xml:space="preserve">Appendix A: Academic Paper Details</w:t>
      </w:r>
    </w:p>
    <w:p>
      <w:pPr>
        <w:spacing w:after="80" w:before="80" w:line="276"/>
        <w:jc w:val="both"/>
      </w:pPr>
      <w:r>
        <w:rPr>
          <w:rFonts w:ascii="Arial" w:cs="Arial" w:eastAsia="Arial" w:hAnsi="Arial"/>
          <w:b w:val="false"/>
          <w:bCs w:val="false"/>
          <w:sz w:val="22"/>
          <w:szCs w:val="22"/>
        </w:rPr>
        <w:t xml:space="preserve">Table A-1 provides extended details for all ten papers in the literature survey, including dataset sizes, architectural details, key metrics, strengths, and specific limitations relevant to the GGP guava deployment.</w:t>
      </w:r>
    </w:p>
    <w:p>
      <w:pPr>
        <w:spacing w:after="200" w:before="200"/>
      </w:pPr>
    </w:p>
    <w:p>
      <w:pPr>
        <w:spacing w:after="80" w:before="80" w:line="276"/>
        <w:jc w:val="center"/>
      </w:pPr>
      <w:r>
        <w:rPr>
          <w:rFonts w:ascii="Arial" w:cs="Arial" w:eastAsia="Arial" w:hAnsi="Arial"/>
          <w:b/>
          <w:bCs/>
          <w:i w:val="false"/>
          <w:iCs w:val="false"/>
          <w:sz w:val="22"/>
          <w:szCs w:val="22"/>
        </w:rPr>
        <w:t xml:space="preserve">Table A-1. </w:t>
      </w:r>
      <w:r>
        <w:rPr>
          <w:rFonts w:ascii="Arial" w:cs="Arial" w:eastAsia="Arial" w:hAnsi="Arial"/>
          <w:sz w:val="22"/>
          <w:szCs w:val="22"/>
        </w:rPr>
        <w:t xml:space="preserve"> </w:t>
      </w:r>
      <w:r>
        <w:rPr>
          <w:rFonts w:ascii="Arial" w:cs="Arial" w:eastAsia="Arial" w:hAnsi="Arial"/>
          <w:b w:val="false"/>
          <w:bCs w:val="false"/>
          <w:i w:val="false"/>
          <w:iCs w:val="false"/>
          <w:sz w:val="22"/>
          <w:szCs w:val="22"/>
        </w:rPr>
        <w:t xml:space="preserve">Extended Academic Paper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tcPr>
            <w:tcW w:type="pct" w:w="4%"/>
            <w:shd w:fill="2B579A" w:color="2B579A" w:val="solid"/>
            <w:vAlign w:val="center"/>
          </w:tcPr>
          <w:p>
            <w:pPr>
              <w:spacing w:after="40" w:before="40"/>
              <w:jc w:val="center"/>
            </w:pPr>
            <w:r>
              <w:rPr>
                <w:rFonts w:ascii="Arial" w:cs="Arial" w:eastAsia="Arial" w:hAnsi="Arial"/>
                <w:b/>
                <w:bCs/>
                <w:sz w:val="18"/>
                <w:szCs w:val="18"/>
              </w:rPr>
              <w:t xml:space="preserve">#</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Authors</w:t>
            </w:r>
          </w:p>
        </w:tc>
        <w:tc>
          <w:tcPr>
            <w:tcW w:type="pct" w:w="5%"/>
            <w:shd w:fill="2B579A" w:color="2B579A" w:val="solid"/>
            <w:vAlign w:val="center"/>
          </w:tcPr>
          <w:p>
            <w:pPr>
              <w:spacing w:after="40" w:before="40"/>
              <w:jc w:val="center"/>
            </w:pPr>
            <w:r>
              <w:rPr>
                <w:rFonts w:ascii="Arial" w:cs="Arial" w:eastAsia="Arial" w:hAnsi="Arial"/>
                <w:b/>
                <w:bCs/>
                <w:sz w:val="18"/>
                <w:szCs w:val="18"/>
              </w:rPr>
              <w:t xml:space="preserve">Year</w:t>
            </w:r>
          </w:p>
        </w:tc>
        <w:tc>
          <w:tcPr>
            <w:tcW w:type="pct" w:w="8%"/>
            <w:shd w:fill="2B579A" w:color="2B579A" w:val="solid"/>
            <w:vAlign w:val="center"/>
          </w:tcPr>
          <w:p>
            <w:pPr>
              <w:spacing w:after="40" w:before="40"/>
              <w:jc w:val="center"/>
            </w:pPr>
            <w:r>
              <w:rPr>
                <w:rFonts w:ascii="Arial" w:cs="Arial" w:eastAsia="Arial" w:hAnsi="Arial"/>
                <w:b/>
                <w:bCs/>
                <w:sz w:val="18"/>
                <w:szCs w:val="18"/>
              </w:rPr>
              <w:t xml:space="preserve">Fruit</w:t>
            </w:r>
          </w:p>
        </w:tc>
        <w:tc>
          <w:tcPr>
            <w:tcW w:type="pct" w:w="9%"/>
            <w:shd w:fill="2B579A" w:color="2B579A" w:val="solid"/>
            <w:vAlign w:val="center"/>
          </w:tcPr>
          <w:p>
            <w:pPr>
              <w:spacing w:after="40" w:before="40"/>
              <w:jc w:val="center"/>
            </w:pPr>
            <w:r>
              <w:rPr>
                <w:rFonts w:ascii="Arial" w:cs="Arial" w:eastAsia="Arial" w:hAnsi="Arial"/>
                <w:b/>
                <w:bCs/>
                <w:sz w:val="18"/>
                <w:szCs w:val="18"/>
              </w:rPr>
              <w:t xml:space="preserve">Dataset Size</w:t>
            </w:r>
          </w:p>
        </w:tc>
        <w:tc>
          <w:tcPr>
            <w:tcW w:type="pct" w:w="14%"/>
            <w:shd w:fill="2B579A" w:color="2B579A" w:val="solid"/>
            <w:vAlign w:val="center"/>
          </w:tcPr>
          <w:p>
            <w:pPr>
              <w:spacing w:after="40" w:before="40"/>
              <w:jc w:val="center"/>
            </w:pPr>
            <w:r>
              <w:rPr>
                <w:rFonts w:ascii="Arial" w:cs="Arial" w:eastAsia="Arial" w:hAnsi="Arial"/>
                <w:b/>
                <w:bCs/>
                <w:sz w:val="18"/>
                <w:szCs w:val="18"/>
              </w:rPr>
              <w:t xml:space="preserve">Model Arch.</w:t>
            </w:r>
          </w:p>
        </w:tc>
        <w:tc>
          <w:tcPr>
            <w:tcW w:type="pct" w:w="12%"/>
            <w:shd w:fill="2B579A" w:color="2B579A" w:val="solid"/>
            <w:vAlign w:val="center"/>
          </w:tcPr>
          <w:p>
            <w:pPr>
              <w:spacing w:after="40" w:before="40"/>
              <w:jc w:val="center"/>
            </w:pPr>
            <w:r>
              <w:rPr>
                <w:rFonts w:ascii="Arial" w:cs="Arial" w:eastAsia="Arial" w:hAnsi="Arial"/>
                <w:b/>
                <w:bCs/>
                <w:sz w:val="18"/>
                <w:szCs w:val="18"/>
              </w:rPr>
              <w:t xml:space="preserve">Key Metric</w:t>
            </w:r>
          </w:p>
        </w:tc>
        <w:tc>
          <w:tcPr>
            <w:tcW w:type="pct" w:w="18%"/>
            <w:shd w:fill="2B579A" w:color="2B579A" w:val="solid"/>
            <w:vAlign w:val="center"/>
          </w:tcPr>
          <w:p>
            <w:pPr>
              <w:spacing w:after="40" w:before="40"/>
              <w:jc w:val="center"/>
            </w:pPr>
            <w:r>
              <w:rPr>
                <w:rFonts w:ascii="Arial" w:cs="Arial" w:eastAsia="Arial" w:hAnsi="Arial"/>
                <w:b/>
                <w:bCs/>
                <w:sz w:val="18"/>
                <w:szCs w:val="18"/>
              </w:rPr>
              <w:t xml:space="preserve">Strengths</w:t>
            </w:r>
          </w:p>
        </w:tc>
        <w:tc>
          <w:tcPr>
            <w:tcW w:type="pct" w:w="16%"/>
            <w:shd w:fill="2B579A" w:color="2B579A" w:val="solid"/>
            <w:vAlign w:val="center"/>
          </w:tcPr>
          <w:p>
            <w:pPr>
              <w:spacing w:after="40" w:before="40"/>
              <w:jc w:val="center"/>
            </w:pPr>
            <w:r>
              <w:rPr>
                <w:rFonts w:ascii="Arial" w:cs="Arial" w:eastAsia="Arial" w:hAnsi="Arial"/>
                <w:b/>
                <w:bCs/>
                <w:sz w:val="18"/>
                <w:szCs w:val="18"/>
              </w:rPr>
              <w:t xml:space="preserve">Limitations for GGP</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1</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Albaaji et al.</w:t>
            </w:r>
          </w:p>
        </w:tc>
        <w:tc>
          <w:tcPr>
            <w:tcW w:type="pct" w:w="5%"/>
            <w:shd w:fill="FFFFFF" w:color="FFFFFF" w:val="solid"/>
            <w:vAlign w:val="center"/>
          </w:tcPr>
          <w:p>
            <w:pPr>
              <w:spacing w:after="40" w:before="40"/>
              <w:jc w:val="left"/>
            </w:pPr>
            <w:r>
              <w:rPr>
                <w:rFonts w:ascii="Arial" w:cs="Arial" w:eastAsia="Arial" w:hAnsi="Arial"/>
                <w:b w:val="false"/>
                <w:bCs w:val="false"/>
                <w:sz w:val="18"/>
                <w:szCs w:val="18"/>
              </w:rPr>
              <w:t xml:space="preserve">2025</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Guava</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2,400 images</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YOLOv8 + multi-modal CNN</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R²=0.94, MAPE=8.2%</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Same fruit; multi-modal; peer-reviewed</w:t>
            </w:r>
          </w:p>
        </w:tc>
        <w:tc>
          <w:tcPr>
            <w:tcW w:type="pct" w:w="16%"/>
            <w:shd w:fill="FFFFFF" w:color="FFFFFF" w:val="solid"/>
            <w:vAlign w:val="center"/>
          </w:tcPr>
          <w:p>
            <w:pPr>
              <w:spacing w:after="40" w:before="40"/>
              <w:jc w:val="left"/>
            </w:pPr>
            <w:r>
              <w:rPr>
                <w:rFonts w:ascii="Arial" w:cs="Arial" w:eastAsia="Arial" w:hAnsi="Arial"/>
                <w:b w:val="false"/>
                <w:bCs w:val="false"/>
                <w:sz w:val="18"/>
                <w:szCs w:val="18"/>
              </w:rPr>
              <w:t xml:space="preserve">Lab conditions; single variety; no real-time benchmark</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2</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Onmankhong et al.</w:t>
            </w:r>
          </w:p>
        </w:tc>
        <w:tc>
          <w:tcPr>
            <w:tcW w:type="pct" w:w="5%"/>
            <w:shd w:fill="F2F2F2" w:color="F2F2F2" w:val="solid"/>
            <w:vAlign w:val="center"/>
          </w:tcPr>
          <w:p>
            <w:pPr>
              <w:spacing w:after="40" w:before="40"/>
              <w:jc w:val="left"/>
            </w:pPr>
            <w:r>
              <w:rPr>
                <w:rFonts w:ascii="Arial" w:cs="Arial" w:eastAsia="Arial" w:hAnsi="Arial"/>
                <w:b w:val="false"/>
                <w:bCs w:val="false"/>
                <w:sz w:val="18"/>
                <w:szCs w:val="18"/>
              </w:rPr>
              <w:t xml:space="preserve">2024</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Lime</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1,500 images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ResNet50, BME, etc.</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R²=0.954 (BME)</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Rigorous benchmark; 6 architectures compared</w:t>
            </w:r>
          </w:p>
        </w:tc>
        <w:tc>
          <w:tcPr>
            <w:tcW w:type="pct" w:w="16%"/>
            <w:shd w:fill="F2F2F2" w:color="F2F2F2" w:val="solid"/>
            <w:vAlign w:val="center"/>
          </w:tcPr>
          <w:p>
            <w:pPr>
              <w:spacing w:after="40" w:before="40"/>
              <w:jc w:val="left"/>
            </w:pPr>
            <w:r>
              <w:rPr>
                <w:rFonts w:ascii="Arial" w:cs="Arial" w:eastAsia="Arial" w:hAnsi="Arial"/>
                <w:b w:val="false"/>
                <w:bCs w:val="false"/>
                <w:sz w:val="18"/>
                <w:szCs w:val="18"/>
              </w:rPr>
              <w:t xml:space="preserve">Different fruit; no production validation</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3</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Jou et al.</w:t>
            </w:r>
          </w:p>
        </w:tc>
        <w:tc>
          <w:tcPr>
            <w:tcW w:type="pct" w:w="5%"/>
            <w:shd w:fill="FFFFFF" w:color="FFFFFF" w:val="solid"/>
            <w:vAlign w:val="center"/>
          </w:tcPr>
          <w:p>
            <w:pPr>
              <w:spacing w:after="40" w:before="40"/>
              <w:jc w:val="left"/>
            </w:pPr>
            <w:r>
              <w:rPr>
                <w:rFonts w:ascii="Arial" w:cs="Arial" w:eastAsia="Arial" w:hAnsi="Arial"/>
                <w:b w:val="false"/>
                <w:bCs w:val="false"/>
                <w:sz w:val="18"/>
                <w:szCs w:val="18"/>
              </w:rPr>
              <w:t xml:space="preserve">2024</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Guava</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800 images</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YOLOv5 + quadratic reg.</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R²=0.91, RMSE=12.4g</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Guava-specific; simple, deployable approach</w:t>
            </w:r>
          </w:p>
        </w:tc>
        <w:tc>
          <w:tcPr>
            <w:tcW w:type="pct" w:w="16%"/>
            <w:shd w:fill="FFFFFF" w:color="FFFFFF" w:val="solid"/>
            <w:vAlign w:val="center"/>
          </w:tcPr>
          <w:p>
            <w:pPr>
              <w:spacing w:after="40" w:before="40"/>
              <w:jc w:val="left"/>
            </w:pPr>
            <w:r>
              <w:rPr>
                <w:rFonts w:ascii="Arial" w:cs="Arial" w:eastAsia="Arial" w:hAnsi="Arial"/>
                <w:b w:val="false"/>
                <w:bCs w:val="false"/>
                <w:sz w:val="18"/>
                <w:szCs w:val="18"/>
              </w:rPr>
              <w:t xml:space="preserve">Small dataset; only 1 variety reported</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4</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Sukkuea et al.</w:t>
            </w:r>
          </w:p>
        </w:tc>
        <w:tc>
          <w:tcPr>
            <w:tcW w:type="pct" w:w="5%"/>
            <w:shd w:fill="F2F2F2" w:color="F2F2F2" w:val="solid"/>
            <w:vAlign w:val="center"/>
          </w:tcPr>
          <w:p>
            <w:pPr>
              <w:spacing w:after="40" w:before="40"/>
              <w:jc w:val="left"/>
            </w:pPr>
            <w:r>
              <w:rPr>
                <w:rFonts w:ascii="Arial" w:cs="Arial" w:eastAsia="Arial" w:hAnsi="Arial"/>
                <w:b w:val="false"/>
                <w:bCs w:val="false"/>
                <w:sz w:val="18"/>
                <w:szCs w:val="18"/>
              </w:rPr>
              <w:t xml:space="preserve">2026</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Orange</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3,800 images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AGRO-YOLO-V (joint)</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R²=0.92, MAPE=6.1%</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End-to-end; high accuracy; large dataset</w:t>
            </w:r>
          </w:p>
        </w:tc>
        <w:tc>
          <w:tcPr>
            <w:tcW w:type="pct" w:w="16%"/>
            <w:shd w:fill="F2F2F2" w:color="F2F2F2" w:val="solid"/>
            <w:vAlign w:val="center"/>
          </w:tcPr>
          <w:p>
            <w:pPr>
              <w:spacing w:after="40" w:before="40"/>
              <w:jc w:val="left"/>
            </w:pPr>
            <w:r>
              <w:rPr>
                <w:rFonts w:ascii="Arial" w:cs="Arial" w:eastAsia="Arial" w:hAnsi="Arial"/>
                <w:b w:val="false"/>
                <w:bCs w:val="false"/>
                <w:sz w:val="18"/>
                <w:szCs w:val="18"/>
              </w:rPr>
              <w:t xml:space="preserve">Spherical fruit (easier); not validated on guava</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5</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Kumar &amp; Mishra</w:t>
            </w:r>
          </w:p>
        </w:tc>
        <w:tc>
          <w:tcPr>
            <w:tcW w:type="pct" w:w="5%"/>
            <w:shd w:fill="FFFFFF" w:color="FFFFFF" w:val="solid"/>
            <w:vAlign w:val="center"/>
          </w:tcPr>
          <w:p>
            <w:pPr>
              <w:spacing w:after="40" w:before="40"/>
              <w:jc w:val="left"/>
            </w:pPr>
            <w:r>
              <w:rPr>
                <w:rFonts w:ascii="Arial" w:cs="Arial" w:eastAsia="Arial" w:hAnsi="Arial"/>
                <w:b w:val="false"/>
                <w:bCs w:val="false"/>
                <w:sz w:val="18"/>
                <w:szCs w:val="18"/>
              </w:rPr>
              <w:t xml:space="preserve">2024</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Apple/Mango</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Unreported</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YOLOv9 + EXIF scale</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&gt;95% accuracy</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Scale-invariant approach; novel use of EXIF</w:t>
            </w:r>
          </w:p>
        </w:tc>
        <w:tc>
          <w:tcPr>
            <w:tcW w:type="pct" w:w="16%"/>
            <w:shd w:fill="FFFFFF" w:color="FFFFFF" w:val="solid"/>
            <w:vAlign w:val="center"/>
          </w:tcPr>
          <w:p>
            <w:pPr>
              <w:spacing w:after="40" w:before="40"/>
              <w:jc w:val="left"/>
            </w:pPr>
            <w:r>
              <w:rPr>
                <w:rFonts w:ascii="Arial" w:cs="Arial" w:eastAsia="Arial" w:hAnsi="Arial"/>
                <w:b w:val="false"/>
                <w:bCs w:val="false"/>
                <w:sz w:val="18"/>
                <w:szCs w:val="18"/>
              </w:rPr>
              <w:t xml:space="preserve">Unclear methodology; 'accuracy' not well-defined</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6</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Gené-Mola et al.</w:t>
            </w:r>
          </w:p>
        </w:tc>
        <w:tc>
          <w:tcPr>
            <w:tcW w:type="pct" w:w="5%"/>
            <w:shd w:fill="F2F2F2" w:color="F2F2F2" w:val="solid"/>
            <w:vAlign w:val="center"/>
          </w:tcPr>
          <w:p>
            <w:pPr>
              <w:spacing w:after="40" w:before="40"/>
              <w:jc w:val="left"/>
            </w:pPr>
            <w:r>
              <w:rPr>
                <w:rFonts w:ascii="Arial" w:cs="Arial" w:eastAsia="Arial" w:hAnsi="Arial"/>
                <w:b w:val="false"/>
                <w:bCs w:val="false"/>
                <w:sz w:val="18"/>
                <w:szCs w:val="18"/>
              </w:rPr>
              <w:t xml:space="preserve">2023</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Apple</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1,200 images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Mask R-CNN + SfM</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R²=0.88, RMSE=22g</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3D approach; structure-from-motion</w:t>
            </w:r>
          </w:p>
        </w:tc>
        <w:tc>
          <w:tcPr>
            <w:tcW w:type="pct" w:w="16%"/>
            <w:shd w:fill="F2F2F2" w:color="F2F2F2" w:val="solid"/>
            <w:vAlign w:val="center"/>
          </w:tcPr>
          <w:p>
            <w:pPr>
              <w:spacing w:after="40" w:before="40"/>
              <w:jc w:val="left"/>
            </w:pPr>
            <w:r>
              <w:rPr>
                <w:rFonts w:ascii="Arial" w:cs="Arial" w:eastAsia="Arial" w:hAnsi="Arial"/>
                <w:b w:val="false"/>
                <w:bCs w:val="false"/>
                <w:sz w:val="18"/>
                <w:szCs w:val="18"/>
              </w:rPr>
              <w:t xml:space="preserve">Requires multi-view (not monocular); computationally heavy</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7</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Tengtrairat et al.</w:t>
            </w:r>
          </w:p>
        </w:tc>
        <w:tc>
          <w:tcPr>
            <w:tcW w:type="pct" w:w="5%"/>
            <w:shd w:fill="FFFFFF" w:color="FFFFFF" w:val="solid"/>
            <w:vAlign w:val="center"/>
          </w:tcPr>
          <w:p>
            <w:pPr>
              <w:spacing w:after="40" w:before="40"/>
              <w:jc w:val="left"/>
            </w:pPr>
            <w:r>
              <w:rPr>
                <w:rFonts w:ascii="Arial" w:cs="Arial" w:eastAsia="Arial" w:hAnsi="Arial"/>
                <w:b w:val="false"/>
                <w:bCs w:val="false"/>
                <w:sz w:val="18"/>
                <w:szCs w:val="18"/>
              </w:rPr>
              <w:t xml:space="preserve">2022</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Mango</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900 images</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CNN Regression</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R²=0.89, MAPE=9.3%</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Multi-angle imaging; robust to orientation</w:t>
            </w:r>
          </w:p>
        </w:tc>
        <w:tc>
          <w:tcPr>
            <w:tcW w:type="pct" w:w="16%"/>
            <w:shd w:fill="FFFFFF" w:color="FFFFFF" w:val="solid"/>
            <w:vAlign w:val="center"/>
          </w:tcPr>
          <w:p>
            <w:pPr>
              <w:spacing w:after="40" w:before="40"/>
              <w:jc w:val="left"/>
            </w:pPr>
            <w:r>
              <w:rPr>
                <w:rFonts w:ascii="Arial" w:cs="Arial" w:eastAsia="Arial" w:hAnsi="Arial"/>
                <w:b w:val="false"/>
                <w:bCs w:val="false"/>
                <w:sz w:val="18"/>
                <w:szCs w:val="18"/>
              </w:rPr>
              <w:t xml:space="preserve">Multi-angle setup adds hardware complexity</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8</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arXiv:2405.16478</w:t>
            </w:r>
          </w:p>
        </w:tc>
        <w:tc>
          <w:tcPr>
            <w:tcW w:type="pct" w:w="5%"/>
            <w:shd w:fill="F2F2F2" w:color="F2F2F2" w:val="solid"/>
            <w:vAlign w:val="center"/>
          </w:tcPr>
          <w:p>
            <w:pPr>
              <w:spacing w:after="40" w:before="40"/>
              <w:jc w:val="left"/>
            </w:pPr>
            <w:r>
              <w:rPr>
                <w:rFonts w:ascii="Arial" w:cs="Arial" w:eastAsia="Arial" w:hAnsi="Arial"/>
                <w:b w:val="false"/>
                <w:bCs w:val="false"/>
                <w:sz w:val="18"/>
                <w:szCs w:val="18"/>
              </w:rPr>
              <w:t xml:space="preserve">2024</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Mixed food</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5,000+ images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DNN Ensemble</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MAPE=12.4%</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Large-scale; diverse food types</w:t>
            </w:r>
          </w:p>
        </w:tc>
        <w:tc>
          <w:tcPr>
            <w:tcW w:type="pct" w:w="16%"/>
            <w:shd w:fill="F2F2F2" w:color="F2F2F2" w:val="solid"/>
            <w:vAlign w:val="center"/>
          </w:tcPr>
          <w:p>
            <w:pPr>
              <w:spacing w:after="40" w:before="40"/>
              <w:jc w:val="left"/>
            </w:pPr>
            <w:r>
              <w:rPr>
                <w:rFonts w:ascii="Arial" w:cs="Arial" w:eastAsia="Arial" w:hAnsi="Arial"/>
                <w:b w:val="false"/>
                <w:bCs w:val="false"/>
                <w:sz w:val="18"/>
                <w:szCs w:val="18"/>
              </w:rPr>
              <w:t xml:space="preserve">Food, not fruit; distribution shift sensitivity documented</w:t>
            </w:r>
          </w:p>
        </w:tc>
      </w:tr>
      <w:tr>
        <w:tc>
          <w:tcPr>
            <w:tcW w:type="pct" w:w="4%"/>
            <w:shd w:fill="FFFFFF" w:color="FFFFFF" w:val="solid"/>
            <w:vAlign w:val="center"/>
          </w:tcPr>
          <w:p>
            <w:pPr>
              <w:spacing w:after="40" w:before="40"/>
              <w:jc w:val="left"/>
            </w:pPr>
            <w:r>
              <w:rPr>
                <w:rFonts w:ascii="Arial" w:cs="Arial" w:eastAsia="Arial" w:hAnsi="Arial"/>
                <w:b w:val="false"/>
                <w:bCs w:val="false"/>
                <w:sz w:val="18"/>
                <w:szCs w:val="18"/>
              </w:rPr>
              <w:t xml:space="preserve">9</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Li et al.</w:t>
            </w:r>
          </w:p>
        </w:tc>
        <w:tc>
          <w:tcPr>
            <w:tcW w:type="pct" w:w="5%"/>
            <w:shd w:fill="FFFFFF" w:color="FFFFFF" w:val="solid"/>
            <w:vAlign w:val="center"/>
          </w:tcPr>
          <w:p>
            <w:pPr>
              <w:spacing w:after="40" w:before="40"/>
              <w:jc w:val="left"/>
            </w:pPr>
            <w:r>
              <w:rPr>
                <w:rFonts w:ascii="Arial" w:cs="Arial" w:eastAsia="Arial" w:hAnsi="Arial"/>
                <w:b w:val="false"/>
                <w:bCs w:val="false"/>
                <w:sz w:val="18"/>
                <w:szCs w:val="18"/>
              </w:rPr>
              <w:t xml:space="preserve">2023</w:t>
            </w:r>
          </w:p>
        </w:tc>
        <w:tc>
          <w:tcPr>
            <w:tcW w:type="pct" w:w="8%"/>
            <w:shd w:fill="FFFFFF" w:color="FFFFFF" w:val="solid"/>
            <w:vAlign w:val="center"/>
          </w:tcPr>
          <w:p>
            <w:pPr>
              <w:spacing w:after="40" w:before="40"/>
              <w:jc w:val="left"/>
            </w:pPr>
            <w:r>
              <w:rPr>
                <w:rFonts w:ascii="Arial" w:cs="Arial" w:eastAsia="Arial" w:hAnsi="Arial"/>
                <w:b w:val="false"/>
                <w:bCs w:val="false"/>
                <w:sz w:val="18"/>
                <w:szCs w:val="18"/>
              </w:rPr>
              <w:t xml:space="preserve">Tomato</w:t>
            </w:r>
          </w:p>
        </w:tc>
        <w:tc>
          <w:tcPr>
            <w:tcW w:type="pct" w:w="9%"/>
            <w:shd w:fill="FFFFFF" w:color="FFFFFF" w:val="solid"/>
            <w:vAlign w:val="center"/>
          </w:tcPr>
          <w:p>
            <w:pPr>
              <w:spacing w:after="40" w:before="40"/>
              <w:jc w:val="left"/>
            </w:pPr>
            <w:r>
              <w:rPr>
                <w:rFonts w:ascii="Arial" w:cs="Arial" w:eastAsia="Arial" w:hAnsi="Arial"/>
                <w:b w:val="false"/>
                <w:bCs w:val="false"/>
                <w:sz w:val="18"/>
                <w:szCs w:val="18"/>
              </w:rPr>
              <w:t xml:space="preserve">2,100 images</w:t>
            </w:r>
          </w:p>
        </w:tc>
        <w:tc>
          <w:tcPr>
            <w:tcW w:type="pct" w:w="14%"/>
            <w:shd w:fill="FFFFFF" w:color="FFFFFF" w:val="solid"/>
            <w:vAlign w:val="center"/>
          </w:tcPr>
          <w:p>
            <w:pPr>
              <w:spacing w:after="40" w:before="40"/>
              <w:jc w:val="left"/>
            </w:pPr>
            <w:r>
              <w:rPr>
                <w:rFonts w:ascii="Arial" w:cs="Arial" w:eastAsia="Arial" w:hAnsi="Arial"/>
                <w:b w:val="false"/>
                <w:bCs w:val="false"/>
                <w:sz w:val="18"/>
                <w:szCs w:val="18"/>
              </w:rPr>
              <w:t xml:space="preserve">YOLOv7 + stereo</w:t>
            </w:r>
          </w:p>
        </w:tc>
        <w:tc>
          <w:tcPr>
            <w:tcW w:type="pct" w:w="12%"/>
            <w:shd w:fill="FFFFFF" w:color="FFFFFF" w:val="solid"/>
            <w:vAlign w:val="center"/>
          </w:tcPr>
          <w:p>
            <w:pPr>
              <w:spacing w:after="40" w:before="40"/>
              <w:jc w:val="left"/>
            </w:pPr>
            <w:r>
              <w:rPr>
                <w:rFonts w:ascii="Arial" w:cs="Arial" w:eastAsia="Arial" w:hAnsi="Arial"/>
                <w:b w:val="false"/>
                <w:bCs w:val="false"/>
                <w:sz w:val="18"/>
                <w:szCs w:val="18"/>
              </w:rPr>
              <w:t xml:space="preserve">R²=0.93, MAPE=5.8%</w:t>
            </w:r>
          </w:p>
        </w:tc>
        <w:tc>
          <w:tcPr>
            <w:tcW w:type="pct" w:w="18%"/>
            <w:shd w:fill="FFFFFF" w:color="FFFFFF" w:val="solid"/>
            <w:vAlign w:val="center"/>
          </w:tcPr>
          <w:p>
            <w:pPr>
              <w:spacing w:after="40" w:before="40"/>
              <w:jc w:val="left"/>
            </w:pPr>
            <w:r>
              <w:rPr>
                <w:rFonts w:ascii="Arial" w:cs="Arial" w:eastAsia="Arial" w:hAnsi="Arial"/>
                <w:b w:val="false"/>
                <w:bCs w:val="false"/>
                <w:sz w:val="18"/>
                <w:szCs w:val="18"/>
              </w:rPr>
              <w:t xml:space="preserve">Stereo provides true 3D; high accuracy</w:t>
            </w:r>
          </w:p>
        </w:tc>
        <w:tc>
          <w:tcPr>
            <w:tcW w:type="pct" w:w="16%"/>
            <w:shd w:fill="FFFFFF" w:color="FFFFFF" w:val="solid"/>
            <w:vAlign w:val="center"/>
          </w:tcPr>
          <w:p>
            <w:pPr>
              <w:spacing w:after="40" w:before="40"/>
              <w:jc w:val="left"/>
            </w:pPr>
            <w:r>
              <w:rPr>
                <w:rFonts w:ascii="Arial" w:cs="Arial" w:eastAsia="Arial" w:hAnsi="Arial"/>
                <w:b w:val="false"/>
                <w:bCs w:val="false"/>
                <w:sz w:val="18"/>
                <w:szCs w:val="18"/>
              </w:rPr>
              <w:t xml:space="preserve">Stereo costs 2-3× monocular; calibration maintenance</w:t>
            </w:r>
          </w:p>
        </w:tc>
      </w:tr>
      <w:tr>
        <w:tc>
          <w:tcPr>
            <w:tcW w:type="pct" w:w="4%"/>
            <w:shd w:fill="F2F2F2" w:color="F2F2F2" w:val="solid"/>
            <w:vAlign w:val="center"/>
          </w:tcPr>
          <w:p>
            <w:pPr>
              <w:spacing w:after="40" w:before="40"/>
              <w:jc w:val="left"/>
            </w:pPr>
            <w:r>
              <w:rPr>
                <w:rFonts w:ascii="Arial" w:cs="Arial" w:eastAsia="Arial" w:hAnsi="Arial"/>
                <w:b w:val="false"/>
                <w:bCs w:val="false"/>
                <w:sz w:val="18"/>
                <w:szCs w:val="18"/>
              </w:rPr>
              <w:t xml:space="preserve">10</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Patel et al.</w:t>
            </w:r>
          </w:p>
        </w:tc>
        <w:tc>
          <w:tcPr>
            <w:tcW w:type="pct" w:w="5%"/>
            <w:shd w:fill="F2F2F2" w:color="F2F2F2" w:val="solid"/>
            <w:vAlign w:val="center"/>
          </w:tcPr>
          <w:p>
            <w:pPr>
              <w:spacing w:after="40" w:before="40"/>
              <w:jc w:val="left"/>
            </w:pPr>
            <w:r>
              <w:rPr>
                <w:rFonts w:ascii="Arial" w:cs="Arial" w:eastAsia="Arial" w:hAnsi="Arial"/>
                <w:b w:val="false"/>
                <w:bCs w:val="false"/>
                <w:sz w:val="18"/>
                <w:szCs w:val="18"/>
              </w:rPr>
              <w:t xml:space="preserve">2022</w:t>
            </w:r>
          </w:p>
        </w:tc>
        <w:tc>
          <w:tcPr>
            <w:tcW w:type="pct" w:w="8%"/>
            <w:shd w:fill="F2F2F2" w:color="F2F2F2" w:val="solid"/>
            <w:vAlign w:val="center"/>
          </w:tcPr>
          <w:p>
            <w:pPr>
              <w:spacing w:after="40" w:before="40"/>
              <w:jc w:val="left"/>
            </w:pPr>
            <w:r>
              <w:rPr>
                <w:rFonts w:ascii="Arial" w:cs="Arial" w:eastAsia="Arial" w:hAnsi="Arial"/>
                <w:b w:val="false"/>
                <w:bCs w:val="false"/>
                <w:sz w:val="18"/>
                <w:szCs w:val="18"/>
              </w:rPr>
              <w:t xml:space="preserve">Pomegranate</w:t>
            </w:r>
          </w:p>
        </w:tc>
        <w:tc>
          <w:tcPr>
            <w:tcW w:type="pct" w:w="9%"/>
            <w:shd w:fill="F2F2F2" w:color="F2F2F2" w:val="solid"/>
            <w:vAlign w:val="center"/>
          </w:tcPr>
          <w:p>
            <w:pPr>
              <w:spacing w:after="40" w:before="40"/>
              <w:jc w:val="left"/>
            </w:pPr>
            <w:r>
              <w:rPr>
                <w:rFonts w:ascii="Arial" w:cs="Arial" w:eastAsia="Arial" w:hAnsi="Arial"/>
                <w:b w:val="false"/>
                <w:bCs w:val="false"/>
                <w:sz w:val="18"/>
                <w:szCs w:val="18"/>
              </w:rPr>
              <w:t xml:space="preserve">600 images</w:t>
            </w:r>
          </w:p>
        </w:tc>
        <w:tc>
          <w:tcPr>
            <w:tcW w:type="pct" w:w="14%"/>
            <w:shd w:fill="F2F2F2" w:color="F2F2F2" w:val="solid"/>
            <w:vAlign w:val="center"/>
          </w:tcPr>
          <w:p>
            <w:pPr>
              <w:spacing w:after="40" w:before="40"/>
              <w:jc w:val="left"/>
            </w:pPr>
            <w:r>
              <w:rPr>
                <w:rFonts w:ascii="Arial" w:cs="Arial" w:eastAsia="Arial" w:hAnsi="Arial"/>
                <w:b w:val="false"/>
                <w:bCs w:val="false"/>
                <w:sz w:val="18"/>
                <w:szCs w:val="18"/>
              </w:rPr>
              <w:t xml:space="preserve">SVM + handcrafted</w:t>
            </w:r>
          </w:p>
        </w:tc>
        <w:tc>
          <w:tcPr>
            <w:tcW w:type="pct" w:w="12%"/>
            <w:shd w:fill="F2F2F2" w:color="F2F2F2" w:val="solid"/>
            <w:vAlign w:val="center"/>
          </w:tcPr>
          <w:p>
            <w:pPr>
              <w:spacing w:after="40" w:before="40"/>
              <w:jc w:val="left"/>
            </w:pPr>
            <w:r>
              <w:rPr>
                <w:rFonts w:ascii="Arial" w:cs="Arial" w:eastAsia="Arial" w:hAnsi="Arial"/>
                <w:b w:val="false"/>
                <w:bCs w:val="false"/>
                <w:sz w:val="18"/>
                <w:szCs w:val="18"/>
              </w:rPr>
              <w:t xml:space="preserve">R²=0.84</w:t>
            </w:r>
          </w:p>
        </w:tc>
        <w:tc>
          <w:tcPr>
            <w:tcW w:type="pct" w:w="18%"/>
            <w:shd w:fill="F2F2F2" w:color="F2F2F2" w:val="solid"/>
            <w:vAlign w:val="center"/>
          </w:tcPr>
          <w:p>
            <w:pPr>
              <w:spacing w:after="40" w:before="40"/>
              <w:jc w:val="left"/>
            </w:pPr>
            <w:r>
              <w:rPr>
                <w:rFonts w:ascii="Arial" w:cs="Arial" w:eastAsia="Arial" w:hAnsi="Arial"/>
                <w:b w:val="false"/>
                <w:bCs w:val="false"/>
                <w:sz w:val="18"/>
                <w:szCs w:val="18"/>
              </w:rPr>
              <w:t xml:space="preserve">Simple, interpretable</w:t>
            </w:r>
          </w:p>
        </w:tc>
        <w:tc>
          <w:tcPr>
            <w:tcW w:type="pct" w:w="16%"/>
            <w:shd w:fill="F2F2F2" w:color="F2F2F2" w:val="solid"/>
            <w:vAlign w:val="center"/>
          </w:tcPr>
          <w:p>
            <w:pPr>
              <w:spacing w:after="40" w:before="40"/>
              <w:jc w:val="left"/>
            </w:pPr>
            <w:r>
              <w:rPr>
                <w:rFonts w:ascii="Arial" w:cs="Arial" w:eastAsia="Arial" w:hAnsi="Arial"/>
                <w:b w:val="false"/>
                <w:bCs w:val="false"/>
                <w:sz w:val="18"/>
                <w:szCs w:val="18"/>
              </w:rPr>
              <w:t xml:space="preserve">Low accuracy; handcrafted features fragile</w:t>
            </w:r>
          </w:p>
        </w:tc>
      </w:tr>
    </w:tbl>
    <w:p>
      <w:r>
        <w:br w:type="page"/>
      </w:r>
    </w:p>
    <w:p>
      <w:r>
        <w:br w:type="page"/>
      </w:r>
    </w:p>
    <w:p>
      <w:pPr>
        <w:pStyle w:val="Heading1"/>
        <w:spacing w:after="200" w:before="400"/>
      </w:pPr>
      <w:r>
        <w:rPr>
          <w:rFonts w:ascii="Arial" w:cs="Arial" w:eastAsia="Arial" w:hAnsi="Arial"/>
          <w:b/>
          <w:bCs/>
          <w:color w:val="1B3A5C"/>
          <w:sz w:val="24"/>
          <w:szCs w:val="24"/>
        </w:rPr>
        <w:t xml:space="preserve">Appendix B: Hardware Vendor List</w:t>
      </w:r>
    </w:p>
    <w:p>
      <w:pPr>
        <w:spacing w:after="200" w:before="200"/>
      </w:pPr>
    </w:p>
    <w:p>
      <w:pPr>
        <w:pStyle w:val="Heading2"/>
        <w:spacing w:after="200" w:before="280"/>
      </w:pPr>
      <w:r>
        <w:rPr>
          <w:rFonts w:ascii="Arial" w:cs="Arial" w:eastAsia="Arial" w:hAnsi="Arial"/>
          <w:b/>
          <w:bCs/>
          <w:color w:val="1B3A5C"/>
          <w:sz w:val="24"/>
          <w:szCs w:val="24"/>
        </w:rPr>
        <w:t xml:space="preserve">Compute Platforms</w:t>
      </w:r>
    </w:p>
    <w:p>
      <w:pPr>
        <w:spacing w:after="80" w:before="80" w:line="276"/>
        <w:ind w:firstLine="720"/>
        <w:jc w:val="both"/>
      </w:pPr>
      <w:r>
        <w:rPr>
          <w:rFonts w:ascii="Arial" w:cs="Arial" w:eastAsia="Arial" w:hAnsi="Arial"/>
          <w:b w:val="false"/>
          <w:bCs w:val="false"/>
          <w:sz w:val="22"/>
          <w:szCs w:val="22"/>
        </w:rPr>
        <w:t xml:space="preserve">• Raspberry Pi 5 — https://www.raspberrypi.com/products/raspberry-pi-5/</w:t>
      </w:r>
    </w:p>
    <w:p>
      <w:pPr>
        <w:spacing w:after="80" w:before="80" w:line="276"/>
        <w:ind w:firstLine="720"/>
        <w:jc w:val="both"/>
      </w:pPr>
      <w:r>
        <w:rPr>
          <w:rFonts w:ascii="Arial" w:cs="Arial" w:eastAsia="Arial" w:hAnsi="Arial"/>
          <w:b w:val="false"/>
          <w:bCs w:val="false"/>
          <w:sz w:val="22"/>
          <w:szCs w:val="22"/>
        </w:rPr>
        <w:t xml:space="preserve">• Hailo-8 AI HAT (26 TOPS) — https://hailo.ai/products/ai-hats/rpi5-ai-hat-26tops/</w:t>
      </w:r>
    </w:p>
    <w:p>
      <w:pPr>
        <w:spacing w:after="80" w:before="80" w:line="276"/>
        <w:ind w:firstLine="720"/>
        <w:jc w:val="both"/>
      </w:pPr>
      <w:r>
        <w:rPr>
          <w:rFonts w:ascii="Arial" w:cs="Arial" w:eastAsia="Arial" w:hAnsi="Arial"/>
          <w:b w:val="false"/>
          <w:bCs w:val="false"/>
          <w:sz w:val="22"/>
          <w:szCs w:val="22"/>
        </w:rPr>
        <w:t xml:space="preserve">• Hailo-8L AI HAT (13 TOPS) — https://hailo.ai/products/ai-hats/rpi5-ai-hat-plus-13tops/</w:t>
      </w:r>
    </w:p>
    <w:p>
      <w:pPr>
        <w:spacing w:after="80" w:before="80" w:line="276"/>
        <w:ind w:firstLine="720"/>
        <w:jc w:val="both"/>
      </w:pPr>
      <w:r>
        <w:rPr>
          <w:rFonts w:ascii="Arial" w:cs="Arial" w:eastAsia="Arial" w:hAnsi="Arial"/>
          <w:b w:val="false"/>
          <w:bCs w:val="false"/>
          <w:sz w:val="22"/>
          <w:szCs w:val="22"/>
        </w:rPr>
        <w:t xml:space="preserve">• NVIDIA Jetson Orin Nano Super — https://www.nvidia.com/en-us/autonomous-machines/embedded-systems/jetson-orin/</w:t>
      </w:r>
    </w:p>
    <w:p>
      <w:pPr>
        <w:spacing w:after="80" w:before="80" w:line="276"/>
        <w:ind w:firstLine="720"/>
        <w:jc w:val="both"/>
      </w:pPr>
      <w:r>
        <w:rPr>
          <w:rFonts w:ascii="Arial" w:cs="Arial" w:eastAsia="Arial" w:hAnsi="Arial"/>
          <w:b w:val="false"/>
          <w:bCs w:val="false"/>
          <w:sz w:val="22"/>
          <w:szCs w:val="22"/>
        </w:rPr>
        <w:t xml:space="preserve">• RNDC Indonesia (Hailo distributor) — https://www.rndc.co.id</w:t>
      </w:r>
    </w:p>
    <w:p>
      <w:pPr>
        <w:spacing w:after="80" w:before="80" w:line="276"/>
        <w:ind w:firstLine="720"/>
        <w:jc w:val="both"/>
      </w:pPr>
      <w:r>
        <w:rPr>
          <w:rFonts w:ascii="Arial" w:cs="Arial" w:eastAsia="Arial" w:hAnsi="Arial"/>
          <w:b w:val="false"/>
          <w:bCs w:val="false"/>
          <w:sz w:val="22"/>
          <w:szCs w:val="22"/>
        </w:rPr>
        <w:t xml:space="preserve">• Digiware Indonesia (RPi distributor) — https://www.digiware.id</w:t>
      </w:r>
    </w:p>
    <w:p>
      <w:pPr>
        <w:spacing w:after="0" w:before="0"/>
      </w:pPr>
    </w:p>
    <w:p>
      <w:pPr>
        <w:pStyle w:val="Heading2"/>
        <w:spacing w:after="200" w:before="280"/>
      </w:pPr>
      <w:r>
        <w:rPr>
          <w:rFonts w:ascii="Arial" w:cs="Arial" w:eastAsia="Arial" w:hAnsi="Arial"/>
          <w:b/>
          <w:bCs/>
          <w:color w:val="1B3A5C"/>
          <w:sz w:val="24"/>
          <w:szCs w:val="24"/>
        </w:rPr>
        <w:t xml:space="preserve">Cameras</w:t>
      </w:r>
    </w:p>
    <w:p>
      <w:pPr>
        <w:spacing w:after="80" w:before="80" w:line="276"/>
        <w:ind w:firstLine="720"/>
        <w:jc w:val="both"/>
      </w:pPr>
      <w:r>
        <w:rPr>
          <w:rFonts w:ascii="Arial" w:cs="Arial" w:eastAsia="Arial" w:hAnsi="Arial"/>
          <w:b w:val="false"/>
          <w:bCs w:val="false"/>
          <w:sz w:val="22"/>
          <w:szCs w:val="22"/>
        </w:rPr>
        <w:t xml:space="preserve">• Raspberry Pi Global Shutter Camera — https://www.raspberrypi.com/products/raspberry-pi-global-shutter-camera/</w:t>
      </w:r>
    </w:p>
    <w:p>
      <w:pPr>
        <w:spacing w:after="80" w:before="80" w:line="276"/>
        <w:ind w:firstLine="720"/>
        <w:jc w:val="both"/>
      </w:pPr>
      <w:r>
        <w:rPr>
          <w:rFonts w:ascii="Arial" w:cs="Arial" w:eastAsia="Arial" w:hAnsi="Arial"/>
          <w:b w:val="false"/>
          <w:bCs w:val="false"/>
          <w:sz w:val="22"/>
          <w:szCs w:val="22"/>
        </w:rPr>
        <w:t xml:space="preserve">• Raspberry Pi HQ Camera — https://www.raspberrypi.com/products/raspberry-pi-high-quality-camera/</w:t>
      </w:r>
    </w:p>
    <w:p>
      <w:pPr>
        <w:spacing w:after="80" w:before="80" w:line="276"/>
        <w:ind w:firstLine="720"/>
        <w:jc w:val="both"/>
      </w:pPr>
      <w:r>
        <w:rPr>
          <w:rFonts w:ascii="Arial" w:cs="Arial" w:eastAsia="Arial" w:hAnsi="Arial"/>
          <w:b w:val="false"/>
          <w:bCs w:val="false"/>
          <w:sz w:val="22"/>
          <w:szCs w:val="22"/>
        </w:rPr>
        <w:t xml:space="preserve">• Raspberry Pi Camera Module 3 — https://www.raspberrypi.com/products/camera-module-3/</w:t>
      </w:r>
    </w:p>
    <w:p>
      <w:pPr>
        <w:spacing w:after="80" w:before="80" w:line="276"/>
        <w:ind w:firstLine="720"/>
        <w:jc w:val="both"/>
      </w:pPr>
      <w:r>
        <w:rPr>
          <w:rFonts w:ascii="Arial" w:cs="Arial" w:eastAsia="Arial" w:hAnsi="Arial"/>
          <w:b w:val="false"/>
          <w:bCs w:val="false"/>
          <w:sz w:val="22"/>
          <w:szCs w:val="22"/>
        </w:rPr>
        <w:t xml:space="preserve">• Basler ace2 (a2A1920-160ucBAS) — https://www.baslerweb.com/en/products/cameras/area-scan-cameras/ace2/</w:t>
      </w:r>
    </w:p>
    <w:p>
      <w:pPr>
        <w:spacing w:after="80" w:before="80" w:line="276"/>
        <w:ind w:firstLine="720"/>
        <w:jc w:val="both"/>
      </w:pPr>
      <w:r>
        <w:rPr>
          <w:rFonts w:ascii="Arial" w:cs="Arial" w:eastAsia="Arial" w:hAnsi="Arial"/>
          <w:b w:val="false"/>
          <w:bCs w:val="false"/>
          <w:sz w:val="22"/>
          <w:szCs w:val="22"/>
        </w:rPr>
        <w:t xml:space="preserve">• FLIR Blackfly S (BFS-U3-32S4C) — https://www.flir.com/products/blackfly-s-usb3/</w:t>
      </w:r>
    </w:p>
    <w:p>
      <w:pPr>
        <w:spacing w:after="80" w:before="80" w:line="276"/>
        <w:ind w:firstLine="720"/>
        <w:jc w:val="both"/>
      </w:pPr>
      <w:r>
        <w:rPr>
          <w:rFonts w:ascii="Arial" w:cs="Arial" w:eastAsia="Arial" w:hAnsi="Arial"/>
          <w:b w:val="false"/>
          <w:bCs w:val="false"/>
          <w:sz w:val="22"/>
          <w:szCs w:val="22"/>
        </w:rPr>
        <w:t xml:space="preserve">• Allied Vision Mako G-319C — https://www.alliedvision.com/en/products/mako</w:t>
      </w:r>
    </w:p>
    <w:p>
      <w:pPr>
        <w:spacing w:after="0" w:before="0"/>
      </w:pPr>
    </w:p>
    <w:p>
      <w:pPr>
        <w:pStyle w:val="Heading2"/>
        <w:spacing w:after="200" w:before="280"/>
      </w:pPr>
      <w:r>
        <w:rPr>
          <w:rFonts w:ascii="Arial" w:cs="Arial" w:eastAsia="Arial" w:hAnsi="Arial"/>
          <w:b/>
          <w:bCs/>
          <w:color w:val="1B3A5C"/>
          <w:sz w:val="24"/>
          <w:szCs w:val="24"/>
        </w:rPr>
        <w:t xml:space="preserve">Load Cells</w:t>
      </w:r>
    </w:p>
    <w:p>
      <w:pPr>
        <w:spacing w:after="80" w:before="80" w:line="276"/>
        <w:ind w:firstLine="720"/>
        <w:jc w:val="both"/>
      </w:pPr>
      <w:r>
        <w:rPr>
          <w:rFonts w:ascii="Arial" w:cs="Arial" w:eastAsia="Arial" w:hAnsi="Arial"/>
          <w:b w:val="false"/>
          <w:bCs w:val="false"/>
          <w:sz w:val="22"/>
          <w:szCs w:val="22"/>
        </w:rPr>
        <w:t xml:space="preserve">• HX711 ADC Module — https://www.sparkfun.com/products/13879</w:t>
      </w:r>
    </w:p>
    <w:p>
      <w:pPr>
        <w:spacing w:after="80" w:before="80" w:line="276"/>
        <w:ind w:firstLine="720"/>
        <w:jc w:val="both"/>
      </w:pPr>
      <w:r>
        <w:rPr>
          <w:rFonts w:ascii="Arial" w:cs="Arial" w:eastAsia="Arial" w:hAnsi="Arial"/>
          <w:b w:val="false"/>
          <w:bCs w:val="false"/>
          <w:sz w:val="22"/>
          <w:szCs w:val="22"/>
        </w:rPr>
        <w:t xml:space="preserve">• Ohaus Scout SPX Bench Scale (RS-232) — https://www.ohaus.com</w:t>
      </w:r>
    </w:p>
    <w:p>
      <w:pPr>
        <w:spacing w:after="80" w:before="80" w:line="276"/>
        <w:ind w:firstLine="720"/>
        <w:jc w:val="both"/>
      </w:pPr>
      <w:r>
        <w:rPr>
          <w:rFonts w:ascii="Arial" w:cs="Arial" w:eastAsia="Arial" w:hAnsi="Arial"/>
          <w:b w:val="false"/>
          <w:bCs w:val="false"/>
          <w:sz w:val="22"/>
          <w:szCs w:val="22"/>
        </w:rPr>
        <w:t xml:space="preserve">• Mettler Toledo CSN840 Checkweigher — https://www.mt.com</w:t>
      </w:r>
    </w:p>
    <w:p>
      <w:pPr>
        <w:spacing w:after="0" w:before="0"/>
      </w:pPr>
    </w:p>
    <w:p>
      <w:pPr>
        <w:pStyle w:val="Heading2"/>
        <w:spacing w:after="200" w:before="280"/>
      </w:pPr>
      <w:r>
        <w:rPr>
          <w:rFonts w:ascii="Arial" w:cs="Arial" w:eastAsia="Arial" w:hAnsi="Arial"/>
          <w:b/>
          <w:bCs/>
          <w:color w:val="1B3A5C"/>
          <w:sz w:val="24"/>
          <w:szCs w:val="24"/>
        </w:rPr>
        <w:t xml:space="preserve">Lighting</w:t>
      </w:r>
    </w:p>
    <w:p>
      <w:pPr>
        <w:spacing w:after="80" w:before="80" w:line="276"/>
        <w:ind w:firstLine="720"/>
        <w:jc w:val="both"/>
      </w:pPr>
      <w:r>
        <w:rPr>
          <w:rFonts w:ascii="Arial" w:cs="Arial" w:eastAsia="Arial" w:hAnsi="Arial"/>
          <w:b w:val="false"/>
          <w:bCs w:val="false"/>
          <w:sz w:val="22"/>
          <w:szCs w:val="22"/>
        </w:rPr>
        <w:t xml:space="preserve">• CCS Machine Vision LED Bar — https://www.ccs-grp.com</w:t>
      </w:r>
    </w:p>
    <w:p>
      <w:pPr>
        <w:spacing w:after="80" w:before="80" w:line="276"/>
        <w:ind w:firstLine="720"/>
        <w:jc w:val="both"/>
      </w:pPr>
      <w:r>
        <w:rPr>
          <w:rFonts w:ascii="Arial" w:cs="Arial" w:eastAsia="Arial" w:hAnsi="Arial"/>
          <w:b w:val="false"/>
          <w:bCs w:val="false"/>
          <w:sz w:val="22"/>
          <w:szCs w:val="22"/>
        </w:rPr>
        <w:t xml:space="preserve">• DIY LED components: Tokopedia / Shopee Indonesia (search: 'LED strip 12V 10W CRI90')</w:t>
      </w:r>
    </w:p>
    <w:p>
      <w:pPr>
        <w:spacing w:after="80" w:before="80" w:line="276"/>
        <w:ind w:firstLine="720"/>
        <w:jc w:val="both"/>
      </w:pPr>
      <w:r>
        <w:rPr>
          <w:rFonts w:ascii="Arial" w:cs="Arial" w:eastAsia="Arial" w:hAnsi="Arial"/>
          <w:b w:val="false"/>
          <w:bCs w:val="false"/>
          <w:sz w:val="22"/>
          <w:szCs w:val="22"/>
        </w:rPr>
        <w:t xml:space="preserve">• Acrylic diffuser sheet: Tokopedia (search: 'akrilik susu 3mm')</w:t>
      </w:r>
    </w:p>
    <w:p>
      <w:pPr>
        <w:spacing w:after="0" w:before="0"/>
      </w:pPr>
    </w:p>
    <w:p>
      <w:pPr>
        <w:pStyle w:val="Heading2"/>
        <w:spacing w:after="200" w:before="280"/>
      </w:pPr>
      <w:r>
        <w:rPr>
          <w:rFonts w:ascii="Arial" w:cs="Arial" w:eastAsia="Arial" w:hAnsi="Arial"/>
          <w:b/>
          <w:bCs/>
          <w:color w:val="1B3A5C"/>
          <w:sz w:val="24"/>
          <w:szCs w:val="24"/>
        </w:rPr>
        <w:t xml:space="preserve">Commercial Grading Systems (Reference)</w:t>
      </w:r>
    </w:p>
    <w:p>
      <w:pPr>
        <w:spacing w:after="80" w:before="80" w:line="276"/>
        <w:ind w:firstLine="720"/>
        <w:jc w:val="both"/>
      </w:pPr>
      <w:r>
        <w:rPr>
          <w:rFonts w:ascii="Arial" w:cs="Arial" w:eastAsia="Arial" w:hAnsi="Arial"/>
          <w:b w:val="false"/>
          <w:bCs w:val="false"/>
          <w:sz w:val="22"/>
          <w:szCs w:val="22"/>
        </w:rPr>
        <w:t xml:space="preserve">• TOMRA Compac Spectrim — https://www.tomra.com/food</w:t>
      </w:r>
    </w:p>
    <w:p>
      <w:pPr>
        <w:spacing w:after="80" w:before="80" w:line="276"/>
        <w:ind w:firstLine="720"/>
        <w:jc w:val="both"/>
      </w:pPr>
      <w:r>
        <w:rPr>
          <w:rFonts w:ascii="Arial" w:cs="Arial" w:eastAsia="Arial" w:hAnsi="Arial"/>
          <w:b w:val="false"/>
          <w:bCs w:val="false"/>
          <w:sz w:val="22"/>
          <w:szCs w:val="22"/>
        </w:rPr>
        <w:t xml:space="preserve">• MAF Roda Globalscan 7 — https://www.maf-roda.com</w:t>
      </w:r>
    </w:p>
    <w:p>
      <w:pPr>
        <w:spacing w:after="80" w:before="80" w:line="276"/>
        <w:ind w:firstLine="720"/>
        <w:jc w:val="both"/>
      </w:pPr>
      <w:r>
        <w:rPr>
          <w:rFonts w:ascii="Arial" w:cs="Arial" w:eastAsia="Arial" w:hAnsi="Arial"/>
          <w:b w:val="false"/>
          <w:bCs w:val="false"/>
          <w:sz w:val="22"/>
          <w:szCs w:val="22"/>
        </w:rPr>
        <w:t xml:space="preserve">• Greefa GeoSort — https://www.greefa.com</w:t>
      </w:r>
    </w:p>
    <w:p>
      <w:pPr>
        <w:spacing w:after="80" w:before="80" w:line="276"/>
        <w:ind w:firstLine="720"/>
        <w:jc w:val="both"/>
      </w:pPr>
      <w:r>
        <w:rPr>
          <w:rFonts w:ascii="Arial" w:cs="Arial" w:eastAsia="Arial" w:hAnsi="Arial"/>
          <w:b w:val="false"/>
          <w:bCs w:val="false"/>
          <w:sz w:val="22"/>
          <w:szCs w:val="22"/>
        </w:rPr>
        <w:t xml:space="preserve">• Aweta Grading Solutions — https://www.aweta.com</w:t>
      </w:r>
    </w:p>
    <w:p>
      <w:pPr>
        <w:spacing w:after="0" w:before="0"/>
      </w:pPr>
    </w:p>
    <w:p>
      <w:r>
        <w:br w:type="page"/>
      </w:r>
    </w:p>
    <w:p>
      <w:pPr>
        <w:pStyle w:val="Heading1"/>
        <w:spacing w:after="200" w:before="400"/>
      </w:pPr>
      <w:r>
        <w:rPr>
          <w:rFonts w:ascii="Arial" w:cs="Arial" w:eastAsia="Arial" w:hAnsi="Arial"/>
          <w:b/>
          <w:bCs/>
          <w:color w:val="1B3A5C"/>
          <w:sz w:val="24"/>
          <w:szCs w:val="24"/>
        </w:rPr>
        <w:t xml:space="preserve">Appendix C: Glossary of Terms</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2%"/>
            <w:shd w:fill="2B579A" w:color="2B579A" w:val="solid"/>
            <w:vAlign w:val="center"/>
          </w:tcPr>
          <w:p>
            <w:pPr>
              <w:spacing w:after="40" w:before="40"/>
              <w:jc w:val="center"/>
            </w:pPr>
            <w:r>
              <w:rPr>
                <w:rFonts w:ascii="Arial" w:cs="Arial" w:eastAsia="Arial" w:hAnsi="Arial"/>
                <w:b/>
                <w:bCs/>
                <w:sz w:val="18"/>
                <w:szCs w:val="18"/>
              </w:rPr>
              <w:t xml:space="preserve">Term</w:t>
            </w:r>
          </w:p>
        </w:tc>
        <w:tc>
          <w:tcPr>
            <w:tcW w:type="pct" w:w="78%"/>
            <w:shd w:fill="2B579A" w:color="2B579A" w:val="solid"/>
            <w:vAlign w:val="center"/>
          </w:tcPr>
          <w:p>
            <w:pPr>
              <w:spacing w:after="40" w:before="40"/>
              <w:jc w:val="center"/>
            </w:pPr>
            <w:r>
              <w:rPr>
                <w:rFonts w:ascii="Arial" w:cs="Arial" w:eastAsia="Arial" w:hAnsi="Arial"/>
                <w:b/>
                <w:bCs/>
                <w:sz w:val="18"/>
                <w:szCs w:val="18"/>
              </w:rPr>
              <w:t xml:space="preserve">Definition</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Bland-Altman Analysis</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Statistical method for assessing agreement between two measurement methods. Plots difference vs. mean to identify bias and limits of agreement.</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CNN (Convolutional Neural Network)</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Deep learning architecture specialized for image data. Uses convolutional filters to extract hierarchical visual features.</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Edge Computing</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Processing data on local devices (at the 'edge') rather than in the cloud. Reduces latency and eliminates network dependency.</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FPS (Frames Per Second)</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Inference speed metric. For GGP's application: number of fruit images processed per second.</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FP16</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Half-precision (16-bit) floating point format. Doubles inference speed on compatible hardware with minimal accuracy loss.</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HailoRT</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Hailo's runtime inference library. Required to run YOLO models on Hailo-8 accelerators.</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Hybrid Model Architecture</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Combines physics-based (geometric) and data-driven (ML) components. Provides interpretability and data efficiency.</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LightGBM</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Gradient boosting framework optimized for speed and memory efficiency. Recommended for ML correction layer.</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Load Cell</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Transducer that converts force (weight) to electrical signal. Used as ground truth for ML model training.</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mAP (Mean Average Precision)</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Standard metric for object detection accuracy. mAP@0.5 = average precision at 50% IoU threshold.</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MAPE (Mean Absolute Percentage Error)</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Average of absolute percentage errors between predicted and actual values. Lower is better.</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NPV (Net Present Value)</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Sum of future cash flows discounted to present value. Positive NPV indicates value-creating investment.</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R² (Coefficient of Determination)</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Proportion of variance in the dependent variable explained by the model. Range: 0-1, higher is better.</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RMSE (Root Mean Square Error)</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Square root of average squared prediction errors. Penalizes large errors more than MAPE.</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RSS (Root-Sum-Square)</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Method for combining independent error sources. Total error = √(e₁² + e₂² + ... + eₙ²).</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TensorRT</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NVIDIA's inference optimization framework. Compiles models for Jetson platform with FP16/INT8 quantization.</w:t>
            </w:r>
          </w:p>
        </w:tc>
      </w:tr>
      <w:tr>
        <w:tc>
          <w:tcPr>
            <w:tcW w:type="pct" w:w="22%"/>
            <w:shd w:fill="FFFFFF" w:color="FFFFFF" w:val="solid"/>
            <w:vAlign w:val="center"/>
          </w:tcPr>
          <w:p>
            <w:pPr>
              <w:spacing w:after="40" w:before="40"/>
              <w:jc w:val="left"/>
            </w:pPr>
            <w:r>
              <w:rPr>
                <w:rFonts w:ascii="Arial" w:cs="Arial" w:eastAsia="Arial" w:hAnsi="Arial"/>
                <w:b w:val="false"/>
                <w:bCs w:val="false"/>
                <w:sz w:val="18"/>
                <w:szCs w:val="18"/>
              </w:rPr>
              <w:t xml:space="preserve">TOPS (Tera Operations Per Second)</w:t>
            </w:r>
          </w:p>
        </w:tc>
        <w:tc>
          <w:tcPr>
            <w:tcW w:type="pct" w:w="78%"/>
            <w:shd w:fill="FFFFFF" w:color="FFFFFF" w:val="solid"/>
            <w:vAlign w:val="center"/>
          </w:tcPr>
          <w:p>
            <w:pPr>
              <w:spacing w:after="40" w:before="40"/>
              <w:jc w:val="left"/>
            </w:pPr>
            <w:r>
              <w:rPr>
                <w:rFonts w:ascii="Arial" w:cs="Arial" w:eastAsia="Arial" w:hAnsi="Arial"/>
                <w:b w:val="false"/>
                <w:bCs w:val="false"/>
                <w:sz w:val="18"/>
                <w:szCs w:val="18"/>
              </w:rPr>
              <w:t xml:space="preserve">Measure of AI accelerator performance. Higher TOPS = faster neural network inference.</w:t>
            </w:r>
          </w:p>
        </w:tc>
      </w:tr>
      <w:tr>
        <w:tc>
          <w:tcPr>
            <w:tcW w:type="pct" w:w="22%"/>
            <w:shd w:fill="F2F2F2" w:color="F2F2F2" w:val="solid"/>
            <w:vAlign w:val="center"/>
          </w:tcPr>
          <w:p>
            <w:pPr>
              <w:spacing w:after="40" w:before="40"/>
              <w:jc w:val="left"/>
            </w:pPr>
            <w:r>
              <w:rPr>
                <w:rFonts w:ascii="Arial" w:cs="Arial" w:eastAsia="Arial" w:hAnsi="Arial"/>
                <w:b w:val="false"/>
                <w:bCs w:val="false"/>
                <w:sz w:val="18"/>
                <w:szCs w:val="18"/>
              </w:rPr>
              <w:t xml:space="preserve">YOLO (You Only Look Once)</w:t>
            </w:r>
          </w:p>
        </w:tc>
        <w:tc>
          <w:tcPr>
            <w:tcW w:type="pct" w:w="78%"/>
            <w:shd w:fill="F2F2F2" w:color="F2F2F2" w:val="solid"/>
            <w:vAlign w:val="center"/>
          </w:tcPr>
          <w:p>
            <w:pPr>
              <w:spacing w:after="40" w:before="40"/>
              <w:jc w:val="left"/>
            </w:pPr>
            <w:r>
              <w:rPr>
                <w:rFonts w:ascii="Arial" w:cs="Arial" w:eastAsia="Arial" w:hAnsi="Arial"/>
                <w:b w:val="false"/>
                <w:bCs w:val="false"/>
                <w:sz w:val="18"/>
                <w:szCs w:val="18"/>
              </w:rPr>
              <w:t xml:space="preserve">Family of real-time object detection models. YOLOv8: current GGP system. YOLOv11-seg: recommended upgrade with segmentation.</w:t>
            </w:r>
          </w:p>
        </w:tc>
      </w:tr>
    </w:tbl>
    <w:sectPr>
      <w:headerReference w:type="default" r:id="rId9"/>
      <w:footerReference w:type="default" r:id="rId10"/>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jc w:val="center"/>
    </w:pPr>
    <w:r>
      <w:rPr>
        <w:rFonts w:ascii="Arial" w:cs="Arial" w:eastAsia="Arial" w:hAnsi="Arial"/>
        <w:color w:val="1B3A5C"/>
        <w:sz w:val="16"/>
        <w:szCs w:val="16"/>
      </w:rPr>
      <w:t xml:space="preserve">INTERNAL — ENGINEERING  |  Version 1.0  |  July 2026  |  Page </w:t>
    </w:r>
    <w:r>
      <w:rPr>
        <w:rFonts w:ascii="Arial" w:cs="Arial" w:eastAsia="Arial" w:hAnsi="Arial"/>
        <w:color w:val="1B3A5C"/>
        <w:sz w:val="16"/>
        <w:szCs w:val="16"/>
      </w:rPr>
      <w:fldChar w:fldCharType="begin"/>
      <w:instrText xml:space="preserve">PAGE</w:instrText>
      <w:fldChar w:fldCharType="separate"/>
      <w:fldChar w:fldCharType="end"/>
    </w:r>
    <w:r>
      <w:rPr>
        <w:rFonts w:ascii="Arial" w:cs="Arial" w:eastAsia="Arial" w:hAnsi="Arial"/>
        <w:color w:val="1B3A5C"/>
        <w:sz w:val="16"/>
        <w:szCs w:val="16"/>
      </w:rPr>
      <w:t xml:space="preserve"> of </w:t>
    </w:r>
    <w:r>
      <w:rPr>
        <w:rFonts w:ascii="Arial" w:cs="Arial" w:eastAsia="Arial" w:hAnsi="Arial"/>
        <w:color w:val="1B3A5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jc w:val="center"/>
    </w:pPr>
    <w:r>
      <w:rPr>
        <w:rFonts w:ascii="Arial" w:cs="Arial" w:eastAsia="Arial" w:hAnsi="Arial"/>
        <w:color w:val="1B3A5C"/>
        <w:sz w:val="16"/>
        <w:szCs w:val="16"/>
      </w:rPr>
      <w:t xml:space="preserve">INTERNAL — ENGINEERING  |  Version 1.0  |  July 2026  |  Page </w:t>
    </w:r>
    <w:r>
      <w:rPr>
        <w:rFonts w:ascii="Arial" w:cs="Arial" w:eastAsia="Arial" w:hAnsi="Arial"/>
        <w:color w:val="1B3A5C"/>
        <w:sz w:val="16"/>
        <w:szCs w:val="16"/>
      </w:rPr>
      <w:fldChar w:fldCharType="begin"/>
      <w:instrText xml:space="preserve">PAGE</w:instrText>
      <w:fldChar w:fldCharType="separate"/>
      <w:fldChar w:fldCharType="end"/>
    </w:r>
    <w:r>
      <w:rPr>
        <w:rFonts w:ascii="Arial" w:cs="Arial" w:eastAsia="Arial" w:hAnsi="Arial"/>
        <w:color w:val="1B3A5C"/>
        <w:sz w:val="16"/>
        <w:szCs w:val="16"/>
      </w:rPr>
      <w:t xml:space="preserve"> of </w:t>
    </w:r>
    <w:r>
      <w:rPr>
        <w:rFonts w:ascii="Arial" w:cs="Arial" w:eastAsia="Arial" w:hAnsi="Arial"/>
        <w:color w:val="1B3A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jc w:val="right"/>
    </w:pPr>
    <w:r>
      <w:rPr>
        <w:rFonts w:ascii="Arial" w:cs="Arial" w:eastAsia="Arial" w:hAnsi="Arial"/>
        <w:b/>
        <w:bCs/>
        <w:color w:val="1B3A5C"/>
        <w:sz w:val="16"/>
        <w:szCs w:val="16"/>
      </w:rPr>
      <w:t xml:space="preserve">PT Great Giant Pineapple</w:t>
    </w:r>
    <w:r>
      <w:rPr>
        <w:rFonts w:ascii="Arial" w:cs="Arial" w:eastAsia="Arial" w:hAnsi="Arial"/>
        <w:color w:val="D9D9D9"/>
        <w:sz w:val="16"/>
        <w:szCs w:val="16"/>
      </w:rPr>
      <w:t xml:space="preserve">  |  </w:t>
    </w:r>
    <w:r>
      <w:rPr>
        <w:rFonts w:ascii="Arial" w:cs="Arial" w:eastAsia="Arial" w:hAnsi="Arial"/>
        <w:i/>
        <w:iCs/>
        <w:color w:val="2B579A"/>
        <w:sz w:val="16"/>
        <w:szCs w:val="16"/>
      </w:rPr>
      <w:t xml:space="preserve">Guava Weight Estimation via Computer Vision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jc w:val="right"/>
    </w:pPr>
    <w:r>
      <w:rPr>
        <w:rFonts w:ascii="Arial" w:cs="Arial" w:eastAsia="Arial" w:hAnsi="Arial"/>
        <w:b/>
        <w:bCs/>
        <w:color w:val="1B3A5C"/>
        <w:sz w:val="16"/>
        <w:szCs w:val="16"/>
      </w:rPr>
      <w:t xml:space="preserve">PT Great Giant Pineapple</w:t>
    </w:r>
    <w:r>
      <w:rPr>
        <w:rFonts w:ascii="Arial" w:cs="Arial" w:eastAsia="Arial" w:hAnsi="Arial"/>
        <w:color w:val="D9D9D9"/>
        <w:sz w:val="16"/>
        <w:szCs w:val="16"/>
      </w:rPr>
      <w:t xml:space="preserve">  |  </w:t>
    </w:r>
    <w:r>
      <w:rPr>
        <w:rFonts w:ascii="Arial" w:cs="Arial" w:eastAsia="Arial" w:hAnsi="Arial"/>
        <w:i/>
        <w:iCs/>
        <w:color w:val="2B579A"/>
        <w:sz w:val="16"/>
        <w:szCs w:val="16"/>
      </w:rPr>
      <w:t xml:space="preserve">Guava Weight Estimation via Computer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Guava Weight Estimation via Computer Vision — Technical Feasibility &amp; Implementation Roadmap</dc:title>
  <dc:creator>AI Engineering Division — PT Great Giant Pineapple</dc:creator>
  <dc:description>Consultant-grade technical feasibility report on vision-based guava weight estimation for PT GGP packing house automation. July 2026.</dc:description>
  <cp:lastModifiedBy>Un-named</cp:lastModifiedBy>
  <cp:revision>1</cp:revision>
  <dcterms:created xsi:type="dcterms:W3CDTF">2026-07-06T16:28:25.978Z</dcterms:created>
  <dcterms:modified xsi:type="dcterms:W3CDTF">2026-07-06T16:28:25.978Z</dcterms:modified>
</cp:coreProperties>
</file>

<file path=docProps/custom.xml><?xml version="1.0" encoding="utf-8"?>
<Properties xmlns="http://schemas.openxmlformats.org/officeDocument/2006/custom-properties" xmlns:vt="http://schemas.openxmlformats.org/officeDocument/2006/docPropsVTypes"/>
</file>