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03-07-2022</w:t>
      </w:r>
    </w:p>
    <w:p>
      <w:pPr>
        <w:pStyle w:val="FirstParagraph"/>
      </w:pPr>
      <w:r>
        <w:t xml:space="preserve">Source required code-files including loading the data</w:t>
      </w:r>
    </w:p>
    <w:bookmarkStart w:id="20" w:name="document-structure"/>
    <w:p>
      <w:pPr>
        <w:pStyle w:val="Heading1"/>
      </w:pPr>
      <w:r>
        <w:t xml:space="preserve">Document structure</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numPr>
          <w:ilvl w:val="0"/>
          <w:numId w:val="1001"/>
        </w:numPr>
        <w:pStyle w:val="Compact"/>
      </w:pPr>
      <w:r>
        <w:t xml:space="preserve">Estimation of</w:t>
      </w:r>
      <w:r>
        <w:t xml:space="preserve"> </w:t>
      </w:r>
      <m:oMath>
        <m:r>
          <m:t>β</m:t>
        </m:r>
      </m:oMath>
      <w:r>
        <w:t xml:space="preserve"> </w:t>
      </w:r>
      <w:r>
        <w:t xml:space="preserve">(transmission coefficient in birds per day) in vaccinated and unvaccinated birds using generalized linear model</w:t>
      </w:r>
      <w:r>
        <w:t xml:space="preserve"> </w:t>
      </w:r>
      <w:r>
        <w:t xml:space="preserve">reference: (Velthuis et al. 2007)</w:t>
      </w:r>
    </w:p>
    <w:p>
      <w:pPr>
        <w:pStyle w:val="FirstParagraph"/>
      </w:pPr>
      <w:r>
        <w:t xml:space="preserve">For the unvaccinated groups in the</w:t>
      </w:r>
      <w:r>
        <w:t xml:space="preserve"> </w:t>
      </w:r>
      <w:r>
        <w:t xml:space="preserve">“</w:t>
      </w:r>
      <w:r>
        <w:t xml:space="preserve">GA08</w:t>
      </w:r>
      <w:r>
        <w:t xml:space="preserve">”</w:t>
      </w:r>
      <w:r>
        <w:t xml:space="preserve"> </w:t>
      </w:r>
      <w:r>
        <w:t xml:space="preserve">strain challenged group all contact and seeder birds were positive at the first measurement.</w:t>
      </w:r>
      <w:r>
        <w:t xml:space="preserve"> </w:t>
      </w:r>
      <w:r>
        <w:t xml:space="preserve">In the vaccinated groups only a few seeders were positive, but none of the contacts.</w:t>
      </w:r>
    </w:p>
    <w:bookmarkEnd w:id="20"/>
    <w:bookmarkStart w:id="23" w:name="final-size"/>
    <w:p>
      <w:pPr>
        <w:pStyle w:val="Heading1"/>
      </w:pPr>
      <w:r>
        <w:t xml:space="preserve">Final size</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inf</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infected at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infected at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1</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7</w:t>
            </w:r>
          </w:p>
        </w:tc>
        <w:tc>
          <w:tcPr/>
          <w:p>
            <w:pPr>
              <w:pStyle w:val="Compact"/>
              <w:jc w:val="right"/>
            </w:pPr>
            <w:r>
              <w:t xml:space="preserve">3</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9</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bl>
    <w:bookmarkStart w:id="21"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0.12</w:t>
            </w:r>
          </w:p>
        </w:tc>
        <w:tc>
          <w:tcPr/>
          <w:p>
            <w:pPr>
              <w:pStyle w:val="Compact"/>
              <w:jc w:val="right"/>
            </w:pPr>
            <w:r>
              <w:t xml:space="preserve">0.01</w:t>
            </w:r>
          </w:p>
        </w:tc>
        <w:tc>
          <w:tcPr/>
          <w:p>
            <w:pPr>
              <w:pStyle w:val="Compact"/>
              <w:jc w:val="right"/>
            </w:pPr>
            <w:r>
              <w:t xml:space="preserve">0.61</w:t>
            </w:r>
          </w:p>
        </w:tc>
        <w:tc>
          <w:tcPr/>
          <w:p>
            <w:pPr>
              <w:pStyle w:val="Compact"/>
              <w:jc w:val="right"/>
            </w:pPr>
            <w:r>
              <w:t xml:space="preserve">0.01</w:t>
            </w:r>
          </w:p>
        </w:tc>
      </w:tr>
      <w:tr>
        <w:tc>
          <w:tcPr/>
          <w:p>
            <w:pPr>
              <w:pStyle w:val="Compact"/>
              <w:jc w:val="left"/>
            </w:pPr>
            <w:r>
              <w:t xml:space="preserve">No</w:t>
            </w:r>
          </w:p>
        </w:tc>
        <w:tc>
          <w:tcPr/>
          <w:p>
            <w:pPr>
              <w:pStyle w:val="Compact"/>
              <w:jc w:val="right"/>
            </w:pPr>
            <w:r>
              <w:t xml:space="preserve">3.41</w:t>
            </w:r>
          </w:p>
        </w:tc>
        <w:tc>
          <w:tcPr/>
          <w:p>
            <w:pPr>
              <w:pStyle w:val="Compact"/>
              <w:jc w:val="right"/>
            </w:pPr>
            <w:r>
              <w:t xml:space="preserve">1.63</w:t>
            </w:r>
          </w:p>
        </w:tc>
        <w:tc>
          <w:tcPr/>
          <w:p>
            <w:pPr>
              <w:pStyle w:val="Compact"/>
              <w:jc w:val="right"/>
            </w:pPr>
            <w:r>
              <w:t xml:space="preserve">7.34</w:t>
            </w:r>
          </w:p>
        </w:tc>
        <w:tc>
          <w:tcPr/>
          <w:p>
            <w:pPr>
              <w:pStyle w:val="Compact"/>
              <w:jc w:val="right"/>
            </w:pPr>
            <w:r>
              <w:t xml:space="preserve">1.00</w:t>
            </w:r>
          </w:p>
        </w:tc>
      </w:tr>
    </w:tbl>
    <w:bookmarkEnd w:id="21"/>
    <w:bookmarkStart w:id="22" w:name="X513c4da5615b54767a0557e6bf80aa2251a3346"/>
    <w:p>
      <w:pPr>
        <w:pStyle w:val="Heading2"/>
      </w:pPr>
      <m:oMath>
        <m:r>
          <m:t>R</m:t>
        </m:r>
      </m:oMath>
      <w:r>
        <w:t xml:space="preserve"> </w:t>
      </w:r>
      <w:r>
        <w:t xml:space="preserve">with final size estimation: Non excreting challenged are S</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0.54</w:t>
            </w:r>
          </w:p>
        </w:tc>
        <w:tc>
          <w:tcPr/>
          <w:p>
            <w:pPr>
              <w:pStyle w:val="Compact"/>
              <w:jc w:val="right"/>
            </w:pPr>
            <w:r>
              <w:t xml:space="preserve">0</w:t>
            </w:r>
          </w:p>
        </w:tc>
      </w:tr>
      <w:tr>
        <w:tc>
          <w:tcPr/>
          <w:p>
            <w:pPr>
              <w:pStyle w:val="Compact"/>
              <w:jc w:val="left"/>
            </w:pPr>
            <w:r>
              <w:t xml:space="preserve">No</w:t>
            </w:r>
          </w:p>
        </w:tc>
        <w:tc>
          <w:tcPr/>
          <w:p>
            <w:pPr>
              <w:pStyle w:val="Compact"/>
              <w:jc w:val="right"/>
            </w:pPr>
            <w:r>
              <w:t xml:space="preserve">3.41</w:t>
            </w:r>
          </w:p>
        </w:tc>
        <w:tc>
          <w:tcPr/>
          <w:p>
            <w:pPr>
              <w:pStyle w:val="Compact"/>
              <w:jc w:val="right"/>
            </w:pPr>
            <w:r>
              <w:t xml:space="preserve">1.63</w:t>
            </w:r>
          </w:p>
        </w:tc>
        <w:tc>
          <w:tcPr/>
          <w:p>
            <w:pPr>
              <w:pStyle w:val="Compact"/>
              <w:jc w:val="right"/>
            </w:pPr>
            <w:r>
              <w:t xml:space="preserve">7.34</w:t>
            </w:r>
          </w:p>
        </w:tc>
        <w:tc>
          <w:tcPr/>
          <w:p>
            <w:pPr>
              <w:pStyle w:val="Compact"/>
              <w:jc w:val="right"/>
            </w:pPr>
            <w:r>
              <w:t xml:space="preserve">1</w:t>
            </w:r>
          </w:p>
        </w:tc>
      </w:tr>
    </w:tbl>
    <w:bookmarkEnd w:id="22"/>
    <w:bookmarkEnd w:id="23"/>
    <w:bookmarkStart w:id="24" w:name="Xf2e41dee83423c7ce3cba4ec43ecdad78e63ed8"/>
    <w:p>
      <w:pPr>
        <w:pStyle w:val="Heading1"/>
      </w:pPr>
      <w:r>
        <w:t xml:space="preserve">Regression estimation of the transmission coefficient</w:t>
      </w:r>
    </w:p>
    <w:p>
      <w:pPr>
        <w:pStyle w:val="FirstParagraph"/>
      </w:pPr>
      <w:r>
        <w:t xml:space="preserve">Using a complementary log-log link function in a generalized linear model, the transmission coefficient (number of infected birds in one day by one infectious bird) is estimated.</w:t>
      </w:r>
    </w:p>
    <w:p>
      <w:pPr>
        <w:pStyle w:val="SourceCode"/>
      </w:pPr>
      <w:r>
        <w:rPr>
          <w:rStyle w:val="FunctionTok"/>
        </w:rPr>
        <w:t xml:space="preserve">kable</w:t>
      </w:r>
      <w:r>
        <w:rPr>
          <w:rStyle w:val="NormalTok"/>
        </w:rPr>
        <w:t xml:space="preserve">(</w:t>
      </w:r>
      <w:r>
        <w:rPr>
          <w:rStyle w:val="FunctionTok"/>
        </w:rPr>
        <w:t xml:space="preserve">cbind</w:t>
      </w:r>
      <w:r>
        <w:rPr>
          <w:rStyle w:val="NormalTok"/>
        </w:rPr>
        <w:t xml:space="preserve">(</w:t>
      </w:r>
      <w:r>
        <w:rPr>
          <w:rStyle w:val="FunctionTok"/>
        </w:rPr>
        <w:t xml:space="preserve">summary</w:t>
      </w:r>
      <w:r>
        <w:rPr>
          <w:rStyle w:val="NormalTok"/>
        </w:rPr>
        <w:t xml:space="preserve">(fit)</w:t>
      </w:r>
      <w:r>
        <w:rPr>
          <w:rStyle w:val="SpecialCharTok"/>
        </w:rPr>
        <w:t xml:space="preserve">$</w:t>
      </w:r>
      <w:r>
        <w:rPr>
          <w:rStyle w:val="NormalTok"/>
        </w:rPr>
        <w:t xml:space="preserve">coefficients, </w:t>
      </w:r>
      <w:r>
        <w:rPr>
          <w:rStyle w:val="FunctionTok"/>
        </w:rPr>
        <w:t xml:space="preserve">confint</w:t>
      </w:r>
      <w:r>
        <w:rPr>
          <w:rStyle w:val="NormalTok"/>
        </w:rPr>
        <w:t xml:space="preserve">(fit)),</w:t>
      </w:r>
      <w:r>
        <w:br/>
      </w:r>
      <w:r>
        <w:rPr>
          <w:rStyle w:val="NormalTok"/>
        </w:rPr>
        <w:t xml:space="preserve">      </w:t>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"Estimate of log(beta) using glm."</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Waiting for profiling to be done...</w:t>
      </w:r>
    </w:p>
    <w:p>
      <w:pPr>
        <w:pStyle w:val="TableCaption"/>
      </w:pPr>
      <w:r>
        <w:t xml:space="preserve">Estimate of log(beta) using glm.</w:t>
      </w:r>
    </w:p>
    <w:tbl>
      <w:tblPr>
        <w:tblStyle w:val="Table"/>
        <w:tblW w:type="pct" w:w="5000"/>
        <w:tblLook w:firstRow="1" w:lastRow="0" w:firstColumn="0" w:lastColumn="0" w:noHBand="0" w:noVBand="0" w:val="0020"/>
        <w:tblCaption w:val="Estimate of log(beta) using glm."/>
      </w:tblPr>
      <w:tblGrid>
        <w:gridCol w:w="1478"/>
        <w:gridCol w:w="950"/>
        <w:gridCol w:w="1161"/>
        <w:gridCol w:w="844"/>
        <w:gridCol w:w="2006"/>
        <w:gridCol w:w="739"/>
        <w:gridCol w:w="73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c>
          <w:tcPr/>
          <w:p>
            <w:pPr>
              <w:pStyle w:val="Compact"/>
              <w:jc w:val="right"/>
            </w:pPr>
            <w:r>
              <w:t xml:space="preserve">2.5 %</w:t>
            </w:r>
          </w:p>
        </w:tc>
        <w:tc>
          <w:tcPr/>
          <w:p>
            <w:pPr>
              <w:pStyle w:val="Compact"/>
              <w:jc w:val="right"/>
            </w:pPr>
            <w:r>
              <w:t xml:space="preserve">97.5 %</w:t>
            </w:r>
          </w:p>
        </w:tc>
      </w:tr>
      <w:tr>
        <w:tc>
          <w:tcPr/>
          <w:p>
            <w:pPr>
              <w:pStyle w:val="Compact"/>
              <w:jc w:val="left"/>
            </w:pPr>
            <w:r>
              <w:t xml:space="preserve">(Intercept)</w:t>
            </w:r>
          </w:p>
        </w:tc>
        <w:tc>
          <w:tcPr/>
          <w:p>
            <w:pPr>
              <w:pStyle w:val="Compact"/>
              <w:jc w:val="right"/>
            </w:pPr>
            <w:r>
              <w:t xml:space="preserve">0.968</w:t>
            </w:r>
          </w:p>
        </w:tc>
        <w:tc>
          <w:tcPr/>
          <w:p>
            <w:pPr>
              <w:pStyle w:val="Compact"/>
              <w:jc w:val="right"/>
            </w:pPr>
            <w:r>
              <w:t xml:space="preserve">0.296</w:t>
            </w:r>
          </w:p>
        </w:tc>
        <w:tc>
          <w:tcPr/>
          <w:p>
            <w:pPr>
              <w:pStyle w:val="Compact"/>
              <w:jc w:val="right"/>
            </w:pPr>
            <w:r>
              <w:t xml:space="preserve">3.270</w:t>
            </w:r>
          </w:p>
        </w:tc>
        <w:tc>
          <w:tcPr/>
          <w:p>
            <w:pPr>
              <w:pStyle w:val="Compact"/>
              <w:jc w:val="right"/>
            </w:pPr>
            <w:r>
              <w:t xml:space="preserve">0.001</w:t>
            </w:r>
          </w:p>
        </w:tc>
        <w:tc>
          <w:tcPr/>
          <w:p>
            <w:pPr>
              <w:pStyle w:val="Compact"/>
              <w:jc w:val="right"/>
            </w:pPr>
            <w:r>
              <w:t xml:space="preserve">0.374</w:t>
            </w:r>
          </w:p>
        </w:tc>
        <w:tc>
          <w:tcPr/>
          <w:p>
            <w:pPr>
              <w:pStyle w:val="Compact"/>
              <w:jc w:val="right"/>
            </w:pPr>
            <w:r>
              <w:t xml:space="preserve">1.530</w:t>
            </w:r>
          </w:p>
        </w:tc>
      </w:tr>
      <w:tr>
        <w:tc>
          <w:tcPr/>
          <w:p>
            <w:pPr>
              <w:pStyle w:val="Compact"/>
              <w:jc w:val="left"/>
            </w:pPr>
            <w:r>
              <w:t xml:space="preserve">VaccinatedYes</w:t>
            </w:r>
          </w:p>
        </w:tc>
        <w:tc>
          <w:tcPr/>
          <w:p>
            <w:pPr>
              <w:pStyle w:val="Compact"/>
              <w:jc w:val="right"/>
            </w:pPr>
            <w:r>
              <w:t xml:space="preserve">-5.530</w:t>
            </w:r>
          </w:p>
        </w:tc>
        <w:tc>
          <w:tcPr/>
          <w:p>
            <w:pPr>
              <w:pStyle w:val="Compact"/>
              <w:jc w:val="right"/>
            </w:pPr>
            <w:r>
              <w:t xml:space="preserve">1.043</w:t>
            </w:r>
          </w:p>
        </w:tc>
        <w:tc>
          <w:tcPr/>
          <w:p>
            <w:pPr>
              <w:pStyle w:val="Compact"/>
              <w:jc w:val="right"/>
            </w:pPr>
            <w:r>
              <w:t xml:space="preserve">-5.304</w:t>
            </w:r>
          </w:p>
        </w:tc>
        <w:tc>
          <w:tcPr/>
          <w:p>
            <w:pPr>
              <w:pStyle w:val="Compact"/>
              <w:jc w:val="right"/>
            </w:pPr>
            <w:r>
              <w:t xml:space="preserve">0.000</w:t>
            </w:r>
          </w:p>
        </w:tc>
        <w:tc>
          <w:tcPr/>
          <w:p>
            <w:pPr>
              <w:pStyle w:val="Compact"/>
              <w:jc w:val="right"/>
            </w:pPr>
            <w:r>
              <w:t xml:space="preserve">-8.435</w:t>
            </w:r>
          </w:p>
        </w:tc>
        <w:tc>
          <w:tcPr/>
          <w:p>
            <w:pPr>
              <w:pStyle w:val="Compact"/>
              <w:jc w:val="right"/>
            </w:pPr>
            <w:r>
              <w:t xml:space="preserve">-3.911</w:t>
            </w:r>
          </w:p>
        </w:tc>
      </w:tr>
    </w:tbl>
    <w:p>
      <w:pPr>
        <w:pStyle w:val="SourceCode"/>
      </w:pPr>
      <w:r>
        <w:rPr>
          <w:rStyle w:val="FunctionTok"/>
        </w:rPr>
        <w:t xml:space="preserve">kable</w:t>
      </w:r>
      <w:r>
        <w:rPr>
          <w:rStyle w:val="NormalTok"/>
        </w:rPr>
        <w:t xml:space="preserve">(</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FunctionTok"/>
        </w:rPr>
        <w:t xml:space="preserve">signif</w:t>
      </w:r>
      <w:r>
        <w:rPr>
          <w:rStyle w:val="NormalTok"/>
        </w:rPr>
        <w:t xml:space="preserve">(</w:t>
      </w:r>
      <w:r>
        <w:rPr>
          <w:rStyle w:val="FunctionTok"/>
        </w:rPr>
        <w:t xml:space="preserve">cbind</w:t>
      </w:r>
      <w:r>
        <w:rPr>
          <w:rStyle w:val="NormalTok"/>
        </w:rPr>
        <w:t xml:space="preserve">(</w:t>
      </w:r>
      <w:r>
        <w:rPr>
          <w:rStyle w:val="FunctionTok"/>
        </w:rPr>
        <w:t xml:space="preserve">exp</w:t>
      </w:r>
      <w:r>
        <w:rPr>
          <w:rStyle w:val="NormalTok"/>
        </w:rPr>
        <w:t xml:space="preserve">(</w:t>
      </w:r>
      <w:r>
        <w:rPr>
          <w:rStyle w:val="FunctionTok"/>
        </w:rPr>
        <w:t xml:space="preserve">cumsum</w:t>
      </w:r>
      <w:r>
        <w:rPr>
          <w:rStyle w:val="NormalTok"/>
        </w:rPr>
        <w:t xml:space="preserve">(</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FunctionTok"/>
        </w:rPr>
        <w:t xml:space="preserve">exp</w:t>
      </w:r>
      <w:r>
        <w:rPr>
          <w:rStyle w:val="NormalTok"/>
        </w:rPr>
        <w:t xml:space="preserve">(</w:t>
      </w:r>
      <w:r>
        <w:rPr>
          <w:rStyle w:val="FunctionTok"/>
        </w:rPr>
        <w:t xml:space="preserve">cumsum</w:t>
      </w:r>
      <w:r>
        <w:rPr>
          <w:rStyle w:val="NormalTok"/>
        </w:rPr>
        <w:t xml:space="preserve">(</w:t>
      </w:r>
      <w:r>
        <w:rPr>
          <w:rStyle w:val="FunctionTok"/>
        </w:rPr>
        <w:t xml:space="preserve">confint</w:t>
      </w:r>
      <w:r>
        <w:rPr>
          <w:rStyle w:val="NormalTok"/>
        </w:rPr>
        <w:t xml:space="preserve">(fit)[,</w:t>
      </w:r>
      <w:r>
        <w:rPr>
          <w:rStyle w:val="DecValTok"/>
        </w:rPr>
        <w:t xml:space="preserve">1</w:t>
      </w:r>
      <w:r>
        <w:rPr>
          <w:rStyle w:val="NormalTok"/>
        </w:rPr>
        <w:t xml:space="preserve">])),</w:t>
      </w:r>
      <w:r>
        <w:rPr>
          <w:rStyle w:val="FunctionTok"/>
        </w:rPr>
        <w:t xml:space="preserve">exp</w:t>
      </w:r>
      <w:r>
        <w:rPr>
          <w:rStyle w:val="NormalTok"/>
        </w:rPr>
        <w:t xml:space="preserve">(</w:t>
      </w:r>
      <w:r>
        <w:rPr>
          <w:rStyle w:val="FunctionTok"/>
        </w:rPr>
        <w:t xml:space="preserve">cumsum</w:t>
      </w:r>
      <w:r>
        <w:rPr>
          <w:rStyle w:val="NormalTok"/>
        </w:rPr>
        <w:t xml:space="preserve">(</w:t>
      </w:r>
      <w:r>
        <w:rPr>
          <w:rStyle w:val="FunctionTok"/>
        </w:rPr>
        <w:t xml:space="preserve">confint</w:t>
      </w:r>
      <w:r>
        <w:rPr>
          <w:rStyle w:val="NormalTok"/>
        </w:rPr>
        <w:t xml:space="preserve">(fit)[,</w:t>
      </w:r>
      <w:r>
        <w:rPr>
          <w:rStyle w:val="DecValTok"/>
        </w:rPr>
        <w:t xml:space="preserve">2</w:t>
      </w:r>
      <w:r>
        <w:rPr>
          <w:rStyle w:val="NormalTok"/>
        </w:rPr>
        <w:t xml:space="preserve">]))),</w:t>
      </w:r>
      <w:r>
        <w:rPr>
          <w:rStyle w:val="AttributeTok"/>
        </w:rPr>
        <w:t xml:space="preserve">digits =</w:t>
      </w:r>
      <w:r>
        <w:rPr>
          <w:rStyle w:val="DecValTok"/>
        </w:rPr>
        <w:t xml:space="preserve">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"Transform to beta"</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Waiting for profiling to be done...</w:t>
      </w:r>
      <w:r>
        <w:br/>
      </w:r>
      <w:r>
        <w:rPr>
          <w:rStyle w:val="VerbatimChar"/>
        </w:rPr>
        <w:t xml:space="preserve">## Waiting for profiling to be done...</w:t>
      </w:r>
    </w:p>
    <w:p>
      <w:pPr>
        <w:pStyle w:val="TableCaption"/>
      </w:pPr>
      <w:r>
        <w:t xml:space="preserve">Transform to beta</w:t>
      </w:r>
    </w:p>
    <w:tbl>
      <w:tblPr>
        <w:tblStyle w:val="Table"/>
        <w:tblW w:type="auto" w:w="0"/>
        <w:tblLook w:firstRow="0" w:lastRow="0" w:firstColumn="0" w:lastColumn="0" w:noHBand="0" w:noVBand="0" w:val="0000"/>
        <w:tblCaption w:val="Transform to beta"/>
      </w:tblPr>
      <w:tblGrid>
        <w:gridCol w:w="1980"/>
        <w:gridCol w:w="1980"/>
        <w:gridCol w:w="1980"/>
        <w:gridCol w:w="1980"/>
      </w:tblGrid>
      <w:tr>
        <w:tc>
          <w:tcPr/>
          <w:p>
            <w:pPr>
              <w:pStyle w:val="Compact"/>
            </w:pPr>
          </w:p>
        </w:tc>
        <w:tc>
          <w:tcPr/>
          <w:p>
            <w:pPr>
              <w:pStyle w:val="Compact"/>
              <w:jc w:val="left"/>
            </w:pPr>
            <w:r>
              <w:t xml:space="preserve">Estimate</w:t>
            </w:r>
          </w:p>
        </w:tc>
        <w:tc>
          <w:tcPr/>
          <w:p>
            <w:pPr>
              <w:pStyle w:val="Compact"/>
              <w:jc w:val="left"/>
            </w:pPr>
            <w:r>
              <w:t xml:space="preserve">2.5%</w:t>
            </w:r>
          </w:p>
        </w:tc>
        <w:tc>
          <w:tcPr/>
          <w:p>
            <w:pPr>
              <w:pStyle w:val="Compact"/>
              <w:jc w:val="left"/>
            </w:pPr>
            <w:r>
              <w:t xml:space="preserve">97.5%</w:t>
            </w:r>
          </w:p>
        </w:tc>
      </w:tr>
      <w:tr>
        <w:tc>
          <w:tcPr/>
          <w:p>
            <w:pPr>
              <w:pStyle w:val="Compact"/>
              <w:jc w:val="left"/>
            </w:pPr>
            <w:r>
              <w:t xml:space="preserve">(Intercept)</w:t>
            </w:r>
          </w:p>
        </w:tc>
        <w:tc>
          <w:tcPr/>
          <w:p>
            <w:pPr>
              <w:pStyle w:val="Compact"/>
              <w:jc w:val="left"/>
            </w:pPr>
            <w:r>
              <w:t xml:space="preserve">2.63</w:t>
            </w:r>
          </w:p>
        </w:tc>
        <w:tc>
          <w:tcPr/>
          <w:p>
            <w:pPr>
              <w:pStyle w:val="Compact"/>
              <w:jc w:val="left"/>
            </w:pPr>
            <w:r>
              <w:t xml:space="preserve">1.45</w:t>
            </w:r>
          </w:p>
        </w:tc>
        <w:tc>
          <w:tcPr/>
          <w:p>
            <w:pPr>
              <w:pStyle w:val="Compact"/>
              <w:jc w:val="left"/>
            </w:pPr>
            <w:r>
              <w:t xml:space="preserve">4.62</w:t>
            </w:r>
          </w:p>
        </w:tc>
      </w:tr>
      <w:tr>
        <w:tc>
          <w:tcPr/>
          <w:p>
            <w:pPr>
              <w:pStyle w:val="Compact"/>
              <w:jc w:val="left"/>
            </w:pPr>
            <w:r>
              <w:t xml:space="preserve">VaccinatedYes</w:t>
            </w:r>
          </w:p>
        </w:tc>
        <w:tc>
          <w:tcPr/>
          <w:p>
            <w:pPr>
              <w:pStyle w:val="Compact"/>
              <w:jc w:val="left"/>
            </w:pPr>
            <w:r>
              <w:t xml:space="preserve">0.0104</w:t>
            </w:r>
          </w:p>
        </w:tc>
        <w:tc>
          <w:tcPr/>
          <w:p>
            <w:pPr>
              <w:pStyle w:val="Compact"/>
              <w:jc w:val="left"/>
            </w:pPr>
            <w:r>
              <w:t xml:space="preserve">0.000316</w:t>
            </w:r>
          </w:p>
        </w:tc>
        <w:tc>
          <w:tcPr/>
          <w:p>
            <w:pPr>
              <w:pStyle w:val="Compact"/>
              <w:jc w:val="left"/>
            </w:pPr>
            <w:r>
              <w:t xml:space="preserve">0.0925</w:t>
            </w:r>
          </w:p>
        </w:tc>
      </w:tr>
    </w:tbl>
    <w:bookmarkEnd w:id="24"/>
    <w:bookmarkStart w:id="26"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25">
        <w:r>
          <w:rPr>
            <w:rStyle w:val="Hyperlink"/>
          </w:rPr>
          <w:t xml:space="preserve">https://doi.org/10.1017/S095026880600673X</w:t>
        </w:r>
      </w:hyperlink>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2022-07-03T08:49:31Z</dcterms:created>
  <dcterms:modified xsi:type="dcterms:W3CDTF">2022-07-03T08:49:31Z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03-07-2022</vt:lpwstr>
  </property>
  <property fmtid="{D5CDD505-2E9C-101B-9397-08002B2CF9AE}" pid="3" name="output">
    <vt:lpwstr>word_document</vt:lpwstr>
  </property>
</Properties>
</file>