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IBV</w:t>
      </w:r>
      <w:r>
        <w:t xml:space="preserve"> </w:t>
      </w:r>
      <w:r>
        <w:t xml:space="preserve">Transmission</w:t>
      </w:r>
      <w:r>
        <w:t xml:space="preserve"> </w:t>
      </w:r>
      <w:r>
        <w:t xml:space="preserve">study</w:t>
      </w:r>
      <w:r>
        <w:t xml:space="preserve"> </w:t>
      </w:r>
      <w:r>
        <w:t xml:space="preserve">to</w:t>
      </w:r>
      <w:r>
        <w:t xml:space="preserve"> </w:t>
      </w:r>
      <w:r>
        <w:t xml:space="preserve">determine</w:t>
      </w:r>
      <w:r>
        <w:t xml:space="preserve"> </w:t>
      </w:r>
      <w:r>
        <w:t xml:space="preserve">the</w:t>
      </w:r>
      <w:r>
        <w:t xml:space="preserve"> </w:t>
      </w:r>
      <w:r>
        <w:t xml:space="preserve">transmission</w:t>
      </w:r>
      <w:r>
        <w:t xml:space="preserve"> </w:t>
      </w:r>
      <w:r>
        <w:t xml:space="preserve">of</w:t>
      </w:r>
      <w:r>
        <w:t xml:space="preserve"> </w:t>
      </w:r>
      <w:r>
        <w:t xml:space="preserve">pathogenic</w:t>
      </w:r>
      <w:r>
        <w:t xml:space="preserve"> </w:t>
      </w:r>
      <w:r>
        <w:t xml:space="preserve">IBV</w:t>
      </w:r>
      <w:r>
        <w:t xml:space="preserve"> </w:t>
      </w:r>
      <w:r>
        <w:t xml:space="preserve">(Challenge)</w:t>
      </w:r>
      <w:r>
        <w:t xml:space="preserve"> </w:t>
      </w:r>
      <w:r>
        <w:t xml:space="preserve">among</w:t>
      </w:r>
      <w:r>
        <w:t xml:space="preserve"> </w:t>
      </w:r>
      <w:r>
        <w:t xml:space="preserve">vaccinated</w:t>
      </w:r>
      <w:r>
        <w:t xml:space="preserve"> </w:t>
      </w:r>
      <w:r>
        <w:t xml:space="preserve">Commercial</w:t>
      </w:r>
      <w:r>
        <w:t xml:space="preserve"> </w:t>
      </w:r>
      <w:r>
        <w:t xml:space="preserve">Broilers</w:t>
      </w:r>
      <w:r>
        <w:t xml:space="preserve"> </w:t>
      </w:r>
      <w:r>
        <w:t xml:space="preserve">compared</w:t>
      </w:r>
      <w:r>
        <w:t xml:space="preserve"> </w:t>
      </w:r>
      <w:r>
        <w:t xml:space="preserve">to</w:t>
      </w:r>
      <w:r>
        <w:t xml:space="preserve"> </w:t>
      </w:r>
      <w:r>
        <w:t xml:space="preserve">that</w:t>
      </w:r>
      <w:r>
        <w:t xml:space="preserve"> </w:t>
      </w:r>
      <w:r>
        <w:t xml:space="preserve">of</w:t>
      </w:r>
      <w:r>
        <w:t xml:space="preserve"> </w:t>
      </w:r>
      <w:r>
        <w:t xml:space="preserve">unvaccinated</w:t>
      </w:r>
      <w:r>
        <w:t xml:space="preserve"> </w:t>
      </w:r>
      <w:r>
        <w:t xml:space="preserve">birds</w:t>
      </w:r>
    </w:p>
    <w:p>
      <w:pPr>
        <w:pStyle w:val="Author"/>
      </w:pPr>
      <w:r>
        <w:t xml:space="preserve">Egil</w:t>
      </w:r>
      <w:r>
        <w:t xml:space="preserve"> </w:t>
      </w:r>
      <w:r>
        <w:t xml:space="preserve">A.J.Fischer</w:t>
      </w:r>
    </w:p>
    <w:p>
      <w:pPr>
        <w:pStyle w:val="Date"/>
      </w:pPr>
      <w:r>
        <w:t xml:space="preserve">23</w:t>
      </w:r>
      <w:r>
        <w:t xml:space="preserve"> </w:t>
      </w:r>
      <w:r>
        <w:t xml:space="preserve">augustus,</w:t>
      </w:r>
      <w:r>
        <w:t xml:space="preserve"> </w:t>
      </w:r>
      <w:r>
        <w:t xml:space="preserve">2022</w:t>
      </w:r>
    </w:p>
    <w:p>
      <w:pPr>
        <w:pStyle w:val="FirstParagraph"/>
      </w:pPr>
      <w:r>
        <w:t xml:space="preserve">Source required code-files including loading the data</w:t>
      </w:r>
    </w:p>
    <w:bookmarkStart w:id="27" w:name="document-structure"/>
    <w:p>
      <w:pPr>
        <w:pStyle w:val="Heading1"/>
      </w:pPr>
      <w:r>
        <w:t xml:space="preserve">Document structure</w:t>
      </w:r>
    </w:p>
    <w:p>
      <w:pPr>
        <w:numPr>
          <w:ilvl w:val="0"/>
          <w:numId w:val="1001"/>
        </w:numPr>
        <w:pStyle w:val="Compact"/>
      </w:pPr>
      <w:r>
        <w:t xml:space="preserve">Visualization and summarizing data</w:t>
      </w:r>
    </w:p>
    <w:p>
      <w:pPr>
        <w:numPr>
          <w:ilvl w:val="0"/>
          <w:numId w:val="1001"/>
        </w:numPr>
        <w:pStyle w:val="Compact"/>
      </w:pPr>
      <w:r>
        <w:t xml:space="preserve">Final size method</w:t>
      </w:r>
    </w:p>
    <w:p>
      <w:pPr>
        <w:numPr>
          <w:ilvl w:val="0"/>
          <w:numId w:val="1001"/>
        </w:numPr>
        <w:pStyle w:val="Compact"/>
      </w:pPr>
      <w:r>
        <w:t xml:space="preserve">Estimation of</w:t>
      </w:r>
      <w:r>
        <w:t xml:space="preserve"> </w:t>
      </w:r>
      <m:oMath>
        <m:r>
          <m:t>R</m:t>
        </m:r>
      </m:oMath>
      <w:r>
        <w:t xml:space="preserve"> </w:t>
      </w:r>
      <w:r>
        <w:t xml:space="preserve">in vaccinated and unvaccinated birds using final size estimation</w:t>
      </w:r>
    </w:p>
    <w:p>
      <w:pPr>
        <w:pStyle w:val="FirstParagraph"/>
      </w:pPr>
      <w:r>
        <w:t xml:space="preserve">reference: (Velthuis et al. 2007)</w:t>
      </w:r>
    </w:p>
    <w:bookmarkStart w:id="26" w:name="input-data"/>
    <w:p>
      <w:pPr>
        <w:pStyle w:val="Heading2"/>
      </w:pPr>
      <w:r>
        <w:t xml:space="preserve">Input data</w:t>
      </w:r>
    </w:p>
    <w:p>
      <w:pPr>
        <w:pStyle w:val="FirstParagraph"/>
      </w:pPr>
      <w:r>
        <w:t xml:space="preserve">The following assumptions are made to determine the status of a bird (susceptible, infectious or recovered):</w:t>
      </w:r>
    </w:p>
    <w:p>
      <w:pPr>
        <w:numPr>
          <w:ilvl w:val="0"/>
          <w:numId w:val="1002"/>
        </w:numPr>
        <w:pStyle w:val="Compact"/>
      </w:pPr>
      <w:r>
        <w:t xml:space="preserve">At least two Ct-value &lt; 36 during the entire experiment (a single CT-value &lt; 36 is considered false positive)</w:t>
      </w:r>
    </w:p>
    <w:p>
      <w:pPr>
        <w:numPr>
          <w:ilvl w:val="0"/>
          <w:numId w:val="1002"/>
        </w:numPr>
        <w:pStyle w:val="Compact"/>
      </w:pPr>
      <w:r>
        <w:t xml:space="preserve">Between the first and last Ct-value &lt;36 a bird is considered infectious (even if CT-values &gt; 36)</w:t>
      </w:r>
    </w:p>
    <w:p>
      <w:pPr>
        <w:numPr>
          <w:ilvl w:val="0"/>
          <w:numId w:val="1002"/>
        </w:numPr>
        <w:pStyle w:val="Compact"/>
      </w:pPr>
      <w:r>
        <w:t xml:space="preserve">After the last positive sample a bird is considered recovered</w:t>
      </w:r>
    </w:p>
    <w:p>
      <w:pPr>
        <w:numPr>
          <w:ilvl w:val="0"/>
          <w:numId w:val="1002"/>
        </w:numPr>
        <w:pStyle w:val="Compact"/>
      </w:pPr>
      <w:r>
        <w:t xml:space="preserve">Susceptible birds is those never been positive.</w:t>
      </w:r>
    </w:p>
    <w:p>
      <w:pPr>
        <w:numPr>
          <w:ilvl w:val="0"/>
          <w:numId w:val="1002"/>
        </w:numPr>
        <w:pStyle w:val="Compact"/>
      </w:pPr>
      <w:r>
        <w:t xml:space="preserve">Inoculated birds are considered not to be susceptible even if they have no positive samples.</w:t>
      </w:r>
    </w:p>
    <w:p>
      <w:pPr>
        <w:pStyle w:val="FirstParagraph"/>
      </w:pPr>
      <w:r>
        <w:t xml:space="preserve">In the figure below the time interval from negative to postive and positive to negative is indicated.</w:t>
      </w:r>
    </w:p>
    <w:p>
      <w:pPr>
        <w:pStyle w:val="BodyText"/>
      </w:pPr>
      <w:r>
        <w:drawing>
          <wp:inline>
            <wp:extent cx="4620126" cy="3696101"/>
            <wp:effectExtent b="0" l="0" r="0" t="0"/>
            <wp:docPr descr="" title="" id="21" name="Picture"/>
            <a:graphic>
              <a:graphicData uri="http://schemas.openxmlformats.org/drawingml/2006/picture">
                <pic:pic>
                  <pic:nvPicPr>
                    <pic:cNvPr descr="TransmissionAnalysis_v20220822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TransmissionAnalysis_v20220822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unvaccinated groups we see a quick transmission of the infection within a few day post exposure. In three days all contact animals are infected. In the vaccinated groups non of the contact animals are infected, and only a proportion of the challenged birds.</w:t>
      </w:r>
      <w:r>
        <w:t xml:space="preserve"> </w:t>
      </w:r>
      <w:r>
        <w:t xml:space="preserve">For the vaccinated birds the estimation of a transmission rate</w:t>
      </w:r>
      <w:r>
        <w:t xml:space="preserve"> </w:t>
      </w:r>
      <m:oMath>
        <m:r>
          <m:t>β</m:t>
        </m:r>
      </m:oMath>
      <w:r>
        <w:t xml:space="preserve"> </w:t>
      </w:r>
      <w:r>
        <w:t xml:space="preserve">is not possible. For both vaccinated and unvaccinated birds estimation of</w:t>
      </w:r>
      <w:r>
        <w:t xml:space="preserve"> </w:t>
      </w:r>
      <m:oMath>
        <m:r>
          <m:t>R</m:t>
        </m:r>
      </m:oMath>
      <w:r>
        <w:t xml:space="preserve"> </w:t>
      </w:r>
      <w:r>
        <w:t xml:space="preserve">using the final size method (see below) is possible for the respectively upper and lower confidence boundary, and testing whether it differs from 1.</w:t>
      </w:r>
      <w:r>
        <w:t xml:space="preserve"> </w:t>
      </w:r>
      <w:r>
        <w:t xml:space="preserve">The infectious period of the unvaccinated birds seems to be similar in challenged and unchallenged birds. These will be estimated as well.</w:t>
      </w:r>
    </w:p>
    <w:bookmarkEnd w:id="26"/>
    <w:bookmarkEnd w:id="27"/>
    <w:bookmarkStart w:id="29" w:name="final-size-method"/>
    <w:p>
      <w:pPr>
        <w:pStyle w:val="Heading1"/>
      </w:pPr>
      <w:r>
        <w:t xml:space="preserve">Final size method</w:t>
      </w:r>
    </w:p>
    <w:p>
      <w:pPr>
        <w:pStyle w:val="FirstParagraph"/>
      </w:pPr>
      <w:r>
        <w:t xml:space="preserve">The final size are the number of animals that were infected during the entire duration of an outbreak (or experiment). For small numbers the exact distribution can be determined numerically for a known value of</w:t>
      </w:r>
      <w:r>
        <w:t xml:space="preserve"> </w:t>
      </w:r>
      <m:oMath>
        <m:r>
          <m:t>R</m:t>
        </m:r>
      </m:oMath>
      <w:r>
        <w:t xml:space="preserve">. This can be used to determine the most likely value of</w:t>
      </w:r>
      <w:r>
        <w:t xml:space="preserve"> </w:t>
      </w:r>
      <m:oMath>
        <m:r>
          <m:t>R</m:t>
        </m:r>
      </m:oMath>
      <w:r>
        <w:t xml:space="preserve"> </w:t>
      </w:r>
      <w:r>
        <w:t xml:space="preserve">and its boundaries given an observed final size. In case of no or all contact animals being infected the most likely value is respectively 0 or</w:t>
      </w:r>
      <w:r>
        <w:t xml:space="preserve"> </w:t>
      </w:r>
      <m:oMath>
        <m:r>
          <m:rPr>
            <m:sty m:val="p"/>
          </m:rPr>
          <m:t>∞</m:t>
        </m:r>
      </m:oMath>
      <w:r>
        <w:t xml:space="preserve"> </w:t>
      </w:r>
      <w:r>
        <w:t xml:space="preserve">and only the upper- and lower boundary of the confidence interval can be given.</w:t>
      </w:r>
    </w:p>
    <w:p>
      <w:pPr>
        <w:pStyle w:val="SourceCode"/>
      </w:pPr>
      <w:r>
        <w:rPr>
          <w:rStyle w:val="VerbatimChar"/>
        </w:rPr>
        <w:t xml:space="preserve">## `summarise()` has grouped output by 'Group'. You can override using the</w:t>
      </w:r>
      <w:r>
        <w:br/>
      </w:r>
      <w:r>
        <w:rPr>
          <w:rStyle w:val="VerbatimChar"/>
        </w:rPr>
        <w:t xml:space="preserve">## `.groups` argument.</w:t>
      </w:r>
    </w:p>
    <w:p>
      <w:pPr>
        <w:pStyle w:val="TableCaption"/>
      </w:pPr>
      <w:r>
        <w:t xml:space="preserve">Input values for the final size calculations. fs = susceptibles infected at end of experiment, iS = contact birds beginning of experiment, iI = challenged birds that excreed during experiment, iR = challenged birds that do not excrete</w:t>
      </w:r>
    </w:p>
    <w:tbl>
      <w:tblPr>
        <w:tblStyle w:val="Table"/>
        <w:tblW w:type="auto" w:w="0"/>
        <w:tblLook w:firstRow="1" w:lastRow="0" w:firstColumn="0" w:lastColumn="0" w:noHBand="0" w:noVBand="0" w:val="0020"/>
        <w:tblCaption w:val="Input values for the final size calculations. fs = susceptibles infected at end of experiment, iS = contact birds beginning of experiment, iI = challenged birds that excreed during experiment, iR = challenged birds that do not excrete"/>
      </w:tblPr>
      <w:tblGrid>
        <w:gridCol w:w="1131"/>
        <w:gridCol w:w="1131"/>
        <w:gridCol w:w="1131"/>
        <w:gridCol w:w="1131"/>
        <w:gridCol w:w="1131"/>
        <w:gridCol w:w="1131"/>
        <w:gridCol w:w="1131"/>
      </w:tblGrid>
      <w:tr>
        <w:trPr>
          <w:tblHeader w:val="true"/>
        </w:trPr>
        <w:tc>
          <w:tcPr/>
          <w:p>
            <w:pPr>
              <w:pStyle w:val="Compact"/>
              <w:jc w:val="left"/>
            </w:pPr>
            <w:r>
              <w:t xml:space="preserve">Group</w:t>
            </w:r>
          </w:p>
        </w:tc>
        <w:tc>
          <w:tcPr/>
          <w:p>
            <w:pPr>
              <w:pStyle w:val="Compact"/>
              <w:jc w:val="left"/>
            </w:pPr>
            <w:r>
              <w:t xml:space="preserve">Vaccinated</w:t>
            </w:r>
          </w:p>
        </w:tc>
        <w:tc>
          <w:tcPr/>
          <w:p>
            <w:pPr>
              <w:pStyle w:val="Compact"/>
              <w:jc w:val="right"/>
            </w:pPr>
            <w:r>
              <w:t xml:space="preserve">fs</w:t>
            </w:r>
          </w:p>
        </w:tc>
        <w:tc>
          <w:tcPr/>
          <w:p>
            <w:pPr>
              <w:pStyle w:val="Compact"/>
              <w:jc w:val="right"/>
            </w:pPr>
            <w:r>
              <w:t xml:space="preserve">iS</w:t>
            </w:r>
          </w:p>
        </w:tc>
        <w:tc>
          <w:tcPr/>
          <w:p>
            <w:pPr>
              <w:pStyle w:val="Compact"/>
              <w:jc w:val="right"/>
            </w:pPr>
            <w:r>
              <w:t xml:space="preserve">iI</w:t>
            </w:r>
          </w:p>
        </w:tc>
        <w:tc>
          <w:tcPr/>
          <w:p>
            <w:pPr>
              <w:pStyle w:val="Compact"/>
              <w:jc w:val="right"/>
            </w:pPr>
            <w:r>
              <w:t xml:space="preserve">iR</w:t>
            </w:r>
          </w:p>
        </w:tc>
        <w:tc>
          <w:tcPr/>
          <w:p>
            <w:pPr>
              <w:pStyle w:val="Compact"/>
              <w:jc w:val="right"/>
            </w:pPr>
            <w:r>
              <w:t xml:space="preserve">n</w:t>
            </w:r>
          </w:p>
        </w:tc>
      </w:tr>
      <w:tr>
        <w:tc>
          <w:tcPr/>
          <w:p>
            <w:pPr>
              <w:pStyle w:val="Compact"/>
              <w:jc w:val="left"/>
            </w:pPr>
            <w:r>
              <w:t xml:space="preserve">DMV 1639_1_1</w:t>
            </w:r>
          </w:p>
        </w:tc>
        <w:tc>
          <w:tcPr/>
          <w:p>
            <w:pPr>
              <w:pStyle w:val="Compact"/>
              <w:jc w:val="left"/>
            </w:pPr>
            <w:r>
              <w:t xml:space="preserve">Yes</w:t>
            </w:r>
          </w:p>
        </w:tc>
        <w:tc>
          <w:tcPr/>
          <w:p>
            <w:pPr>
              <w:pStyle w:val="Compact"/>
              <w:jc w:val="right"/>
            </w:pPr>
            <w:r>
              <w:t xml:space="preserve">0</w:t>
            </w:r>
          </w:p>
        </w:tc>
        <w:tc>
          <w:tcPr/>
          <w:p>
            <w:pPr>
              <w:pStyle w:val="Compact"/>
              <w:jc w:val="right"/>
            </w:pPr>
            <w:r>
              <w:t xml:space="preserve">10</w:t>
            </w:r>
          </w:p>
        </w:tc>
        <w:tc>
          <w:tcPr/>
          <w:p>
            <w:pPr>
              <w:pStyle w:val="Compact"/>
              <w:jc w:val="right"/>
            </w:pPr>
            <w:r>
              <w:t xml:space="preserve">7</w:t>
            </w:r>
          </w:p>
        </w:tc>
        <w:tc>
          <w:tcPr/>
          <w:p>
            <w:pPr>
              <w:pStyle w:val="Compact"/>
              <w:jc w:val="right"/>
            </w:pPr>
            <w:r>
              <w:t xml:space="preserve">7</w:t>
            </w:r>
          </w:p>
        </w:tc>
        <w:tc>
          <w:tcPr/>
          <w:p>
            <w:pPr>
              <w:pStyle w:val="Compact"/>
              <w:jc w:val="right"/>
            </w:pPr>
            <w:r>
              <w:t xml:space="preserve">20</w:t>
            </w:r>
          </w:p>
        </w:tc>
      </w:tr>
      <w:tr>
        <w:tc>
          <w:tcPr/>
          <w:p>
            <w:pPr>
              <w:pStyle w:val="Compact"/>
              <w:jc w:val="left"/>
            </w:pPr>
            <w:r>
              <w:t xml:space="preserve">DMV 1639_1_2</w:t>
            </w:r>
          </w:p>
        </w:tc>
        <w:tc>
          <w:tcPr/>
          <w:p>
            <w:pPr>
              <w:pStyle w:val="Compact"/>
              <w:jc w:val="left"/>
            </w:pPr>
            <w:r>
              <w:t xml:space="preserve">Yes</w:t>
            </w:r>
          </w:p>
        </w:tc>
        <w:tc>
          <w:tcPr/>
          <w:p>
            <w:pPr>
              <w:pStyle w:val="Compact"/>
              <w:jc w:val="right"/>
            </w:pPr>
            <w:r>
              <w:t xml:space="preserve">0</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w:t>
            </w:r>
          </w:p>
        </w:tc>
        <w:tc>
          <w:tcPr/>
          <w:p>
            <w:pPr>
              <w:pStyle w:val="Compact"/>
              <w:jc w:val="right"/>
            </w:pPr>
            <w:r>
              <w:t xml:space="preserve">20</w:t>
            </w:r>
          </w:p>
        </w:tc>
      </w:tr>
      <w:tr>
        <w:tc>
          <w:tcPr/>
          <w:p>
            <w:pPr>
              <w:pStyle w:val="Compact"/>
              <w:jc w:val="left"/>
            </w:pPr>
            <w:r>
              <w:t xml:space="preserve">DMV 1639_2_1</w:t>
            </w:r>
          </w:p>
        </w:tc>
        <w:tc>
          <w:tcPr/>
          <w:p>
            <w:pPr>
              <w:pStyle w:val="Compact"/>
              <w:jc w:val="left"/>
            </w:pPr>
            <w:r>
              <w:t xml:space="preserve">No</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20</w:t>
            </w:r>
          </w:p>
        </w:tc>
      </w:tr>
      <w:tr>
        <w:tc>
          <w:tcPr/>
          <w:p>
            <w:pPr>
              <w:pStyle w:val="Compact"/>
              <w:jc w:val="left"/>
            </w:pPr>
            <w:r>
              <w:t xml:space="preserve">DMV 1639_2_2</w:t>
            </w:r>
          </w:p>
        </w:tc>
        <w:tc>
          <w:tcPr/>
          <w:p>
            <w:pPr>
              <w:pStyle w:val="Compact"/>
              <w:jc w:val="left"/>
            </w:pPr>
            <w:r>
              <w:t xml:space="preserve">No</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20</w:t>
            </w:r>
          </w:p>
        </w:tc>
      </w:tr>
    </w:tbl>
    <w:bookmarkStart w:id="28" w:name="r-with-final-size-estimation"/>
    <w:p>
      <w:pPr>
        <w:pStyle w:val="Heading2"/>
      </w:pPr>
      <m:oMath>
        <m:r>
          <m:t>R</m:t>
        </m:r>
      </m:oMath>
      <w:r>
        <w:t xml:space="preserve"> </w:t>
      </w:r>
      <w:r>
        <w:t xml:space="preserve">with final size estimation</w:t>
      </w:r>
    </w:p>
    <w:p>
      <w:pPr>
        <w:pStyle w:val="TableCaption"/>
      </w:pPr>
      <w:r>
        <w:t xml:space="preserve">Estimate of</w:t>
      </w:r>
      <w:r>
        <w:t xml:space="preserve"> </w:t>
      </w:r>
      <m:oMath>
        <m:r>
          <m:t>R</m:t>
        </m:r>
      </m:oMath>
      <w:r>
        <w:t xml:space="preserve"> </w:t>
      </w:r>
      <w:r>
        <w:t xml:space="preserve">based on the final size. Estimate = best value, 95%-LL= lower limit,95%-UL = upper limit, pval.above1 = probability</w:t>
      </w:r>
      <w:r>
        <w:t xml:space="preserve"> </w:t>
      </w:r>
      <m:oMath>
        <m:r>
          <m:t>R</m:t>
        </m:r>
      </m:oMath>
      <w:r>
        <w:t xml:space="preserve"> </w:t>
      </w:r>
      <w:r>
        <w:t xml:space="preserve">is above 1</w:t>
      </w:r>
    </w:p>
    <w:tbl>
      <w:tblPr>
        <w:tblStyle w:val="Table"/>
        <w:tblW w:type="auto" w:w="0"/>
        <w:tblLook w:firstRow="1" w:lastRow="0" w:firstColumn="0" w:lastColumn="0" w:noHBand="0" w:noVBand="0" w:val="0020"/>
        <w:tblCaption w:val="Estimate of R based on the final size. Estimate = best value, 95%-LL= lower limit,95%-UL = upper limit, pval.above1 = probability R is above 1"/>
      </w:tblPr>
      <w:tblGrid>
        <w:gridCol w:w="1584"/>
        <w:gridCol w:w="1584"/>
        <w:gridCol w:w="1584"/>
        <w:gridCol w:w="1584"/>
        <w:gridCol w:w="1584"/>
      </w:tblGrid>
      <w:tr>
        <w:trPr>
          <w:tblHeader w:val="true"/>
        </w:trPr>
        <w:tc>
          <w:tcPr/>
          <w:p>
            <w:pPr>
              <w:pStyle w:val="Compact"/>
              <w:jc w:val="left"/>
            </w:pPr>
            <w:r>
              <w:t xml:space="preserve">Vaccinated</w:t>
            </w:r>
          </w:p>
        </w:tc>
        <w:tc>
          <w:tcPr/>
          <w:p>
            <w:pPr>
              <w:pStyle w:val="Compact"/>
              <w:jc w:val="right"/>
            </w:pPr>
            <w:r>
              <w:t xml:space="preserve">Estimate</w:t>
            </w:r>
          </w:p>
        </w:tc>
        <w:tc>
          <w:tcPr/>
          <w:p>
            <w:pPr>
              <w:pStyle w:val="Compact"/>
              <w:jc w:val="right"/>
            </w:pPr>
            <w:r>
              <w:t xml:space="preserve">95%-LL</w:t>
            </w:r>
          </w:p>
        </w:tc>
        <w:tc>
          <w:tcPr/>
          <w:p>
            <w:pPr>
              <w:pStyle w:val="Compact"/>
              <w:jc w:val="right"/>
            </w:pPr>
            <w:r>
              <w:t xml:space="preserve">95%-UL</w:t>
            </w:r>
          </w:p>
        </w:tc>
        <w:tc>
          <w:tcPr/>
          <w:p>
            <w:pPr>
              <w:pStyle w:val="Compact"/>
              <w:jc w:val="right"/>
            </w:pPr>
            <w:r>
              <w:t xml:space="preserve">pval.above1</w:t>
            </w:r>
          </w:p>
        </w:tc>
      </w:tr>
      <w:tr>
        <w:tc>
          <w:tcPr/>
          <w:p>
            <w:pPr>
              <w:pStyle w:val="Compact"/>
              <w:jc w:val="left"/>
            </w:pPr>
            <w:r>
              <w:t xml:space="preserve">Yes</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0.73</w:t>
            </w:r>
          </w:p>
        </w:tc>
        <w:tc>
          <w:tcPr/>
          <w:p>
            <w:pPr>
              <w:pStyle w:val="Compact"/>
              <w:jc w:val="right"/>
            </w:pPr>
            <w:r>
              <w:t xml:space="preserve">0.02</w:t>
            </w:r>
          </w:p>
        </w:tc>
      </w:tr>
      <w:tr>
        <w:tc>
          <w:tcPr/>
          <w:p>
            <w:pPr>
              <w:pStyle w:val="Compact"/>
              <w:jc w:val="left"/>
            </w:pPr>
            <w:r>
              <w:t xml:space="preserve">No</w:t>
            </w:r>
          </w:p>
        </w:tc>
        <w:tc>
          <w:tcPr/>
          <w:p>
            <w:pPr>
              <w:pStyle w:val="Compact"/>
              <w:jc w:val="right"/>
            </w:pPr>
            <w:r>
              <w:t xml:space="preserve">Inf</w:t>
            </w:r>
          </w:p>
        </w:tc>
        <w:tc>
          <w:tcPr/>
          <w:p>
            <w:pPr>
              <w:pStyle w:val="Compact"/>
              <w:jc w:val="right"/>
            </w:pPr>
            <w:r>
              <w:t xml:space="preserve">4.11</w:t>
            </w:r>
          </w:p>
        </w:tc>
        <w:tc>
          <w:tcPr/>
          <w:p>
            <w:pPr>
              <w:pStyle w:val="Compact"/>
              <w:jc w:val="right"/>
            </w:pPr>
            <w:r>
              <w:t xml:space="preserve">Inf</w:t>
            </w:r>
          </w:p>
        </w:tc>
        <w:tc>
          <w:tcPr/>
          <w:p>
            <w:pPr>
              <w:pStyle w:val="Compact"/>
              <w:jc w:val="right"/>
            </w:pPr>
            <w:r>
              <w:t xml:space="preserve">1.00</w:t>
            </w:r>
          </w:p>
        </w:tc>
      </w:tr>
    </w:tbl>
    <w:bookmarkEnd w:id="28"/>
    <w:bookmarkEnd w:id="29"/>
    <w:bookmarkStart w:id="30" w:name="estimate-beta"/>
    <w:p>
      <w:pPr>
        <w:pStyle w:val="Heading1"/>
      </w:pPr>
      <w:r>
        <w:t xml:space="preserve">Estimate beta</w:t>
      </w:r>
    </w:p>
    <w:p>
      <w:pPr>
        <w:pStyle w:val="TableCaption"/>
      </w:pPr>
      <w:r>
        <w:t xml:space="preserve">Transmission coefficient unvaccinated birds</w:t>
      </w:r>
    </w:p>
    <w:tbl>
      <w:tblPr>
        <w:tblStyle w:val="Table"/>
        <w:tblW w:type="auto" w:w="0"/>
        <w:tblLook w:firstRow="1" w:lastRow="0" w:firstColumn="0" w:lastColumn="0" w:noHBand="0" w:noVBand="0" w:val="0020"/>
        <w:tblCaption w:val="Transmission coefficient unvaccinated birds"/>
      </w:tblPr>
      <w:tblGrid>
        <w:gridCol w:w="1980"/>
        <w:gridCol w:w="1980"/>
        <w:gridCol w:w="1980"/>
        <w:gridCol w:w="1980"/>
      </w:tblGrid>
      <w:tr>
        <w:trPr>
          <w:tblHeader w:val="true"/>
        </w:trPr>
        <w:tc>
          <w:tcPr/>
          <w:p>
            <w:pPr>
              <w:pStyle w:val="Compact"/>
            </w:pPr>
          </w:p>
        </w:tc>
        <w:tc>
          <w:tcPr/>
          <w:p>
            <w:pPr>
              <w:pStyle w:val="Compact"/>
              <w:jc w:val="right"/>
            </w:pPr>
            <w:r>
              <w:t xml:space="preserve">est.beta</w:t>
            </w:r>
          </w:p>
        </w:tc>
        <w:tc>
          <w:tcPr/>
          <w:p>
            <w:pPr>
              <w:pStyle w:val="Compact"/>
              <w:jc w:val="right"/>
            </w:pPr>
            <w:r>
              <w:t xml:space="preserve">2.5%-CI</w:t>
            </w:r>
          </w:p>
        </w:tc>
        <w:tc>
          <w:tcPr/>
          <w:p>
            <w:pPr>
              <w:pStyle w:val="Compact"/>
              <w:jc w:val="right"/>
            </w:pPr>
            <w:r>
              <w:t xml:space="preserve">97.5%-CI</w:t>
            </w:r>
          </w:p>
        </w:tc>
      </w:tr>
      <w:tr>
        <w:tc>
          <w:tcPr/>
          <w:p>
            <w:pPr>
              <w:pStyle w:val="Compact"/>
            </w:pPr>
          </w:p>
        </w:tc>
        <w:tc>
          <w:tcPr/>
          <w:p>
            <w:pPr>
              <w:pStyle w:val="Compact"/>
              <w:jc w:val="right"/>
            </w:pPr>
            <w:r>
              <w:t xml:space="preserve">0.58</w:t>
            </w:r>
          </w:p>
        </w:tc>
        <w:tc>
          <w:tcPr/>
          <w:p>
            <w:pPr>
              <w:pStyle w:val="Compact"/>
              <w:jc w:val="right"/>
            </w:pPr>
            <w:r>
              <w:t xml:space="preserve">0.37</w:t>
            </w:r>
          </w:p>
        </w:tc>
        <w:tc>
          <w:tcPr/>
          <w:p>
            <w:pPr>
              <w:pStyle w:val="Compact"/>
              <w:jc w:val="right"/>
            </w:pPr>
            <w:r>
              <w:t xml:space="preserve">0.9</w:t>
            </w:r>
          </w:p>
        </w:tc>
      </w:tr>
    </w:tbl>
    <w:bookmarkEnd w:id="30"/>
    <w:bookmarkStart w:id="34" w:name="estimate-the-infectious-period"/>
    <w:p>
      <w:pPr>
        <w:pStyle w:val="Heading1"/>
      </w:pPr>
      <w:r>
        <w:t xml:space="preserve">Estimate the infectious period</w:t>
      </w:r>
    </w:p>
    <w:p>
      <w:pPr>
        <w:pStyle w:val="SourceCode"/>
      </w:pPr>
      <w:r>
        <w:rPr>
          <w:rStyle w:val="FunctionTok"/>
        </w:rPr>
        <w:t xml:space="preserve">ggplot</w:t>
      </w:r>
      <w:r>
        <w:rPr>
          <w:rStyle w:val="NormalTok"/>
        </w:rPr>
        <w:t xml:space="preserve">(inf.per.data)</w:t>
      </w:r>
      <w:r>
        <w:rPr>
          <w:rStyle w:val="SpecialCharTok"/>
        </w:rPr>
        <w:t xml:space="preserve">+</w:t>
      </w:r>
      <w:r>
        <w:rPr>
          <w:rStyle w:val="FunctionTok"/>
        </w:rPr>
        <w:t xml:space="preserve">geom_histogram</w:t>
      </w:r>
      <w:r>
        <w:rPr>
          <w:rStyle w:val="NormalTok"/>
        </w:rPr>
        <w:t xml:space="preserve">(</w:t>
      </w:r>
      <w:r>
        <w:rPr>
          <w:rStyle w:val="FunctionTok"/>
        </w:rPr>
        <w:t xml:space="preserve">aes</w:t>
      </w:r>
      <w:r>
        <w:rPr>
          <w:rStyle w:val="NormalTok"/>
        </w:rPr>
        <w:t xml:space="preserve">(infT),</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facet_grid</w:t>
      </w:r>
      <w:r>
        <w:rPr>
          <w:rStyle w:val="NormalTok"/>
        </w:rPr>
        <w:t xml:space="preserve">(Challenge</w:t>
      </w:r>
      <w:r>
        <w:rPr>
          <w:rStyle w:val="SpecialCharTok"/>
        </w:rPr>
        <w:t xml:space="preserve">~</w:t>
      </w:r>
      <w:r>
        <w:rPr>
          <w:rStyle w:val="NormalTok"/>
        </w:rPr>
        <w:t xml:space="preserve">Group)</w:t>
      </w:r>
    </w:p>
    <w:p>
      <w:pPr>
        <w:pStyle w:val="FirstParagraph"/>
      </w:pPr>
      <w:r>
        <w:drawing>
          <wp:inline>
            <wp:extent cx="4620126" cy="3696101"/>
            <wp:effectExtent b="0" l="0" r="0" t="0"/>
            <wp:docPr descr="" title="" id="32" name="Picture"/>
            <a:graphic>
              <a:graphicData uri="http://schemas.openxmlformats.org/drawingml/2006/picture">
                <pic:pic>
                  <pic:nvPicPr>
                    <pic:cNvPr descr="TransmissionAnalysis_v20220822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Average infectious periods for each group</w:t>
      </w:r>
    </w:p>
    <w:tbl>
      <w:tblPr>
        <w:tblStyle w:val="Table"/>
        <w:tblW w:type="pct" w:w="5000"/>
        <w:tblLook w:firstRow="1" w:lastRow="0" w:firstColumn="0" w:lastColumn="0" w:noHBand="0" w:noVBand="0" w:val="0020"/>
        <w:tblCaption w:val="Average infectious periods for each group"/>
      </w:tblPr>
      <w:tblGrid>
        <w:gridCol w:w="1237"/>
        <w:gridCol w:w="1361"/>
        <w:gridCol w:w="1485"/>
        <w:gridCol w:w="742"/>
        <w:gridCol w:w="618"/>
        <w:gridCol w:w="371"/>
        <w:gridCol w:w="990"/>
        <w:gridCol w:w="1113"/>
      </w:tblGrid>
      <w:tr>
        <w:trPr>
          <w:tblHeader w:val="true"/>
        </w:trPr>
        <w:tc>
          <w:tcPr/>
          <w:p>
            <w:pPr>
              <w:pStyle w:val="Compact"/>
              <w:jc w:val="left"/>
            </w:pPr>
            <w:r>
              <w:t xml:space="preserve">Challenge</w:t>
            </w:r>
          </w:p>
        </w:tc>
        <w:tc>
          <w:tcPr/>
          <w:p>
            <w:pPr>
              <w:pStyle w:val="Compact"/>
              <w:jc w:val="left"/>
            </w:pPr>
            <w:r>
              <w:t xml:space="preserve">Vaccinated</w:t>
            </w:r>
          </w:p>
        </w:tc>
        <w:tc>
          <w:tcPr/>
          <w:p>
            <w:pPr>
              <w:pStyle w:val="Compact"/>
              <w:jc w:val="left"/>
            </w:pPr>
            <w:r>
              <w:t xml:space="preserve">replication</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df</w:t>
            </w:r>
          </w:p>
        </w:tc>
        <w:tc>
          <w:tcPr/>
          <w:p>
            <w:pPr>
              <w:pStyle w:val="Compact"/>
              <w:jc w:val="right"/>
            </w:pPr>
            <w:r>
              <w:t xml:space="preserve">2.5%-CI</w:t>
            </w:r>
          </w:p>
        </w:tc>
        <w:tc>
          <w:tcPr/>
          <w:p>
            <w:pPr>
              <w:pStyle w:val="Compact"/>
              <w:jc w:val="right"/>
            </w:pPr>
            <w:r>
              <w:t xml:space="preserve">97.5%-CI</w:t>
            </w:r>
          </w:p>
        </w:tc>
      </w:tr>
      <w:tr>
        <w:tc>
          <w:tcPr/>
          <w:p>
            <w:pPr>
              <w:pStyle w:val="Compact"/>
              <w:jc w:val="left"/>
            </w:pPr>
            <w:r>
              <w:t xml:space="preserve">direct</w:t>
            </w:r>
          </w:p>
        </w:tc>
        <w:tc>
          <w:tcPr/>
          <w:p>
            <w:pPr>
              <w:pStyle w:val="Compact"/>
              <w:jc w:val="left"/>
            </w:pPr>
            <w:r>
              <w:t xml:space="preserve">Yes</w:t>
            </w:r>
          </w:p>
        </w:tc>
        <w:tc>
          <w:tcPr/>
          <w:p>
            <w:pPr>
              <w:pStyle w:val="Compact"/>
              <w:jc w:val="left"/>
            </w:pPr>
            <w:r>
              <w:t xml:space="preserve">1</w:t>
            </w:r>
          </w:p>
        </w:tc>
        <w:tc>
          <w:tcPr/>
          <w:p>
            <w:pPr>
              <w:pStyle w:val="Compact"/>
              <w:jc w:val="right"/>
            </w:pPr>
            <w:r>
              <w:t xml:space="preserve">2.57</w:t>
            </w:r>
          </w:p>
        </w:tc>
        <w:tc>
          <w:tcPr/>
          <w:p>
            <w:pPr>
              <w:pStyle w:val="Compact"/>
              <w:jc w:val="right"/>
            </w:pPr>
            <w:r>
              <w:t xml:space="preserve">1.13</w:t>
            </w:r>
          </w:p>
        </w:tc>
        <w:tc>
          <w:tcPr/>
          <w:p>
            <w:pPr>
              <w:pStyle w:val="Compact"/>
              <w:jc w:val="right"/>
            </w:pPr>
            <w:r>
              <w:t xml:space="preserve">6</w:t>
            </w:r>
          </w:p>
        </w:tc>
        <w:tc>
          <w:tcPr/>
          <w:p>
            <w:pPr>
              <w:pStyle w:val="Compact"/>
              <w:jc w:val="right"/>
            </w:pPr>
            <w:r>
              <w:t xml:space="preserve">1.52</w:t>
            </w:r>
          </w:p>
        </w:tc>
        <w:tc>
          <w:tcPr/>
          <w:p>
            <w:pPr>
              <w:pStyle w:val="Compact"/>
              <w:jc w:val="right"/>
            </w:pPr>
            <w:r>
              <w:t xml:space="preserve">3.62</w:t>
            </w:r>
          </w:p>
        </w:tc>
      </w:tr>
      <w:tr>
        <w:tc>
          <w:tcPr/>
          <w:p>
            <w:pPr>
              <w:pStyle w:val="Compact"/>
              <w:jc w:val="left"/>
            </w:pPr>
            <w:r>
              <w:t xml:space="preserve">direct</w:t>
            </w:r>
          </w:p>
        </w:tc>
        <w:tc>
          <w:tcPr/>
          <w:p>
            <w:pPr>
              <w:pStyle w:val="Compact"/>
              <w:jc w:val="left"/>
            </w:pPr>
            <w:r>
              <w:t xml:space="preserve">Yes</w:t>
            </w:r>
          </w:p>
        </w:tc>
        <w:tc>
          <w:tcPr/>
          <w:p>
            <w:pPr>
              <w:pStyle w:val="Compact"/>
              <w:jc w:val="left"/>
            </w:pPr>
            <w:r>
              <w:t xml:space="preserve">2</w:t>
            </w:r>
          </w:p>
        </w:tc>
        <w:tc>
          <w:tcPr/>
          <w:p>
            <w:pPr>
              <w:pStyle w:val="Compact"/>
              <w:jc w:val="right"/>
            </w:pPr>
            <w:r>
              <w:t xml:space="preserve">1.67</w:t>
            </w:r>
          </w:p>
        </w:tc>
        <w:tc>
          <w:tcPr/>
          <w:p>
            <w:pPr>
              <w:pStyle w:val="Compact"/>
              <w:jc w:val="right"/>
            </w:pPr>
            <w:r>
              <w:t xml:space="preserve">0.58</w:t>
            </w:r>
          </w:p>
        </w:tc>
        <w:tc>
          <w:tcPr/>
          <w:p>
            <w:pPr>
              <w:pStyle w:val="Compact"/>
              <w:jc w:val="right"/>
            </w:pPr>
            <w:r>
              <w:t xml:space="preserve">2</w:t>
            </w:r>
          </w:p>
        </w:tc>
        <w:tc>
          <w:tcPr/>
          <w:p>
            <w:pPr>
              <w:pStyle w:val="Compact"/>
              <w:jc w:val="right"/>
            </w:pPr>
            <w:r>
              <w:t xml:space="preserve">0.23</w:t>
            </w:r>
          </w:p>
        </w:tc>
        <w:tc>
          <w:tcPr/>
          <w:p>
            <w:pPr>
              <w:pStyle w:val="Compact"/>
              <w:jc w:val="right"/>
            </w:pPr>
            <w:r>
              <w:t xml:space="preserve">3.10</w:t>
            </w:r>
          </w:p>
        </w:tc>
      </w:tr>
      <w:tr>
        <w:tc>
          <w:tcPr/>
          <w:p>
            <w:pPr>
              <w:pStyle w:val="Compact"/>
              <w:jc w:val="left"/>
            </w:pPr>
            <w:r>
              <w:t xml:space="preserve">Contact</w:t>
            </w:r>
          </w:p>
        </w:tc>
        <w:tc>
          <w:tcPr/>
          <w:p>
            <w:pPr>
              <w:pStyle w:val="Compact"/>
              <w:jc w:val="left"/>
            </w:pPr>
            <w:r>
              <w:t xml:space="preserve">No</w:t>
            </w:r>
          </w:p>
        </w:tc>
        <w:tc>
          <w:tcPr/>
          <w:p>
            <w:pPr>
              <w:pStyle w:val="Compact"/>
              <w:jc w:val="left"/>
            </w:pPr>
            <w:r>
              <w:t xml:space="preserve">1</w:t>
            </w:r>
          </w:p>
        </w:tc>
        <w:tc>
          <w:tcPr/>
          <w:p>
            <w:pPr>
              <w:pStyle w:val="Compact"/>
              <w:jc w:val="right"/>
            </w:pPr>
            <w:r>
              <w:t xml:space="preserve">8.80</w:t>
            </w:r>
          </w:p>
        </w:tc>
        <w:tc>
          <w:tcPr/>
          <w:p>
            <w:pPr>
              <w:pStyle w:val="Compact"/>
              <w:jc w:val="right"/>
            </w:pPr>
            <w:r>
              <w:t xml:space="preserve">0.92</w:t>
            </w:r>
          </w:p>
        </w:tc>
        <w:tc>
          <w:tcPr/>
          <w:p>
            <w:pPr>
              <w:pStyle w:val="Compact"/>
              <w:jc w:val="right"/>
            </w:pPr>
            <w:r>
              <w:t xml:space="preserve">9</w:t>
            </w:r>
          </w:p>
        </w:tc>
        <w:tc>
          <w:tcPr/>
          <w:p>
            <w:pPr>
              <w:pStyle w:val="Compact"/>
              <w:jc w:val="right"/>
            </w:pPr>
            <w:r>
              <w:t xml:space="preserve">8.14</w:t>
            </w:r>
          </w:p>
        </w:tc>
        <w:tc>
          <w:tcPr/>
          <w:p>
            <w:pPr>
              <w:pStyle w:val="Compact"/>
              <w:jc w:val="right"/>
            </w:pPr>
            <w:r>
              <w:t xml:space="preserve">9.46</w:t>
            </w:r>
          </w:p>
        </w:tc>
      </w:tr>
      <w:tr>
        <w:tc>
          <w:tcPr/>
          <w:p>
            <w:pPr>
              <w:pStyle w:val="Compact"/>
              <w:jc w:val="left"/>
            </w:pPr>
            <w:r>
              <w:t xml:space="preserve">direct</w:t>
            </w:r>
          </w:p>
        </w:tc>
        <w:tc>
          <w:tcPr/>
          <w:p>
            <w:pPr>
              <w:pStyle w:val="Compact"/>
              <w:jc w:val="left"/>
            </w:pPr>
            <w:r>
              <w:t xml:space="preserve">No</w:t>
            </w:r>
          </w:p>
        </w:tc>
        <w:tc>
          <w:tcPr/>
          <w:p>
            <w:pPr>
              <w:pStyle w:val="Compact"/>
              <w:jc w:val="left"/>
            </w:pPr>
            <w:r>
              <w:t xml:space="preserve">1</w:t>
            </w:r>
          </w:p>
        </w:tc>
        <w:tc>
          <w:tcPr/>
          <w:p>
            <w:pPr>
              <w:pStyle w:val="Compact"/>
              <w:jc w:val="right"/>
            </w:pPr>
            <w:r>
              <w:t xml:space="preserve">10.40</w:t>
            </w:r>
          </w:p>
        </w:tc>
        <w:tc>
          <w:tcPr/>
          <w:p>
            <w:pPr>
              <w:pStyle w:val="Compact"/>
              <w:jc w:val="right"/>
            </w:pPr>
            <w:r>
              <w:t xml:space="preserve">1.71</w:t>
            </w:r>
          </w:p>
        </w:tc>
        <w:tc>
          <w:tcPr/>
          <w:p>
            <w:pPr>
              <w:pStyle w:val="Compact"/>
              <w:jc w:val="right"/>
            </w:pPr>
            <w:r>
              <w:t xml:space="preserve">9</w:t>
            </w:r>
          </w:p>
        </w:tc>
        <w:tc>
          <w:tcPr/>
          <w:p>
            <w:pPr>
              <w:pStyle w:val="Compact"/>
              <w:jc w:val="right"/>
            </w:pPr>
            <w:r>
              <w:t xml:space="preserve">9.17</w:t>
            </w:r>
          </w:p>
        </w:tc>
        <w:tc>
          <w:tcPr/>
          <w:p>
            <w:pPr>
              <w:pStyle w:val="Compact"/>
              <w:jc w:val="right"/>
            </w:pPr>
            <w:r>
              <w:t xml:space="preserve">11.63</w:t>
            </w:r>
          </w:p>
        </w:tc>
      </w:tr>
      <w:tr>
        <w:tc>
          <w:tcPr/>
          <w:p>
            <w:pPr>
              <w:pStyle w:val="Compact"/>
              <w:jc w:val="left"/>
            </w:pPr>
            <w:r>
              <w:t xml:space="preserve">Contact</w:t>
            </w:r>
          </w:p>
        </w:tc>
        <w:tc>
          <w:tcPr/>
          <w:p>
            <w:pPr>
              <w:pStyle w:val="Compact"/>
              <w:jc w:val="left"/>
            </w:pPr>
            <w:r>
              <w:t xml:space="preserve">No</w:t>
            </w:r>
          </w:p>
        </w:tc>
        <w:tc>
          <w:tcPr/>
          <w:p>
            <w:pPr>
              <w:pStyle w:val="Compact"/>
              <w:jc w:val="left"/>
            </w:pPr>
            <w:r>
              <w:t xml:space="preserve">2</w:t>
            </w:r>
          </w:p>
        </w:tc>
        <w:tc>
          <w:tcPr/>
          <w:p>
            <w:pPr>
              <w:pStyle w:val="Compact"/>
              <w:jc w:val="right"/>
            </w:pPr>
            <w:r>
              <w:t xml:space="preserve">9.70</w:t>
            </w:r>
          </w:p>
        </w:tc>
        <w:tc>
          <w:tcPr/>
          <w:p>
            <w:pPr>
              <w:pStyle w:val="Compact"/>
              <w:jc w:val="right"/>
            </w:pPr>
            <w:r>
              <w:t xml:space="preserve">1.70</w:t>
            </w:r>
          </w:p>
        </w:tc>
        <w:tc>
          <w:tcPr/>
          <w:p>
            <w:pPr>
              <w:pStyle w:val="Compact"/>
              <w:jc w:val="right"/>
            </w:pPr>
            <w:r>
              <w:t xml:space="preserve">9</w:t>
            </w:r>
          </w:p>
        </w:tc>
        <w:tc>
          <w:tcPr/>
          <w:p>
            <w:pPr>
              <w:pStyle w:val="Compact"/>
              <w:jc w:val="right"/>
            </w:pPr>
            <w:r>
              <w:t xml:space="preserve">8.48</w:t>
            </w:r>
          </w:p>
        </w:tc>
        <w:tc>
          <w:tcPr/>
          <w:p>
            <w:pPr>
              <w:pStyle w:val="Compact"/>
              <w:jc w:val="right"/>
            </w:pPr>
            <w:r>
              <w:t xml:space="preserve">10.92</w:t>
            </w:r>
          </w:p>
        </w:tc>
      </w:tr>
      <w:tr>
        <w:tc>
          <w:tcPr/>
          <w:p>
            <w:pPr>
              <w:pStyle w:val="Compact"/>
              <w:jc w:val="left"/>
            </w:pPr>
            <w:r>
              <w:t xml:space="preserve">direct</w:t>
            </w:r>
          </w:p>
        </w:tc>
        <w:tc>
          <w:tcPr/>
          <w:p>
            <w:pPr>
              <w:pStyle w:val="Compact"/>
              <w:jc w:val="left"/>
            </w:pPr>
            <w:r>
              <w:t xml:space="preserve">No</w:t>
            </w:r>
          </w:p>
        </w:tc>
        <w:tc>
          <w:tcPr/>
          <w:p>
            <w:pPr>
              <w:pStyle w:val="Compact"/>
              <w:jc w:val="left"/>
            </w:pPr>
            <w:r>
              <w:t xml:space="preserve">2</w:t>
            </w:r>
          </w:p>
        </w:tc>
        <w:tc>
          <w:tcPr/>
          <w:p>
            <w:pPr>
              <w:pStyle w:val="Compact"/>
              <w:jc w:val="right"/>
            </w:pPr>
            <w:r>
              <w:t xml:space="preserve">10.20</w:t>
            </w:r>
          </w:p>
        </w:tc>
        <w:tc>
          <w:tcPr/>
          <w:p>
            <w:pPr>
              <w:pStyle w:val="Compact"/>
              <w:jc w:val="right"/>
            </w:pPr>
            <w:r>
              <w:t xml:space="preserve">1.14</w:t>
            </w:r>
          </w:p>
        </w:tc>
        <w:tc>
          <w:tcPr/>
          <w:p>
            <w:pPr>
              <w:pStyle w:val="Compact"/>
              <w:jc w:val="right"/>
            </w:pPr>
            <w:r>
              <w:t xml:space="preserve">9</w:t>
            </w:r>
          </w:p>
        </w:tc>
        <w:tc>
          <w:tcPr/>
          <w:p>
            <w:pPr>
              <w:pStyle w:val="Compact"/>
              <w:jc w:val="right"/>
            </w:pPr>
            <w:r>
              <w:t xml:space="preserve">9.39</w:t>
            </w:r>
          </w:p>
        </w:tc>
        <w:tc>
          <w:tcPr/>
          <w:p>
            <w:pPr>
              <w:pStyle w:val="Compact"/>
              <w:jc w:val="right"/>
            </w:pPr>
            <w:r>
              <w:t xml:space="preserve">11.01</w:t>
            </w:r>
          </w:p>
        </w:tc>
      </w:tr>
    </w:tbl>
    <w:p>
      <w:pPr>
        <w:pStyle w:val="BodyText"/>
      </w:pPr>
      <w:r>
        <w:t xml:space="preserve">From the histograms and table it is already evident that the vaccination affects the infectious period. There seems to be no difference between challenged and contact infected birds.</w:t>
      </w:r>
    </w:p>
    <w:p>
      <w:pPr>
        <w:pStyle w:val="SourceCode"/>
      </w:pPr>
      <w:r>
        <w:rPr>
          <w:rStyle w:val="NormalTok"/>
        </w:rPr>
        <w:t xml:space="preserve">fit.inft </w:t>
      </w:r>
      <w:r>
        <w:rPr>
          <w:rStyle w:val="OtherTok"/>
        </w:rPr>
        <w:t xml:space="preserve">&lt;-</w:t>
      </w:r>
      <w:r>
        <w:rPr>
          <w:rStyle w:val="NormalTok"/>
        </w:rPr>
        <w:t xml:space="preserve"> </w:t>
      </w:r>
      <w:r>
        <w:rPr>
          <w:rStyle w:val="FunctionTok"/>
        </w:rPr>
        <w:t xml:space="preserve">lm</w:t>
      </w:r>
      <w:r>
        <w:rPr>
          <w:rStyle w:val="NormalTok"/>
        </w:rPr>
        <w:t xml:space="preserve">(infT </w:t>
      </w:r>
      <w:r>
        <w:rPr>
          <w:rStyle w:val="SpecialCharTok"/>
        </w:rPr>
        <w:t xml:space="preserve">~</w:t>
      </w:r>
      <w:r>
        <w:rPr>
          <w:rStyle w:val="NormalTok"/>
        </w:rPr>
        <w:t xml:space="preserve"> Vaccinated</w:t>
      </w:r>
      <w:r>
        <w:rPr>
          <w:rStyle w:val="SpecialCharTok"/>
        </w:rPr>
        <w:t xml:space="preserve">+</w:t>
      </w:r>
      <w:r>
        <w:rPr>
          <w:rStyle w:val="NormalTok"/>
        </w:rPr>
        <w:t xml:space="preserve">Challenge, </w:t>
      </w:r>
      <w:r>
        <w:rPr>
          <w:rStyle w:val="AttributeTok"/>
        </w:rPr>
        <w:t xml:space="preserve">data =</w:t>
      </w:r>
      <w:r>
        <w:rPr>
          <w:rStyle w:val="NormalTok"/>
        </w:rPr>
        <w:t xml:space="preserve"> inf.per.data)</w:t>
      </w:r>
      <w:r>
        <w:br/>
      </w:r>
      <w:r>
        <w:rPr>
          <w:rStyle w:val="FunctionTok"/>
        </w:rPr>
        <w:t xml:space="preserve">drop1</w:t>
      </w:r>
      <w:r>
        <w:rPr>
          <w:rStyle w:val="NormalTok"/>
        </w:rPr>
        <w:t xml:space="preserve">(fit.inft)</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infT ~ Vaccinated + Challenge</w:t>
      </w:r>
      <w:r>
        <w:br/>
      </w:r>
      <w:r>
        <w:rPr>
          <w:rStyle w:val="VerbatimChar"/>
        </w:rPr>
        <w:t xml:space="preserve">##            Df Sum of Sq    RSS     AIC</w:t>
      </w:r>
      <w:r>
        <w:br/>
      </w:r>
      <w:r>
        <w:rPr>
          <w:rStyle w:val="VerbatimChar"/>
        </w:rPr>
        <w:t xml:space="preserve">## &lt;none&gt;                   86.05  33.145</w:t>
      </w:r>
      <w:r>
        <w:br/>
      </w:r>
      <w:r>
        <w:rPr>
          <w:rStyle w:val="VerbatimChar"/>
        </w:rPr>
        <w:t xml:space="preserve">## Vaccinated  1    426.67 512.72 120.385</w:t>
      </w:r>
      <w:r>
        <w:br/>
      </w:r>
      <w:r>
        <w:rPr>
          <w:rStyle w:val="VerbatimChar"/>
        </w:rPr>
        <w:t xml:space="preserve">## Challenge   1     11.03  97.07  37.173</w:t>
      </w:r>
    </w:p>
    <w:p>
      <w:pPr>
        <w:pStyle w:val="FirstParagraph"/>
      </w:pPr>
      <w:r>
        <w:t xml:space="preserve">Conclusion there is not difference between the model with and without challenge (difference in AIC less than 2). Still we choose for the most parsimonious model without challenge.</w:t>
      </w:r>
    </w:p>
    <w:p>
      <w:pPr>
        <w:pStyle w:val="TableCaption"/>
      </w:pPr>
      <w:r>
        <w:t xml:space="preserve">Average infectious periods per treatment</w:t>
      </w:r>
    </w:p>
    <w:tbl>
      <w:tblPr>
        <w:tblStyle w:val="Table"/>
        <w:tblW w:type="auto" w:w="0"/>
        <w:tblLook w:firstRow="1" w:lastRow="0" w:firstColumn="0" w:lastColumn="0" w:noHBand="0" w:noVBand="0" w:val="0020"/>
        <w:tblCaption w:val="Average infectious periods per treatment"/>
      </w:tblPr>
      <w:tblGrid>
        <w:gridCol w:w="1320"/>
        <w:gridCol w:w="1320"/>
        <w:gridCol w:w="1320"/>
        <w:gridCol w:w="1320"/>
        <w:gridCol w:w="1320"/>
        <w:gridCol w:w="1320"/>
      </w:tblGrid>
      <w:tr>
        <w:trPr>
          <w:tblHeader w:val="true"/>
        </w:trPr>
        <w:tc>
          <w:tcPr/>
          <w:p>
            <w:pPr>
              <w:pStyle w:val="Compact"/>
              <w:jc w:val="left"/>
            </w:pPr>
            <w:r>
              <w:t xml:space="preserve">Vaccinated</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df</w:t>
            </w:r>
          </w:p>
        </w:tc>
        <w:tc>
          <w:tcPr/>
          <w:p>
            <w:pPr>
              <w:pStyle w:val="Compact"/>
              <w:jc w:val="right"/>
            </w:pPr>
            <w:r>
              <w:t xml:space="preserve">2.5%-CI</w:t>
            </w:r>
          </w:p>
        </w:tc>
        <w:tc>
          <w:tcPr/>
          <w:p>
            <w:pPr>
              <w:pStyle w:val="Compact"/>
              <w:jc w:val="right"/>
            </w:pPr>
            <w:r>
              <w:t xml:space="preserve">97.5%-CI</w:t>
            </w:r>
          </w:p>
        </w:tc>
      </w:tr>
      <w:tr>
        <w:tc>
          <w:tcPr/>
          <w:p>
            <w:pPr>
              <w:pStyle w:val="Compact"/>
              <w:jc w:val="left"/>
            </w:pPr>
            <w:r>
              <w:t xml:space="preserve">No</w:t>
            </w:r>
          </w:p>
        </w:tc>
        <w:tc>
          <w:tcPr/>
          <w:p>
            <w:pPr>
              <w:pStyle w:val="Compact"/>
              <w:jc w:val="right"/>
            </w:pPr>
            <w:r>
              <w:t xml:space="preserve">9.78</w:t>
            </w:r>
          </w:p>
        </w:tc>
        <w:tc>
          <w:tcPr/>
          <w:p>
            <w:pPr>
              <w:pStyle w:val="Compact"/>
              <w:jc w:val="right"/>
            </w:pPr>
            <w:r>
              <w:t xml:space="preserve">1.49</w:t>
            </w:r>
          </w:p>
        </w:tc>
        <w:tc>
          <w:tcPr/>
          <w:p>
            <w:pPr>
              <w:pStyle w:val="Compact"/>
              <w:jc w:val="right"/>
            </w:pPr>
            <w:r>
              <w:t xml:space="preserve">39</w:t>
            </w:r>
          </w:p>
        </w:tc>
        <w:tc>
          <w:tcPr/>
          <w:p>
            <w:pPr>
              <w:pStyle w:val="Compact"/>
              <w:jc w:val="right"/>
            </w:pPr>
            <w:r>
              <w:t xml:space="preserve">9.32</w:t>
            </w:r>
          </w:p>
        </w:tc>
        <w:tc>
          <w:tcPr/>
          <w:p>
            <w:pPr>
              <w:pStyle w:val="Compact"/>
              <w:jc w:val="right"/>
            </w:pPr>
            <w:r>
              <w:t xml:space="preserve">10.23</w:t>
            </w:r>
          </w:p>
        </w:tc>
      </w:tr>
      <w:tr>
        <w:tc>
          <w:tcPr/>
          <w:p>
            <w:pPr>
              <w:pStyle w:val="Compact"/>
              <w:jc w:val="left"/>
            </w:pPr>
            <w:r>
              <w:t xml:space="preserve">Yes</w:t>
            </w:r>
          </w:p>
        </w:tc>
        <w:tc>
          <w:tcPr/>
          <w:p>
            <w:pPr>
              <w:pStyle w:val="Compact"/>
              <w:jc w:val="right"/>
            </w:pPr>
            <w:r>
              <w:t xml:space="preserve">2.30</w:t>
            </w:r>
          </w:p>
        </w:tc>
        <w:tc>
          <w:tcPr/>
          <w:p>
            <w:pPr>
              <w:pStyle w:val="Compact"/>
              <w:jc w:val="right"/>
            </w:pPr>
            <w:r>
              <w:t xml:space="preserve">1.06</w:t>
            </w:r>
          </w:p>
        </w:tc>
        <w:tc>
          <w:tcPr/>
          <w:p>
            <w:pPr>
              <w:pStyle w:val="Compact"/>
              <w:jc w:val="right"/>
            </w:pPr>
            <w:r>
              <w:t xml:space="preserve">9</w:t>
            </w:r>
          </w:p>
        </w:tc>
        <w:tc>
          <w:tcPr/>
          <w:p>
            <w:pPr>
              <w:pStyle w:val="Compact"/>
              <w:jc w:val="right"/>
            </w:pPr>
            <w:r>
              <w:t xml:space="preserve">1.29</w:t>
            </w:r>
          </w:p>
        </w:tc>
        <w:tc>
          <w:tcPr/>
          <w:p>
            <w:pPr>
              <w:pStyle w:val="Compact"/>
              <w:jc w:val="right"/>
            </w:pPr>
            <w:r>
              <w:t xml:space="preserve">3.31</w:t>
            </w:r>
          </w:p>
        </w:tc>
      </w:tr>
    </w:tbl>
    <w:bookmarkEnd w:id="34"/>
    <w:bookmarkStart w:id="35" w:name="X47c0683967dfd7ddbd2cf2c3b3afb70a357ff89"/>
    <w:p>
      <w:pPr>
        <w:pStyle w:val="Heading1"/>
      </w:pPr>
      <w:r>
        <w:t xml:space="preserve">R value of unvaccinated calculated from</w:t>
      </w:r>
      <w:r>
        <w:t xml:space="preserve"> </w:t>
      </w:r>
      <m:oMath>
        <m:r>
          <m:t>β</m:t>
        </m:r>
      </m:oMath>
      <w:r>
        <w:t xml:space="preserve"> </w:t>
      </w:r>
      <w:r>
        <w:t xml:space="preserve">and</w:t>
      </w:r>
      <w:r>
        <w:t xml:space="preserve"> </w:t>
      </w:r>
      <m:oMath>
        <m:r>
          <m:t>T</m:t>
        </m:r>
        <m:r>
          <m:t>i</m:t>
        </m:r>
        <m:r>
          <m:t>n</m:t>
        </m:r>
        <m:r>
          <m:t>f</m:t>
        </m:r>
      </m:oMath>
    </w:p>
    <w:p>
      <w:pPr>
        <w:pStyle w:val="TableCaption"/>
      </w:pPr>
      <w:r>
        <w:t xml:space="preserve">Reproduction number of unvaccinated animals</w:t>
      </w:r>
    </w:p>
    <w:tbl>
      <w:tblPr>
        <w:tblStyle w:val="Table"/>
        <w:tblW w:type="auto" w:w="0"/>
        <w:tblLook w:firstRow="1" w:lastRow="0" w:firstColumn="0" w:lastColumn="0" w:noHBand="0" w:noVBand="0" w:val="0020"/>
        <w:tblCaption w:val="Reproduction number of unvaccinated animals"/>
      </w:tblPr>
      <w:tblGrid>
        <w:gridCol w:w="2640"/>
        <w:gridCol w:w="2640"/>
        <w:gridCol w:w="2640"/>
      </w:tblGrid>
      <w:tr>
        <w:trPr>
          <w:tblHeader w:val="true"/>
        </w:trPr>
        <w:tc>
          <w:tcPr/>
          <w:p>
            <w:pPr>
              <w:pStyle w:val="Compact"/>
              <w:jc w:val="right"/>
            </w:pPr>
            <w:r>
              <w:t xml:space="preserve">R.est</w:t>
            </w:r>
          </w:p>
        </w:tc>
        <w:tc>
          <w:tcPr/>
          <w:p>
            <w:pPr>
              <w:pStyle w:val="Compact"/>
              <w:jc w:val="right"/>
            </w:pPr>
            <w:r>
              <w:t xml:space="preserve">2.5%-CI</w:t>
            </w:r>
          </w:p>
        </w:tc>
        <w:tc>
          <w:tcPr/>
          <w:p>
            <w:pPr>
              <w:pStyle w:val="Compact"/>
              <w:jc w:val="right"/>
            </w:pPr>
            <w:r>
              <w:t xml:space="preserve">97.5%-CI</w:t>
            </w:r>
          </w:p>
        </w:tc>
      </w:tr>
      <w:tr>
        <w:tc>
          <w:tcPr/>
          <w:p>
            <w:pPr>
              <w:pStyle w:val="Compact"/>
              <w:jc w:val="right"/>
            </w:pPr>
            <w:r>
              <w:t xml:space="preserve">5.71</w:t>
            </w:r>
          </w:p>
        </w:tc>
        <w:tc>
          <w:tcPr/>
          <w:p>
            <w:pPr>
              <w:pStyle w:val="Compact"/>
              <w:jc w:val="right"/>
            </w:pPr>
            <w:r>
              <w:t xml:space="preserve">3.56</w:t>
            </w:r>
          </w:p>
        </w:tc>
        <w:tc>
          <w:tcPr/>
          <w:p>
            <w:pPr>
              <w:pStyle w:val="Compact"/>
              <w:jc w:val="right"/>
            </w:pPr>
            <w:r>
              <w:t xml:space="preserve">9.15</w:t>
            </w:r>
          </w:p>
        </w:tc>
      </w:tr>
    </w:tbl>
    <w:bookmarkEnd w:id="35"/>
    <w:bookmarkStart w:id="36" w:name="summary"/>
    <w:p>
      <w:pPr>
        <w:pStyle w:val="Heading1"/>
      </w:pPr>
      <w:r>
        <w:t xml:space="preserve">Summary</w:t>
      </w:r>
    </w:p>
    <w:p>
      <w:pPr>
        <w:numPr>
          <w:ilvl w:val="0"/>
          <w:numId w:val="1003"/>
        </w:numPr>
        <w:pStyle w:val="Compact"/>
      </w:pPr>
      <w:r>
        <w:t xml:space="preserve">Vaccination will reduce the R value from a value larger than 1 to below 1. The best estimate for vaccinated groups is</w:t>
      </w:r>
      <w:r>
        <w:t xml:space="preserve"> </w:t>
      </w:r>
      <m:oMath>
        <m:r>
          <m:t>R</m:t>
        </m:r>
        <m:r>
          <m:rPr>
            <m:sty m:val="p"/>
          </m:rPr>
          <m:t>=</m:t>
        </m:r>
        <m:r>
          <m:t>0</m:t>
        </m:r>
      </m:oMath>
      <w:r>
        <w:t xml:space="preserve"> </w:t>
      </w:r>
      <w:r>
        <w:t xml:space="preserve">with upper limit 0.32. For unvaccinated the</w:t>
      </w:r>
      <w:r>
        <w:t xml:space="preserve"> </w:t>
      </w:r>
      <m:oMath>
        <m:r>
          <m:t>R</m:t>
        </m:r>
      </m:oMath>
      <w:r>
        <w:t xml:space="preserve"> </w:t>
      </w:r>
      <w:r>
        <w:t xml:space="preserve">estimated from final size is</w:t>
      </w:r>
      <w:r>
        <w:t xml:space="preserve"> </w:t>
      </w:r>
      <m:oMath>
        <m:r>
          <m:rPr>
            <m:sty m:val="p"/>
          </m:rPr>
          <m:t>∞</m:t>
        </m:r>
      </m:oMath>
      <w:r>
        <w:t xml:space="preserve"> </w:t>
      </w:r>
      <w:r>
        <w:t xml:space="preserve">with lower limit of 2.06.</w:t>
      </w:r>
    </w:p>
    <w:p>
      <w:pPr>
        <w:numPr>
          <w:ilvl w:val="0"/>
          <w:numId w:val="1003"/>
        </w:numPr>
        <w:pStyle w:val="Compact"/>
      </w:pPr>
      <w:r>
        <w:t xml:space="preserve">In the unvaccinated group some variation in transmission times was observed. The transmission coefficient</w:t>
      </w:r>
      <w:r>
        <w:t xml:space="preserve"> </w:t>
      </w:r>
      <m:oMath>
        <m:r>
          <m:t>β</m:t>
        </m:r>
      </m:oMath>
      <w:r>
        <w:t xml:space="preserve"> </w:t>
      </w:r>
      <w:r>
        <w:t xml:space="preserve">and the infectious period could be estimated from which a more precise R value could be calculated:</w:t>
      </w:r>
    </w:p>
    <w:p>
      <w:pPr>
        <w:numPr>
          <w:ilvl w:val="1"/>
          <w:numId w:val="1004"/>
        </w:numPr>
        <w:pStyle w:val="Compact"/>
      </w:pPr>
      <m:oMath>
        <m:r>
          <m:t>β</m:t>
        </m:r>
      </m:oMath>
      <w:r>
        <w:t xml:space="preserve"> </w:t>
      </w:r>
      <w:r>
        <w:t xml:space="preserve">is</w:t>
      </w:r>
    </w:p>
    <w:p>
      <w:pPr>
        <w:pStyle w:val="SourceCode"/>
      </w:pPr>
      <w:r>
        <w:rPr>
          <w:rStyle w:val="NormalTok"/>
        </w:rPr>
        <w:t xml:space="preserve">  beta.est</w:t>
      </w:r>
    </w:p>
    <w:p>
      <w:pPr>
        <w:pStyle w:val="SourceCode"/>
      </w:pPr>
      <w:r>
        <w:rPr>
          <w:rStyle w:val="VerbatimChar"/>
        </w:rPr>
        <w:t xml:space="preserve">##  est.beta 2.5%-CI 97.5%-CI</w:t>
      </w:r>
      <w:r>
        <w:br/>
      </w:r>
      <w:r>
        <w:rPr>
          <w:rStyle w:val="VerbatimChar"/>
        </w:rPr>
        <w:t xml:space="preserve">##     0.584    0.37      0.9</w:t>
      </w:r>
    </w:p>
    <w:p>
      <w:pPr>
        <w:numPr>
          <w:ilvl w:val="0"/>
          <w:numId w:val="1005"/>
        </w:numPr>
        <w:pStyle w:val="Compact"/>
      </w:pPr>
      <m:oMath>
        <m:r>
          <m:t>T</m:t>
        </m:r>
        <m:r>
          <m:t>i</m:t>
        </m:r>
        <m:r>
          <m:t>n</m:t>
        </m:r>
        <m:r>
          <m:t>f</m:t>
        </m:r>
      </m:oMath>
      <w:r>
        <w:t xml:space="preserve"> </w:t>
      </w:r>
      <w:r>
        <w:t xml:space="preserve">is</w:t>
      </w:r>
    </w:p>
    <w:p>
      <w:pPr>
        <w:pStyle w:val="SourceCode"/>
      </w:pPr>
      <w:r>
        <w:rPr>
          <w:rStyle w:val="NormalTok"/>
        </w:rPr>
        <w:t xml:space="preserve">av.infT.vaccinated.adjusted[</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 A tibble: 1 x 3</w:t>
      </w:r>
      <w:r>
        <w:br/>
      </w:r>
      <w:r>
        <w:rPr>
          <w:rStyle w:val="VerbatimChar"/>
        </w:rPr>
        <w:t xml:space="preserve">##    mean `2.5%-CI` `97.5%-CI`</w:t>
      </w:r>
      <w:r>
        <w:br/>
      </w:r>
      <w:r>
        <w:rPr>
          <w:rStyle w:val="VerbatimChar"/>
        </w:rPr>
        <w:t xml:space="preserve">##   &lt;dbl&gt;     &lt;dbl&gt;      &lt;dbl&gt;</w:t>
      </w:r>
      <w:r>
        <w:br/>
      </w:r>
      <w:r>
        <w:rPr>
          <w:rStyle w:val="VerbatimChar"/>
        </w:rPr>
        <w:t xml:space="preserve">## 1  9.78      9.32       10.2</w:t>
      </w:r>
    </w:p>
    <w:p>
      <w:pPr>
        <w:numPr>
          <w:ilvl w:val="0"/>
          <w:numId w:val="1006"/>
        </w:numPr>
        <w:pStyle w:val="Compact"/>
      </w:pPr>
      <m:oMath>
        <m:sSub>
          <m:e>
            <m:r>
              <m:t>R</m:t>
            </m:r>
          </m:e>
          <m:sub>
            <m:r>
              <m:t>0</m:t>
            </m:r>
          </m:sub>
        </m:sSub>
      </m:oMath>
      <w:r>
        <w:t xml:space="preserve"> </w:t>
      </w:r>
      <w:r>
        <w:t xml:space="preserve">is</w:t>
      </w:r>
    </w:p>
    <w:p>
      <w:pPr>
        <w:pStyle w:val="SourceCode"/>
      </w:pPr>
      <w:r>
        <w:rPr>
          <w:rStyle w:val="NormalTok"/>
        </w:rPr>
        <w:t xml:space="preserve">Rests</w:t>
      </w:r>
    </w:p>
    <w:p>
      <w:pPr>
        <w:pStyle w:val="SourceCode"/>
      </w:pPr>
      <w:r>
        <w:rPr>
          <w:rStyle w:val="VerbatimChar"/>
        </w:rPr>
        <w:t xml:space="preserve">##      R.est  2.5%-CI 97.5%-CI</w:t>
      </w:r>
      <w:r>
        <w:br/>
      </w:r>
      <w:r>
        <w:rPr>
          <w:rStyle w:val="VerbatimChar"/>
        </w:rPr>
        <w:t xml:space="preserve">## 1 5.708109 3.561607 9.148263</w:t>
      </w:r>
    </w:p>
    <w:p>
      <w:pPr>
        <w:pStyle w:val="FirstParagraph"/>
      </w:pPr>
      <w:r>
        <w:t xml:space="preserve">(small difference with beta*Tinf because of rounding. )</w:t>
      </w:r>
    </w:p>
    <w:bookmarkEnd w:id="36"/>
    <w:bookmarkStart w:id="38" w:name="reference"/>
    <w:p>
      <w:pPr>
        <w:pStyle w:val="Heading1"/>
      </w:pPr>
      <w:r>
        <w:t xml:space="preserve">Reference</w:t>
      </w:r>
    </w:p>
    <w:p>
      <w:pPr>
        <w:pStyle w:val="FirstParagraph"/>
      </w:pPr>
      <w:r>
        <w:t xml:space="preserve">Velthuis, A. G. J., Bouma, A., Katsma, W. E. A., Nodelijk, G., &amp; De Jong, M. C. M. (2007). Design and analysis of small-scale transmission experiments with animals. Epidemiology and Infection, 135(2), 202–217.</w:t>
      </w:r>
      <w:r>
        <w:t xml:space="preserve"> </w:t>
      </w:r>
      <w:hyperlink r:id="rId37">
        <w:r>
          <w:rPr>
            <w:rStyle w:val="Hyperlink"/>
          </w:rPr>
          <w:t xml:space="preserve">https://doi.org/10.1017/S095026880600673X</w:t>
        </w:r>
      </w:hyperlink>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hyperlink" Id="rId37" Target="https://doi.org/10.1017/S095026880600673X"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17/S095026880600673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IBV Transmission study to determine the transmission of pathogenic IBV (Challenge) among vaccinated Commercial Broilers compared to that of unvaccinated birds</dc:title>
  <dc:creator>Egil A.J.Fischer</dc:creator>
  <cp:keywords/>
  <dcterms:created xsi:type="dcterms:W3CDTF">2022-08-23T08:44:21Z</dcterms:created>
  <dcterms:modified xsi:type="dcterms:W3CDTF">2022-08-23T08:44:21Z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augustus, 2022</vt:lpwstr>
  </property>
  <property fmtid="{D5CDD505-2E9C-101B-9397-08002B2CF9AE}" pid="3" name="output">
    <vt:lpwstr>word_document</vt:lpwstr>
  </property>
</Properties>
</file>