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B2A4A"/>
          <w:sz w:val="30"/>
          <w:szCs w:val="30"/>
        </w:rPr>
        <w:t xml:space="preserve">CodiviumKatexScoring.v1.cs</w:t>
      </w:r>
    </w:p>
    <w:p>
      <w:r>
        <w:t xml:space="preserve"/>
      </w:r>
    </w:p>
    <w:p>
      <w:r>
        <w:rPr>
          <w:rFonts w:ascii="Arial" w:cs="Arial" w:eastAsia="Arial" w:hAnsi="Arial"/>
          <w:b w:val="false"/>
          <w:bCs w:val="false"/>
          <w:color w:val="1A1A1A"/>
          <w:sz w:val="19"/>
          <w:szCs w:val="19"/>
        </w:rPr>
        <w:t xml:space="preserve">File: backend/CodiviumKatexScoring.v1.cs   ·   34 KB</w:t>
      </w:r>
    </w:p>
    <w:p>
      <w:r>
        <w:rPr>
          <w:rFonts w:ascii="Arial" w:cs="Arial" w:eastAsia="Arial" w:hAnsi="Arial"/>
          <w:b w:val="false"/>
          <w:bCs w:val="false"/>
          <w:color w:val="1A1A1A"/>
          <w:sz w:val="19"/>
          <w:szCs w:val="19"/>
        </w:rPr>
        <w:t xml:space="preserve">Purpose: Executable mirror of the KaTeX scoring formulae. The only file where scoring maths are implemented. All formula constants come from ScoringConfig.</w:t>
      </w:r>
    </w:p>
    <w:p>
      <w:r>
        <w:t xml:space="preserve"/>
      </w:r>
    </w:p>
    <w:p>
      <w:pPr>
        <w:pBdr>
          <w:bottom w:val="single" w:color="0D6E6E" w:sz="4" w:space="1"/>
        </w:pBdr>
      </w:pPr>
      <w:r>
        <w:t xml:space="preserve"/>
      </w:r>
    </w:p>
    <w:p>
      <w:r>
        <w:t xml:space="preserve"/>
      </w:r>
    </w:p>
    <w:p>
      <w:pPr>
        <w:shd w:fill="1B2A4A" w:val="clear"/>
        <w:spacing w:before="200" w:after="100"/>
      </w:pPr>
      <w:r>
        <w:rPr>
          <w:rFonts w:ascii="Arial" w:cs="Arial" w:eastAsia="Arial" w:hAnsi="Arial"/>
          <w:b/>
          <w:bCs/>
          <w:color w:val="FFFFFF"/>
          <w:sz w:val="22"/>
          <w:szCs w:val="22"/>
        </w:rPr>
        <w:t xml:space="preserve">  ComputeAll  ← PRIMARY ENTRY POINT</w:t>
      </w:r>
    </w:p>
    <w:p>
      <w:r>
        <w:t xml:space="preserve"/>
      </w:r>
    </w:p>
    <w:p>
      <w:pPr>
        <w:pStyle w:val="Heading2"/>
      </w:pPr>
      <w:r>
        <w:rPr>
          <w:rFonts w:ascii="Arial" w:cs="Arial" w:eastAsia="Arial" w:hAnsi="Arial"/>
          <w:b/>
          <w:bCs/>
          <w:color w:val="0D6E6E"/>
          <w:sz w:val="24"/>
          <w:szCs w:val="24"/>
        </w:rPr>
        <w:t xml:space="preserve">Purpose</w:t>
      </w:r>
    </w:p>
    <w:p>
      <w:r>
        <w:rPr>
          <w:rFonts w:ascii="Arial" w:cs="Arial" w:eastAsia="Arial" w:hAnsi="Arial"/>
          <w:b w:val="false"/>
          <w:bCs w:val="false"/>
          <w:color w:val="1A1A1A"/>
          <w:sz w:val="19"/>
          <w:szCs w:val="19"/>
        </w:rPr>
        <w:t xml:space="preserve">Computes all KaTeX scoring metrics from raw session data. This is the executable source of truth for every scored value shown on the Performance Insights dashboard.</w:t>
      </w:r>
    </w:p>
    <w:p>
      <w:r>
        <w:t xml:space="preserve"/>
      </w:r>
    </w:p>
    <w:p>
      <w:pPr>
        <w:pStyle w:val="Heading2"/>
      </w:pPr>
      <w:r>
        <w:rPr>
          <w:rFonts w:ascii="Arial" w:cs="Arial" w:eastAsia="Arial" w:hAnsi="Arial"/>
          <w:b/>
          <w:bCs/>
          <w:color w:val="0D6E6E"/>
          <w:sz w:val="24"/>
          <w:szCs w:val="24"/>
        </w:rPr>
        <w:t xml:space="preserve">Signature</w:t>
      </w:r>
    </w:p>
    <w:p>
      <w:pPr>
        <w:shd w:fill="EEF2F7" w:val="clear"/>
        <w:ind w:left="280"/>
      </w:pPr>
      <w:r>
        <w:rPr>
          <w:rFonts w:ascii="Courier New" w:cs="Courier New" w:eastAsia="Courier New" w:hAnsi="Courier New"/>
          <w:color w:val="1A3A1A"/>
          <w:sz w:val="16"/>
          <w:szCs w:val="16"/>
        </w:rPr>
        <w:t xml:space="preserve">public static KatexAllResults ComputeAll(</w:t>
      </w:r>
    </w:p>
    <w:p>
      <w:pPr>
        <w:shd w:fill="EEF2F7" w:val="clear"/>
        <w:ind w:left="280"/>
      </w:pPr>
      <w:r>
        <w:rPr>
          <w:rFonts w:ascii="Courier New" w:cs="Courier New" w:eastAsia="Courier New" w:hAnsi="Courier New"/>
          <w:color w:val="1A3A1A"/>
          <w:sz w:val="16"/>
          <w:szCs w:val="16"/>
        </w:rPr>
        <w:t xml:space="preserve">    CodiviumScoring.CodiviumRawData rawData,</w:t>
      </w:r>
    </w:p>
    <w:p>
      <w:pPr>
        <w:shd w:fill="EEF2F7" w:val="clear"/>
        <w:ind w:left="280"/>
      </w:pPr>
      <w:r>
        <w:rPr>
          <w:rFonts w:ascii="Courier New" w:cs="Courier New" w:eastAsia="Courier New" w:hAnsi="Courier New"/>
          <w:color w:val="1A3A1A"/>
          <w:sz w:val="16"/>
          <w:szCs w:val="16"/>
        </w:rPr>
        <w:t xml:space="preserve">    CodiviumCatalog.Catalog         catalog,</w:t>
      </w:r>
    </w:p>
    <w:p>
      <w:pPr>
        <w:shd w:fill="EEF2F7" w:val="clear"/>
        <w:ind w:left="280"/>
      </w:pPr>
      <w:r>
        <w:rPr>
          <w:rFonts w:ascii="Courier New" w:cs="Courier New" w:eastAsia="Courier New" w:hAnsi="Courier New"/>
          <w:color w:val="1A3A1A"/>
          <w:sz w:val="16"/>
          <w:szCs w:val="16"/>
        </w:rPr>
        <w:t xml:space="preserve">    DateTimeOffset                  asOfUtc)</w:t>
      </w:r>
    </w:p>
    <w:p>
      <w:r>
        <w:t xml:space="preserve"/>
      </w:r>
    </w:p>
    <w:p>
      <w:pPr>
        <w:pStyle w:val="Heading2"/>
      </w:pPr>
      <w:r>
        <w:rPr>
          <w:rFonts w:ascii="Arial" w:cs="Arial" w:eastAsia="Arial" w:hAnsi="Arial"/>
          <w:b/>
          <w:bCs/>
          <w:color w:val="0D6E6E"/>
          <w:sz w:val="24"/>
          <w:szCs w:val="24"/>
        </w:rPr>
        <w:t xml:space="preserve">Input Parameters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5166"/>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rawData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CodiviumScoring.CodiviumRawData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5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user activity data. Config, coding sessions, MCQ attempts, UniqueCorrectMcqAllTime.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catalog</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CodiviumCatalog.Catalog</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51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Normalised category universe built from ScoringConfig by CodiviumCatalog.Build(cfg). Provides the category set all breadth calculations are measured against.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asOfUtc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DateTimeOffset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5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Reference date for recency decay. Must be UTC.</w:t>
            </w:r>
          </w:p>
        </w:tc>
      </w:tr>
    </w:tbl>
    <w:p>
      <w:r>
        <w:t xml:space="preserve"/>
      </w:r>
    </w:p>
    <w:p>
      <w:pPr>
        <w:pStyle w:val="Heading2"/>
      </w:pPr>
      <w:r>
        <w:rPr>
          <w:rFonts w:ascii="Arial" w:cs="Arial" w:eastAsia="Arial" w:hAnsi="Arial"/>
          <w:b/>
          <w:bCs/>
          <w:color w:val="0D6E6E"/>
          <w:sz w:val="24"/>
          <w:szCs w:val="24"/>
        </w:rPr>
        <w:t xml:space="preserve">Output: KatexAllResults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4066"/>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JSON key</w:t>
            </w:r>
          </w:p>
        </w:tc>
        <w:tc>
          <w:tcPr>
            <w:tcW w:type="dxa" w:w="406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AsOfUtc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DateTimeOffset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asOfUtc</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Echo of the input asOfUtc — pass through to downstream consumers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EvidenceByTrackByCategory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Dict&lt;string, Dict&lt;string,double&gt;&gt;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Raw evidence values per track per category. Key1: track ("micro","interview","mcq"). Key2: category name. Used by breadth and depth builders.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BreadthByTrack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Dict&lt;string, double&gt;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Breadth score (0–100) per track. Keys: "micro", "interview", "mcq".</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OverallBreadth</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 (0–100)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breadthOverall</w:t>
            </w:r>
          </w:p>
        </w:tc>
        <w:tc>
          <w:tcPr>
            <w:tcW w:type="dxa" w:w="4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Weighted combination: 0.4×micro + 0.4×interview + 0.2×mcq</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DepthByTrack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Dict&lt;string, double&gt;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Depth score (0–100) per coding track. Keys: "micro", "interview". MCQ has no depth.</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OverallDepth</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 (0–100)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depthOverall</w:t>
            </w:r>
          </w:p>
        </w:tc>
        <w:tc>
          <w:tcPr>
            <w:tcW w:type="dxa" w:w="4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Combined depth: 0.5×micro + 0.5×interview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CodiviumScore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 (0–100)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codiviumScore</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Harmonic mean of OverallBreadth and OverallDepth. Returns 0 if either is 0.</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PointsAllTime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 (uncapped)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codiviumPointsAll</w:t>
            </w:r>
          </w:p>
        </w:tc>
        <w:tc>
          <w:tcPr>
            <w:tcW w:type="dxa" w:w="4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Cumulative KaTeX points across all history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PointsLast30Days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 (uncapped)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codiviumPoints30</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Points from sessions in last 30 days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EfficiencyPointsPerHour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efficiencyPtsPerHr</w:t>
            </w:r>
          </w:p>
        </w:tc>
        <w:tc>
          <w:tcPr>
            <w:tcW w:type="dxa" w:w="4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Points per hour of active coding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DepthChartByCategory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Dict&lt;string,double&gt;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Per-category depth scores for the depth chart (combined coding, not per-track)</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WeightedMcqScore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 (0–100)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weightedMcqScore</w:t>
            </w:r>
          </w:p>
        </w:tc>
        <w:tc>
          <w:tcPr>
            <w:tcW w:type="dxa" w:w="4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Difficulty-weighted recency-decayed MCQ performance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FirstTryPassRate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 (0–100)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firstTryPassRate</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coding exercises solved on first attempt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AvgAttemptsToAC</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avgAttemptsToAC</w:t>
            </w:r>
          </w:p>
        </w:tc>
        <w:tc>
          <w:tcPr>
            <w:tcW w:type="dxa" w:w="4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Mean attempt count to accepted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MedianTimeToACMinutes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medianTimeToACMinutes</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Median minutes to accepted</w:t>
            </w:r>
          </w:p>
        </w:tc>
      </w:tr>
    </w:tbl>
    <w:p>
      <w:r>
        <w:t xml:space="preserve"/>
      </w:r>
    </w:p>
    <w:p>
      <w:pPr>
        <w:pStyle w:val="Heading2"/>
      </w:pPr>
      <w:r>
        <w:rPr>
          <w:rFonts w:ascii="Arial" w:cs="Arial" w:eastAsia="Arial" w:hAnsi="Arial"/>
          <w:b/>
          <w:bCs/>
          <w:color w:val="0D6E6E"/>
          <w:sz w:val="24"/>
          <w:szCs w:val="24"/>
        </w:rPr>
        <w:t xml:space="preserve">Called by</w:t>
      </w:r>
    </w:p>
    <w:p>
      <w:pPr>
        <w:ind w:left="600" w:hanging="300"/>
      </w:pPr>
      <w:r>
        <w:rPr>
          <w:rFonts w:ascii="Arial" w:cs="Arial" w:eastAsia="Arial" w:hAnsi="Arial"/>
          <w:color w:val="1A1A1A"/>
          <w:sz w:val="19"/>
          <w:szCs w:val="19"/>
        </w:rPr>
        <w:t xml:space="preserve">•  CodiviumScoring.ComputeScoreBundle() — wraps ComputeAll and adds legacy score dict</w:t>
      </w:r>
    </w:p>
    <w:p>
      <w:pPr>
        <w:ind w:left="600" w:hanging="300"/>
      </w:pPr>
      <w:r>
        <w:rPr>
          <w:rFonts w:ascii="Arial" w:cs="Arial" w:eastAsia="Arial" w:hAnsi="Arial"/>
          <w:color w:val="1A1A1A"/>
          <w:sz w:val="19"/>
          <w:szCs w:val="19"/>
        </w:rPr>
        <w:t xml:space="preserve">•  CodiviumDashboardPayloadV2Adapter.BuildFromRaw() — calls ComputeScoreBundle which calls this</w:t>
      </w:r>
    </w:p>
    <w:p>
      <w:r>
        <w:t xml:space="preserve"/>
      </w:r>
    </w:p>
    <w:p>
      <w:pPr>
        <w:pStyle w:val="Heading2"/>
      </w:pPr>
      <w:r>
        <w:rPr>
          <w:rFonts w:ascii="Arial" w:cs="Arial" w:eastAsia="Arial" w:hAnsi="Arial"/>
          <w:b/>
          <w:bCs/>
          <w:color w:val="0D6E6E"/>
          <w:sz w:val="24"/>
          <w:szCs w:val="24"/>
        </w:rPr>
        <w:t xml:space="preserve">Where output is used</w:t>
      </w:r>
    </w:p>
    <w:p>
      <w:r>
        <w:rPr>
          <w:rFonts w:ascii="Arial" w:cs="Arial" w:eastAsia="Arial" w:hAnsi="Arial"/>
          <w:b w:val="false"/>
          <w:bCs w:val="false"/>
          <w:color w:val="1A1A1A"/>
          <w:sz w:val="19"/>
          <w:szCs w:val="19"/>
        </w:rPr>
        <w:t xml:space="preserve">KatexAllResults is passed to: CodiviumInsights.BuildAll(), CodiviumRecommendedActions.BuildFromKatex(), CodiviumDepthByCategory.AdaptForDashboard(), CodiviumHeatmapFocusBuilder.BuildFocus(). Every metric displayed on the Performance Insights dashboard originates from this output.</w:t>
      </w:r>
    </w:p>
    <w:p>
      <w:r>
        <w:t xml:space="preserve"/>
      </w:r>
    </w:p>
    <w:p>
      <w:pPr>
        <w:pStyle w:val="Heading2"/>
      </w:pPr>
      <w:r>
        <w:rPr>
          <w:rFonts w:ascii="Arial" w:cs="Arial" w:eastAsia="Arial" w:hAnsi="Arial"/>
          <w:b/>
          <w:bCs/>
          <w:color w:val="0D6E6E"/>
          <w:sz w:val="24"/>
          <w:szCs w:val="24"/>
        </w:rPr>
        <w:t xml:space="preserve">Example Call</w:t>
      </w:r>
    </w:p>
    <w:p>
      <w:pPr>
        <w:shd w:fill="EEF2F7" w:val="clear"/>
        <w:ind w:left="280"/>
      </w:pPr>
      <w:r>
        <w:rPr>
          <w:rFonts w:ascii="Courier New" w:cs="Courier New" w:eastAsia="Courier New" w:hAnsi="Courier New"/>
          <w:color w:val="1A3A1A"/>
          <w:sz w:val="16"/>
          <w:szCs w:val="16"/>
        </w:rPr>
        <w:t xml:space="preserve">var catalog = CodiviumCatalog.Build(rawData.Config);</w:t>
      </w:r>
    </w:p>
    <w:p>
      <w:pPr>
        <w:shd w:fill="EEF2F7" w:val="clear"/>
        <w:ind w:left="280"/>
      </w:pPr>
      <w:r>
        <w:rPr>
          <w:rFonts w:ascii="Courier New" w:cs="Courier New" w:eastAsia="Courier New" w:hAnsi="Courier New"/>
          <w:color w:val="1A3A1A"/>
          <w:sz w:val="16"/>
          <w:szCs w:val="16"/>
        </w:rPr>
        <w:t xml:space="preserve">var katex   = CodiviumKatexScoring.ComputeAll(rawData, catalog, DateTimeOffset.UtcNow);</w:t>
      </w:r>
    </w:p>
    <w:p>
      <w:pPr>
        <w:shd w:fill="EEF2F7" w:val="clear"/>
        <w:ind w:left="280"/>
      </w:pPr>
      <w:r>
        <w:rPr>
          <w:rFonts w:ascii="Courier New" w:cs="Courier New" w:eastAsia="Courier New" w:hAnsi="Courier New"/>
          <w:color w:val="1A3A1A"/>
          <w:sz w:val="16"/>
          <w:szCs w:val="16"/>
        </w:rPr>
        <w:t xml:space="preserve">double score = katex.CodiviumScore;  // e.g. 47.3</w:t>
      </w:r>
    </w:p>
    <w:p>
      <w:r>
        <w:t xml:space="preserve"/>
      </w:r>
    </w:p>
    <w:p>
      <w:pPr>
        <w:pStyle w:val="Heading2"/>
      </w:pPr>
      <w:r>
        <w:rPr>
          <w:rFonts w:ascii="Arial" w:cs="Arial" w:eastAsia="Arial" w:hAnsi="Arial"/>
          <w:b/>
          <w:bCs/>
          <w:color w:val="0D6E6E"/>
          <w:sz w:val="24"/>
          <w:szCs w:val="24"/>
        </w:rPr>
        <w:t xml:space="preserve">Example call file</w:t>
      </w:r>
    </w:p>
    <w:p>
      <w:r>
        <w:rPr>
          <w:rFonts w:ascii="Arial" w:cs="Arial" w:eastAsia="Arial" w:hAnsi="Arial"/>
          <w:b w:val="false"/>
          <w:bCs w:val="false"/>
          <w:color w:val="1A1A1A"/>
          <w:sz w:val="19"/>
          <w:szCs w:val="19"/>
        </w:rPr>
        <w:t xml:space="preserve">backend/tests/KatexScoringEngineTests.cs — ComputeAll is called directly in every test method. EC-01 through EC-10 edge-case fixtures all call this function.</w:t>
      </w:r>
    </w:p>
    <w:p>
      <w:r>
        <w:t xml:space="preserve"/>
      </w:r>
    </w:p>
    <w:p>
      <w:pPr>
        <w:pStyle w:val="Heading2"/>
      </w:pPr>
      <w:r>
        <w:rPr>
          <w:rFonts w:ascii="Arial" w:cs="Arial" w:eastAsia="Arial" w:hAnsi="Arial"/>
          <w:b/>
          <w:bCs/>
          <w:color w:val="0D6E6E"/>
          <w:sz w:val="24"/>
          <w:szCs w:val="24"/>
        </w:rPr>
        <w:t xml:space="preserve">Warnings</w:t>
      </w:r>
    </w:p>
    <w:p>
      <w:pPr>
        <w:shd w:fill="FFF8DC" w:val="clear"/>
        <w:ind w:left="160" w:right="160"/>
      </w:pPr>
      <w:r>
        <w:rPr>
          <w:rFonts w:ascii="Arial" w:cs="Arial" w:eastAsia="Arial" w:hAnsi="Arial"/>
          <w:b/>
          <w:bCs/>
          <w:color w:val="E65100"/>
          <w:sz w:val="18"/>
          <w:szCs w:val="18"/>
        </w:rPr>
        <w:t xml:space="preserve">⚠  catalog must be built from the same ScoringConfig as rawData.Config. Passing a mismatched catalog will produce incorrect breadth scores.</w:t>
      </w:r>
    </w:p>
    <w:p>
      <w:pPr>
        <w:shd w:fill="FFF8DC" w:val="clear"/>
        <w:ind w:left="160" w:right="160"/>
      </w:pPr>
      <w:r>
        <w:rPr>
          <w:rFonts w:ascii="Arial" w:cs="Arial" w:eastAsia="Arial" w:hAnsi="Arial"/>
          <w:b/>
          <w:bCs/>
          <w:color w:val="E65100"/>
          <w:sz w:val="18"/>
          <w:szCs w:val="18"/>
        </w:rPr>
        <w:t xml:space="preserve">⚠  asOfUtc must be UTC. A local timestamp shifts all recency decay windows.</w:t>
      </w:r>
    </w:p>
    <w:p>
      <w:pPr>
        <w:shd w:fill="FFF8DC" w:val="clear"/>
        <w:ind w:left="160" w:right="160"/>
      </w:pPr>
      <w:r>
        <w:rPr>
          <w:rFonts w:ascii="Arial" w:cs="Arial" w:eastAsia="Arial" w:hAnsi="Arial"/>
          <w:b/>
          <w:bCs/>
          <w:color w:val="E65100"/>
          <w:sz w:val="18"/>
          <w:szCs w:val="18"/>
        </w:rPr>
        <w:t xml:space="preserve">⚠  All formula constants (weights, decay half-life, beta) are read from rawData.Config. Never hardcode constants — always use the config object.</w:t>
      </w:r>
    </w:p>
    <w:p>
      <w:pPr>
        <w:shd w:fill="FFF8DC" w:val="clear"/>
        <w:ind w:left="160" w:right="160"/>
      </w:pPr>
      <w:r>
        <w:rPr>
          <w:rFonts w:ascii="Arial" w:cs="Arial" w:eastAsia="Arial" w:hAnsi="Arial"/>
          <w:b/>
          <w:bCs/>
          <w:color w:val="E65100"/>
          <w:sz w:val="18"/>
          <w:szCs w:val="18"/>
        </w:rPr>
        <w:t xml:space="preserve">⚠  ComputeEvidenceByTrackByCategory is a public helper called by downstream builders. Do not call it independently unless you have already validated the catalog.</w:t>
      </w:r>
    </w:p>
    <w:p>
      <w:r>
        <w:t xml:space="preserve"/>
      </w:r>
    </w:p>
    <w:p>
      <w:pPr>
        <w:pStyle w:val="Heading2"/>
      </w:pPr>
      <w:r>
        <w:rPr>
          <w:rFonts w:ascii="Arial" w:cs="Arial" w:eastAsia="Arial" w:hAnsi="Arial"/>
          <w:b/>
          <w:bCs/>
          <w:color w:val="0D6E6E"/>
          <w:sz w:val="24"/>
          <w:szCs w:val="24"/>
        </w:rPr>
        <w:t xml:space="preserve">Related pages</w:t>
      </w:r>
    </w:p>
    <w:p>
      <w:r>
        <w:rPr>
          <w:rFonts w:ascii="Arial" w:cs="Arial" w:eastAsia="Arial" w:hAnsi="Arial"/>
          <w:b w:val="false"/>
          <w:bCs w:val="false"/>
          <w:color w:val="1A1A1A"/>
          <w:sz w:val="19"/>
          <w:szCs w:val="19"/>
        </w:rPr>
        <w:t xml:space="preserve">Performance Insights — all scored metrics originate here.</w:t>
      </w:r>
    </w:p>
    <w:p>
      <w:r>
        <w:t xml:space="preserve"/>
      </w:r>
    </w:p>
    <w:p>
      <w:pPr>
        <w:pBdr>
          <w:bottom w:val="single" w:color="0D6E6E" w:sz="4" w:space="1"/>
        </w:pBdr>
      </w:pPr>
      <w:r>
        <w:t xml:space="preserve"/>
      </w:r>
    </w:p>
    <w:p>
      <w:r>
        <w:t xml:space="preserve"/>
      </w:r>
    </w:p>
    <w:p>
      <w:pPr>
        <w:shd w:fill="1B2A4A" w:val="clear"/>
        <w:spacing w:before="200" w:after="100"/>
      </w:pPr>
      <w:r>
        <w:rPr>
          <w:rFonts w:ascii="Arial" w:cs="Arial" w:eastAsia="Arial" w:hAnsi="Arial"/>
          <w:b/>
          <w:bCs/>
          <w:color w:val="FFFFFF"/>
          <w:sz w:val="22"/>
          <w:szCs w:val="22"/>
        </w:rPr>
        <w:t xml:space="preserve">  ComputeEvidenceByTrackByCategory</w:t>
      </w:r>
    </w:p>
    <w:p>
      <w:r>
        <w:t xml:space="preserve"/>
      </w:r>
    </w:p>
    <w:p>
      <w:pPr>
        <w:pStyle w:val="Heading2"/>
      </w:pPr>
      <w:r>
        <w:rPr>
          <w:rFonts w:ascii="Arial" w:cs="Arial" w:eastAsia="Arial" w:hAnsi="Arial"/>
          <w:b/>
          <w:bCs/>
          <w:color w:val="0D6E6E"/>
          <w:sz w:val="24"/>
          <w:szCs w:val="24"/>
        </w:rPr>
        <w:t xml:space="preserve">Purpose</w:t>
      </w:r>
    </w:p>
    <w:p>
      <w:r>
        <w:rPr>
          <w:rFonts w:ascii="Arial" w:cs="Arial" w:eastAsia="Arial" w:hAnsi="Arial"/>
          <w:b w:val="false"/>
          <w:bCs w:val="false"/>
          <w:color w:val="1A1A1A"/>
          <w:sz w:val="19"/>
          <w:szCs w:val="19"/>
        </w:rPr>
        <w:t xml:space="preserve">Public helper that computes the raw evidence values per track per category. Called by ComputeAll but also available for downstream builders that need raw evidence without running the full scoring pipeline.</w:t>
      </w:r>
    </w:p>
    <w:p>
      <w:r>
        <w:t xml:space="preserve"/>
      </w:r>
    </w:p>
    <w:p>
      <w:pPr>
        <w:pStyle w:val="Heading2"/>
      </w:pPr>
      <w:r>
        <w:rPr>
          <w:rFonts w:ascii="Arial" w:cs="Arial" w:eastAsia="Arial" w:hAnsi="Arial"/>
          <w:b/>
          <w:bCs/>
          <w:color w:val="0D6E6E"/>
          <w:sz w:val="24"/>
          <w:szCs w:val="24"/>
        </w:rPr>
        <w:t xml:space="preserve">Signature</w:t>
      </w:r>
    </w:p>
    <w:p>
      <w:pPr>
        <w:shd w:fill="EEF2F7" w:val="clear"/>
        <w:ind w:left="280"/>
      </w:pPr>
      <w:r>
        <w:rPr>
          <w:rFonts w:ascii="Courier New" w:cs="Courier New" w:eastAsia="Courier New" w:hAnsi="Courier New"/>
          <w:color w:val="1A3A1A"/>
          <w:sz w:val="16"/>
          <w:szCs w:val="16"/>
        </w:rPr>
        <w:t xml:space="preserve">public static Dictionary&lt;string, Dictionary&lt;string, double&gt;&gt;</w:t>
      </w:r>
    </w:p>
    <w:p>
      <w:pPr>
        <w:shd w:fill="EEF2F7" w:val="clear"/>
        <w:ind w:left="280"/>
      </w:pPr>
      <w:r>
        <w:rPr>
          <w:rFonts w:ascii="Courier New" w:cs="Courier New" w:eastAsia="Courier New" w:hAnsi="Courier New"/>
          <w:color w:val="1A3A1A"/>
          <w:sz w:val="16"/>
          <w:szCs w:val="16"/>
        </w:rPr>
        <w:t xml:space="preserve">    ComputeEvidenceByTrackByCategory(</w:t>
      </w:r>
    </w:p>
    <w:p>
      <w:pPr>
        <w:shd w:fill="EEF2F7" w:val="clear"/>
        <w:ind w:left="280"/>
      </w:pPr>
      <w:r>
        <w:rPr>
          <w:rFonts w:ascii="Courier New" w:cs="Courier New" w:eastAsia="Courier New" w:hAnsi="Courier New"/>
          <w:color w:val="1A3A1A"/>
          <w:sz w:val="16"/>
          <w:szCs w:val="16"/>
        </w:rPr>
        <w:t xml:space="preserve">        CodiviumScoring.CodiviumRawData rawData,</w:t>
      </w:r>
    </w:p>
    <w:p>
      <w:pPr>
        <w:shd w:fill="EEF2F7" w:val="clear"/>
        <w:ind w:left="280"/>
      </w:pPr>
      <w:r>
        <w:rPr>
          <w:rFonts w:ascii="Courier New" w:cs="Courier New" w:eastAsia="Courier New" w:hAnsi="Courier New"/>
          <w:color w:val="1A3A1A"/>
          <w:sz w:val="16"/>
          <w:szCs w:val="16"/>
        </w:rPr>
        <w:t xml:space="preserve">        CodiviumCatalog.Catalog         catalog,</w:t>
      </w:r>
    </w:p>
    <w:p>
      <w:pPr>
        <w:shd w:fill="EEF2F7" w:val="clear"/>
        <w:ind w:left="280"/>
      </w:pPr>
      <w:r>
        <w:rPr>
          <w:rFonts w:ascii="Courier New" w:cs="Courier New" w:eastAsia="Courier New" w:hAnsi="Courier New"/>
          <w:color w:val="1A3A1A"/>
          <w:sz w:val="16"/>
          <w:szCs w:val="16"/>
        </w:rPr>
        <w:t xml:space="preserve">        DateTimeOffset                  asOfUtc)</w:t>
      </w:r>
    </w:p>
    <w:p>
      <w:r>
        <w:t xml:space="preserve"/>
      </w:r>
    </w:p>
    <w:p>
      <w:pPr>
        <w:pStyle w:val="Heading2"/>
      </w:pPr>
      <w:r>
        <w:rPr>
          <w:rFonts w:ascii="Arial" w:cs="Arial" w:eastAsia="Arial" w:hAnsi="Arial"/>
          <w:b/>
          <w:bCs/>
          <w:color w:val="0D6E6E"/>
          <w:sz w:val="24"/>
          <w:szCs w:val="24"/>
        </w:rPr>
        <w:t xml:space="preserve">Output</w:t>
      </w:r>
    </w:p>
    <w:p>
      <w:r>
        <w:rPr>
          <w:rFonts w:ascii="Arial" w:cs="Arial" w:eastAsia="Arial" w:hAnsi="Arial"/>
          <w:b w:val="false"/>
          <w:bCs w:val="false"/>
          <w:color w:val="1A1A1A"/>
          <w:sz w:val="19"/>
          <w:szCs w:val="19"/>
        </w:rPr>
        <w:t xml:space="preserve">Nested dictionary: outer key = track ("micro","interview","mcq"), inner key = category name, value = evidence score (0+, uncapped). Evidence drives both breadth and depth calculations.</w:t>
      </w:r>
    </w:p>
    <w:p>
      <w:r>
        <w:t xml:space="preserve"/>
      </w:r>
    </w:p>
    <w:p>
      <w:pPr>
        <w:pStyle w:val="Heading2"/>
      </w:pPr>
      <w:r>
        <w:rPr>
          <w:rFonts w:ascii="Arial" w:cs="Arial" w:eastAsia="Arial" w:hAnsi="Arial"/>
          <w:b/>
          <w:bCs/>
          <w:color w:val="0D6E6E"/>
          <w:sz w:val="24"/>
          <w:szCs w:val="24"/>
        </w:rPr>
        <w:t xml:space="preserve">Warnings</w:t>
      </w:r>
    </w:p>
    <w:p>
      <w:pPr>
        <w:shd w:fill="FFF8DC" w:val="clear"/>
        <w:ind w:left="160" w:right="160"/>
      </w:pPr>
      <w:r>
        <w:rPr>
          <w:rFonts w:ascii="Arial" w:cs="Arial" w:eastAsia="Arial" w:hAnsi="Arial"/>
          <w:b/>
          <w:bCs/>
          <w:color w:val="E65100"/>
          <w:sz w:val="18"/>
          <w:szCs w:val="18"/>
        </w:rPr>
        <w:t xml:space="preserve">⚠  Evidence values are unbounded above 0. Do not use as a display value — pass to breadth/depth formulas instead.</w:t>
      </w:r>
    </w:p>
    <w:sectPr>
      <w:headerReference w:type="default" r:id="rId6"/>
      <w:pgSz w:w="11906" w:h="16838" w:orient="portrait"/>
      <w:pgMar w:top="960" w:right="680" w:bottom="96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pBdr>
    </w:pPr>
    <w:r>
      <w:rPr>
        <w:rFonts w:ascii="Arial" w:cs="Arial" w:eastAsia="Arial" w:hAnsi="Arial"/>
        <w:b/>
        <w:bCs/>
        <w:color w:val="1B2A4A"/>
        <w:sz w:val="18"/>
        <w:szCs w:val="18"/>
      </w:rPr>
      <w:t xml:space="preserve">Codivium v1.1.0 — C# Function Reference: CodiviumKatexScoring.v1.docx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0D6E6E"/>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B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2026-03-30T20:03:56.943Z</dcterms:created>
  <dcterms:modified xsi:type="dcterms:W3CDTF">2026-03-30T20:03:56.943Z</dcterms:modified>
</cp:coreProperties>
</file>

<file path=docProps/custom.xml><?xml version="1.0" encoding="utf-8"?>
<Properties xmlns="http://schemas.openxmlformats.org/officeDocument/2006/custom-properties" xmlns:vt="http://schemas.openxmlformats.org/officeDocument/2006/docPropsVTypes"/>
</file>