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 admin → Ürünler tablosuna da uygulandı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src/app/admin/products/product-category-groups.tsx</w:t>
      </w:r>
      <w:r>
        <w:rPr>
          <w:sz w:val="21"/>
          <w:szCs w:val="21"/>
        </w:rPr>
        <w:t xml:space="preserve"> +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product-table.tsx</w:t>
      </w:r>
      <w:r>
        <w:rPr>
          <w:sz w:val="21"/>
          <w:szCs w:val="21"/>
        </w:rPr>
        <w:t xml:space="preserve">) — tekrarlanan &amp;quot;boş kategori render etme&amp;quot;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categoryHasItems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category-tree.ts</w:t>
      </w:r>
      <w:r>
        <w:rPr>
          <w:sz w:val="21"/>
          <w:szCs w:val="21"/>
        </w:rPr>
        <w:t xml:space="preserve">&amp;#39;e taşınıp iki taraf arasında
paylaşıldı; artık tekrar eden &amp;quot;Kategori&amp;quot; sütunu yerine gruplama
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2026-08-13T19:24:18.253Z</dcterms:created>
  <dcterms:modified xsi:type="dcterms:W3CDTF">2026-08-13T19:24:18.253Z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