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1A2E"/>
          <w:sz w:val="44"/>
        </w:rPr>
        <w:t>Анализ применимости платформы Insight</w:t>
      </w:r>
    </w:p>
    <w:p>
      <w:pPr>
        <w:spacing w:after="80"/>
      </w:pPr>
      <w:r>
        <w:rPr>
          <w:b w:val="0"/>
          <w:color w:val="6B7280"/>
          <w:sz w:val="28"/>
        </w:rPr>
        <w:t>для ФГИС «Управление ГосОблаком» (ФГИС У)</w:t>
      </w:r>
    </w:p>
    <w:p>
      <w:pPr>
        <w:spacing w:after="240" w:before="0"/>
        <w:jc w:val="left"/>
      </w:pPr>
      <w:r>
        <w:rPr>
          <w:b w:val="0"/>
          <w:i w:val="0"/>
          <w:color w:val="6B7280"/>
          <w:sz w:val="20"/>
        </w:rPr>
        <w:t>ООО «Эй Би Си Солюшенс»  ·  Май 2025</w:t>
      </w:r>
    </w:p>
    <w:p>
      <w:pPr>
        <w:spacing w:after="280"/>
      </w:pPr>
      <w:r>
        <w:rPr>
          <w:color w:val="4F6AFF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1A2E"/>
          <w:sz w:val="32"/>
        </w:rPr>
        <w:t>Резюме</w:t>
      </w:r>
    </w:p>
    <w:p>
      <w:pPr>
        <w:spacing w:after="160" w:before="0"/>
        <w:jc w:val="left"/>
      </w:pPr>
      <w:r>
        <w:rPr>
          <w:b w:val="0"/>
          <w:i w:val="0"/>
          <w:sz w:val="22"/>
        </w:rPr>
        <w:t>Платформа Insight уже встроена в ФГИС У как инструмент аналитики и построения дашбордов. На основе анализа руководств пользователя и администратора ФГИС У (версии 4.0/4.1), а также полного функционально-технического описания Insight, ниже приведён ответ: что из требуемого функционала мы можем закрыть «из коробки» или с минимальной настройкой, что — частично, и где есть принципиальные ограничения.</w:t>
      </w:r>
    </w:p>
    <w:p>
      <w:pPr>
        <w:spacing w:before="200" w:after="80"/>
      </w:pPr>
      <w:r>
        <w:rPr>
          <w:b/>
          <w:color w:val="4F6AFF"/>
          <w:sz w:val="26"/>
        </w:rPr>
        <w:t>Общая картина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048"/>
            <w:shd w:val="clear" w:color="auto" w:fill="EFF2FF"/>
          </w:tcPr>
          <w:p>
            <w:r>
              <w:rPr>
                <w:b/>
                <w:color w:val="1A1A2E"/>
                <w:sz w:val="20"/>
              </w:rPr>
              <w:t>Функциональное направление</w:t>
            </w:r>
          </w:p>
        </w:tc>
        <w:tc>
          <w:tcPr>
            <w:tcW w:type="dxa" w:w="2592"/>
            <w:shd w:val="clear" w:color="auto" w:fill="EFF2FF"/>
          </w:tcPr>
          <w:p>
            <w:r>
              <w:rPr>
                <w:b/>
                <w:color w:val="1A1A2E"/>
                <w:sz w:val="20"/>
              </w:rPr>
              <w:t>Возможность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Визуализация и дашборды (мониторинг, KPI, тренды)</w:t>
            </w:r>
          </w:p>
        </w:tc>
        <w:tc>
          <w:tcPr>
            <w:tcW w:type="dxa" w:w="4844"/>
          </w:tcPr>
          <w:p>
            <w:r>
              <w:rPr>
                <w:b/>
                <w:color w:val="16A34A"/>
                <w:sz w:val="20"/>
              </w:rPr>
              <w:t>✅ 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Аналитическая отчётность по ресурсам и КЭ</w:t>
            </w:r>
          </w:p>
        </w:tc>
        <w:tc>
          <w:tcPr>
            <w:tcW w:type="dxa" w:w="4844"/>
          </w:tcPr>
          <w:p>
            <w:r>
              <w:rPr>
                <w:b/>
                <w:color w:val="16A34A"/>
                <w:sz w:val="20"/>
              </w:rPr>
              <w:t>✅ 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Self-service конструктор отчётов</w:t>
            </w:r>
          </w:p>
        </w:tc>
        <w:tc>
          <w:tcPr>
            <w:tcW w:type="dxa" w:w="4844"/>
          </w:tcPr>
          <w:p>
            <w:r>
              <w:rPr>
                <w:b/>
                <w:color w:val="16A34A"/>
                <w:sz w:val="20"/>
              </w:rPr>
              <w:t>✅ 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Прогнозирование потребления</w:t>
            </w:r>
          </w:p>
        </w:tc>
        <w:tc>
          <w:tcPr>
            <w:tcW w:type="dxa" w:w="4844"/>
          </w:tcPr>
          <w:p>
            <w:r>
              <w:rPr>
                <w:b/>
                <w:color w:val="D97706"/>
                <w:sz w:val="20"/>
              </w:rPr>
              <w:t>⚠️  Частично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Уведомления по событиям</w:t>
            </w:r>
          </w:p>
        </w:tc>
        <w:tc>
          <w:tcPr>
            <w:tcW w:type="dxa" w:w="4844"/>
          </w:tcPr>
          <w:p>
            <w:r>
              <w:rPr>
                <w:b/>
                <w:color w:val="16A34A"/>
                <w:sz w:val="20"/>
              </w:rPr>
              <w:t>✅ 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Ролевой доступ к контенту</w:t>
            </w:r>
          </w:p>
        </w:tc>
        <w:tc>
          <w:tcPr>
            <w:tcW w:type="dxa" w:w="4844"/>
          </w:tcPr>
          <w:p>
            <w:r>
              <w:rPr>
                <w:b/>
                <w:color w:val="16A34A"/>
                <w:sz w:val="20"/>
              </w:rPr>
              <w:t>✅ 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Формы ввода (заявки, заказы, контракты)</w:t>
            </w:r>
          </w:p>
        </w:tc>
        <w:tc>
          <w:tcPr>
            <w:tcW w:type="dxa" w:w="4844"/>
          </w:tcPr>
          <w:p>
            <w:r>
              <w:rPr>
                <w:b/>
                <w:color w:val="D97706"/>
                <w:sz w:val="20"/>
              </w:rPr>
              <w:t>⚠️  Частично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Управление КЭ (CRUD конфигурационных единиц)</w:t>
            </w:r>
          </w:p>
        </w:tc>
        <w:tc>
          <w:tcPr>
            <w:tcW w:type="dxa" w:w="4844"/>
          </w:tcPr>
          <w:p>
            <w:r>
              <w:rPr>
                <w:b/>
                <w:color w:val="DC2626"/>
                <w:sz w:val="20"/>
              </w:rPr>
              <w:t>❌  Не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Полноценное управление заявками и тех.поддержкой (ITSM)</w:t>
            </w:r>
          </w:p>
        </w:tc>
        <w:tc>
          <w:tcPr>
            <w:tcW w:type="dxa" w:w="4844"/>
          </w:tcPr>
          <w:p>
            <w:r>
              <w:rPr>
                <w:b/>
                <w:color w:val="DC2626"/>
                <w:sz w:val="20"/>
              </w:rPr>
              <w:t>❌  Не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Управление контрактами и SLA</w:t>
            </w:r>
          </w:p>
        </w:tc>
        <w:tc>
          <w:tcPr>
            <w:tcW w:type="dxa" w:w="4844"/>
          </w:tcPr>
          <w:p>
            <w:r>
              <w:rPr>
                <w:b/>
                <w:color w:val="DC2626"/>
                <w:sz w:val="20"/>
              </w:rPr>
              <w:t>❌  Не можем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Управление заказами с workflow согласования</w:t>
            </w:r>
          </w:p>
        </w:tc>
        <w:tc>
          <w:tcPr>
            <w:tcW w:type="dxa" w:w="4844"/>
          </w:tcPr>
          <w:p>
            <w:r>
              <w:rPr>
                <w:b/>
                <w:color w:val="D97706"/>
                <w:sz w:val="20"/>
              </w:rPr>
              <w:t>⚠️  Частично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Публичный портал (новости, документы, услуги)</w:t>
            </w:r>
          </w:p>
        </w:tc>
        <w:tc>
          <w:tcPr>
            <w:tcW w:type="dxa" w:w="4844"/>
          </w:tcPr>
          <w:p>
            <w:r>
              <w:rPr>
                <w:b/>
                <w:color w:val="D97706"/>
                <w:sz w:val="20"/>
              </w:rPr>
              <w:t>⚠️  Частично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Мобильное приложение</w:t>
            </w:r>
          </w:p>
        </w:tc>
        <w:tc>
          <w:tcPr>
            <w:tcW w:type="dxa" w:w="4844"/>
          </w:tcPr>
          <w:p>
            <w:r>
              <w:rPr>
                <w:b/>
                <w:color w:val="DC2626"/>
                <w:sz w:val="20"/>
              </w:rPr>
              <w:t>❌  Не можем</w:t>
            </w:r>
          </w:p>
        </w:tc>
      </w:tr>
    </w:tbl>
    <w:p/>
    <w:p>
      <w:pPr>
        <w:spacing w:before="280" w:after="120"/>
      </w:pPr>
      <w:r>
        <w:rPr>
          <w:b/>
          <w:color w:val="1A1A2E"/>
          <w:sz w:val="32"/>
        </w:rPr>
        <w:t>Детальный разбор по направлениям</w:t>
      </w:r>
    </w:p>
    <w:p>
      <w:pPr>
        <w:spacing w:before="200" w:after="80"/>
      </w:pPr>
      <w:r>
        <w:rPr>
          <w:b/>
          <w:color w:val="4F6AFF"/>
          <w:sz w:val="26"/>
        </w:rPr>
        <w:t>1. Мониторинг ресурсов ГосОблака (дашборды)</w:t>
      </w:r>
    </w:p>
    <w:p>
      <w:pPr>
        <w:spacing w:after="80"/>
      </w:pPr>
      <w:r>
        <w:rPr>
          <w:b/>
          <w:color w:val="16A34A"/>
          <w:sz w:val="22"/>
        </w:rPr>
        <w:t xml:space="preserve">✅  Можем  </w:t>
      </w:r>
      <w:r>
        <w:rPr>
          <w:color w:val="1A1A2E"/>
          <w:sz w:val="22"/>
        </w:rPr>
        <w:t>Основная «витрина» системы — дашборды по потреблению CPU, RAM, хранилища, доступности услуг, рейтинга потребителей — полностью реализуется на Insight.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KPI-плитки с текущими значениями и динамикой (утилизация ресурсов, доступность, %)</w:t>
      </w:r>
    </w:p>
    <w:p>
      <w:pPr>
        <w:pStyle w:val="ListBullet"/>
        <w:spacing w:after="20"/>
        <w:ind w:left="288"/>
      </w:pPr>
      <w:r>
        <w:rPr>
          <w:sz w:val="20"/>
        </w:rPr>
        <w:t>• Линейные и столбчатые графики потребления в разрезе времени, поставщика, типа КЭ</w:t>
      </w:r>
    </w:p>
    <w:p>
      <w:pPr>
        <w:pStyle w:val="ListBullet"/>
        <w:spacing w:after="20"/>
        <w:ind w:left="288"/>
      </w:pPr>
      <w:r>
        <w:rPr>
          <w:sz w:val="20"/>
        </w:rPr>
        <w:t>• Тепловые карты для визуализации нагрузки по временным слотам</w:t>
      </w:r>
    </w:p>
    <w:p>
      <w:pPr>
        <w:pStyle w:val="ListBullet"/>
        <w:spacing w:after="20"/>
        <w:ind w:left="288"/>
      </w:pPr>
      <w:r>
        <w:rPr>
          <w:sz w:val="20"/>
        </w:rPr>
        <w:t>• Pivot-таблицы с drill-down для детальной аналитики</w:t>
      </w:r>
    </w:p>
    <w:p>
      <w:pPr>
        <w:pStyle w:val="ListBullet"/>
        <w:spacing w:after="20"/>
        <w:ind w:left="288"/>
      </w:pPr>
      <w:r>
        <w:rPr>
          <w:sz w:val="20"/>
        </w:rPr>
        <w:t>• Сводные отчёты по ГосОблаку в целом и в разрезе потребителя</w:t>
      </w:r>
    </w:p>
    <w:p>
      <w:pPr>
        <w:pStyle w:val="ListBullet"/>
        <w:spacing w:after="20"/>
        <w:ind w:left="288"/>
      </w:pPr>
      <w:r>
        <w:rPr>
          <w:sz w:val="20"/>
        </w:rPr>
        <w:t>• Настраиваемые дашборды для разных ролей (Поставщик, Потребитель, Регулятор, Аналитик)</w:t>
      </w:r>
    </w:p>
    <w:p>
      <w:pPr>
        <w:pStyle w:val="ListBullet"/>
        <w:spacing w:after="20"/>
        <w:ind w:left="288"/>
      </w:pPr>
      <w:r>
        <w:rPr>
          <w:sz w:val="20"/>
        </w:rPr>
        <w:t>• Real-time обновление данных без перезагрузки страницы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Сам сбор метрик с агентов мониторинга — это задача бэкенда ФГИС У; Insight только визуализирует уже подготовленные данные</w:t>
      </w:r>
    </w:p>
    <w:p>
      <w:pPr>
        <w:spacing w:before="200" w:after="80"/>
      </w:pPr>
      <w:r>
        <w:rPr>
          <w:b/>
          <w:color w:val="4F6AFF"/>
          <w:sz w:val="26"/>
        </w:rPr>
        <w:t>2. Аналитическая отчётность</w:t>
      </w:r>
    </w:p>
    <w:p>
      <w:pPr>
        <w:spacing w:after="80"/>
      </w:pPr>
      <w:r>
        <w:rPr>
          <w:b/>
          <w:color w:val="16A34A"/>
          <w:sz w:val="22"/>
        </w:rPr>
        <w:t xml:space="preserve">✅  Можем  </w:t>
      </w:r>
      <w:r>
        <w:rPr>
          <w:color w:val="1A1A2E"/>
          <w:sz w:val="22"/>
        </w:rPr>
        <w:t>Все 11+ типов отчётов ФГИС У — от «Отчёта по использованию КЭ» до «Рейтинга потребителей» — строятся стандартными средствами Insight.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Параметрические отчёты с фильтрами по периоду, потребителю, услуге, КЭ</w:t>
      </w:r>
    </w:p>
    <w:p>
      <w:pPr>
        <w:pStyle w:val="ListBullet"/>
        <w:spacing w:after="20"/>
        <w:ind w:left="288"/>
      </w:pPr>
      <w:r>
        <w:rPr>
          <w:sz w:val="20"/>
        </w:rPr>
        <w:t>• Множественный выбор в фильтрах (мультиселект)</w:t>
      </w:r>
    </w:p>
    <w:p>
      <w:pPr>
        <w:pStyle w:val="ListBullet"/>
        <w:spacing w:after="20"/>
        <w:ind w:left="288"/>
      </w:pPr>
      <w:r>
        <w:rPr>
          <w:sz w:val="20"/>
        </w:rPr>
        <w:t>• Сворачиваемые иерархические строки в таблицах</w:t>
      </w:r>
    </w:p>
    <w:p>
      <w:pPr>
        <w:pStyle w:val="ListBullet"/>
        <w:spacing w:after="20"/>
        <w:ind w:left="288"/>
      </w:pPr>
      <w:r>
        <w:rPr>
          <w:sz w:val="20"/>
        </w:rPr>
        <w:t>• Выгрузка в Excel/CSV/PDF непосредственно из интерфейса</w:t>
      </w:r>
    </w:p>
    <w:p>
      <w:pPr>
        <w:pStyle w:val="ListBullet"/>
        <w:spacing w:after="20"/>
        <w:ind w:left="288"/>
      </w:pPr>
      <w:r>
        <w:rPr>
          <w:sz w:val="20"/>
        </w:rPr>
        <w:t>• Цветовая индикация значений (рекомендации «уменьшить / оставить / увеличить»)</w:t>
      </w:r>
    </w:p>
    <w:p>
      <w:pPr>
        <w:pStyle w:val="ListBullet"/>
        <w:spacing w:after="20"/>
        <w:ind w:left="288"/>
      </w:pPr>
      <w:r>
        <w:rPr>
          <w:sz w:val="20"/>
        </w:rPr>
        <w:t>• Печатные формы — экспорт страницы или отдельного виджета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Выгрузка в формате ODF не поддерживается нативно (ФГИС У использует ODF); потребуется доработка или конвертация</w:t>
      </w:r>
    </w:p>
    <w:p>
      <w:pPr>
        <w:spacing w:before="60" w:after="120"/>
      </w:pPr>
      <w:r>
        <w:rPr>
          <w:i/>
          <w:color w:val="6B7280"/>
          <w:sz w:val="20"/>
        </w:rPr>
        <w:t>ℹ  Конструктор отчётов уже встроен в текущую инсталляцию ФГИС У.</w:t>
      </w:r>
    </w:p>
    <w:p>
      <w:pPr>
        <w:spacing w:before="200" w:after="80"/>
      </w:pPr>
      <w:r>
        <w:rPr>
          <w:b/>
          <w:color w:val="4F6AFF"/>
          <w:sz w:val="26"/>
        </w:rPr>
        <w:t>3. Self-service конструктор отчётов</w:t>
      </w:r>
    </w:p>
    <w:p>
      <w:pPr>
        <w:spacing w:after="80"/>
      </w:pPr>
      <w:r>
        <w:rPr>
          <w:b/>
          <w:color w:val="16A34A"/>
          <w:sz w:val="22"/>
        </w:rPr>
        <w:t xml:space="preserve">✅  Можем  </w:t>
      </w:r>
      <w:r>
        <w:rPr>
          <w:color w:val="1A1A2E"/>
          <w:sz w:val="22"/>
        </w:rPr>
        <w:t>Пользователи могут самостоятельно строить новые отчёты, не привлекая разработчиков. Функционал раздела «Конструктор отчётов» ФГИС У закрывается полностью.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Подключение к источнику данных через семантический слой без SQL</w:t>
      </w:r>
    </w:p>
    <w:p>
      <w:pPr>
        <w:pStyle w:val="ListBullet"/>
        <w:spacing w:after="20"/>
        <w:ind w:left="288"/>
      </w:pPr>
      <w:r>
        <w:rPr>
          <w:sz w:val="20"/>
        </w:rPr>
        <w:t>• Drag-and-drop конструирование: выбор метрик, измерений, фильтров</w:t>
      </w:r>
    </w:p>
    <w:p>
      <w:pPr>
        <w:pStyle w:val="ListBullet"/>
        <w:spacing w:after="20"/>
        <w:ind w:left="288"/>
      </w:pPr>
      <w:r>
        <w:rPr>
          <w:sz w:val="20"/>
        </w:rPr>
        <w:t>• Форматирование: заголовки, цвета, условное форматирование</w:t>
      </w:r>
    </w:p>
    <w:p>
      <w:pPr>
        <w:pStyle w:val="ListBullet"/>
        <w:spacing w:after="20"/>
        <w:ind w:left="288"/>
      </w:pPr>
      <w:r>
        <w:rPr>
          <w:sz w:val="20"/>
        </w:rPr>
        <w:t>• Сохранение, загрузка и экспорт отчётов</w:t>
      </w:r>
    </w:p>
    <w:p>
      <w:pPr>
        <w:pStyle w:val="ListBullet"/>
        <w:spacing w:after="20"/>
        <w:ind w:left="288"/>
      </w:pPr>
      <w:r>
        <w:rPr>
          <w:sz w:val="20"/>
        </w:rPr>
        <w:t>• Регламентная отчётность с расписанием</w:t>
      </w:r>
    </w:p>
    <w:p>
      <w:pPr>
        <w:spacing w:before="60" w:after="120"/>
      </w:pPr>
      <w:r>
        <w:rPr>
          <w:i/>
          <w:color w:val="6B7280"/>
          <w:sz w:val="20"/>
        </w:rPr>
        <w:t>ℹ  Соответствует разделу 5.12 руководства пользователя ФГИС У.</w:t>
      </w:r>
    </w:p>
    <w:p>
      <w:pPr>
        <w:spacing w:before="200" w:after="80"/>
      </w:pPr>
      <w:r>
        <w:rPr>
          <w:b/>
          <w:color w:val="4F6AFF"/>
          <w:sz w:val="26"/>
        </w:rPr>
        <w:t>4. Прогноз потребления ресурсов</w:t>
      </w:r>
    </w:p>
    <w:p>
      <w:pPr>
        <w:spacing w:after="80"/>
      </w:pPr>
      <w:r>
        <w:rPr>
          <w:b/>
          <w:color w:val="D97706"/>
          <w:sz w:val="22"/>
        </w:rPr>
        <w:t xml:space="preserve">⚠️  Частично  </w:t>
      </w:r>
      <w:r>
        <w:rPr>
          <w:color w:val="1A1A2E"/>
          <w:sz w:val="22"/>
        </w:rPr>
        <w:t>Insight умеет строить прогнозные линии на графиках и визуализировать прогнозные данные. Но сами алгоритмы прогнозирования (ML-модели расчёта будущего потребления) живут на бэкенде — Insight только отображает результат.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Отображение прогнозных значений рядом с фактическими на одном графике</w:t>
      </w:r>
    </w:p>
    <w:p>
      <w:pPr>
        <w:pStyle w:val="ListBullet"/>
        <w:spacing w:after="20"/>
        <w:ind w:left="288"/>
      </w:pPr>
      <w:r>
        <w:rPr>
          <w:sz w:val="20"/>
        </w:rPr>
        <w:t>• Фильтрация и навигация по прогнозным отчётам: в разрезе услуг и КЭ</w:t>
      </w:r>
    </w:p>
    <w:p>
      <w:pPr>
        <w:pStyle w:val="ListBullet"/>
        <w:spacing w:after="20"/>
        <w:ind w:left="288"/>
      </w:pPr>
      <w:r>
        <w:rPr>
          <w:sz w:val="20"/>
        </w:rPr>
        <w:t>• Сравнение плановых и фактических объёмов с подсветкой отклонений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Вычисление прогноза внутри Insight — расчёты должны быть выполнены бэкенд-сервисом ФГИС У и переданы как обычные данные</w:t>
      </w:r>
    </w:p>
    <w:p>
      <w:pPr>
        <w:spacing w:before="60" w:after="120"/>
      </w:pPr>
      <w:r>
        <w:rPr>
          <w:i/>
          <w:color w:val="6B7280"/>
          <w:sz w:val="20"/>
        </w:rPr>
        <w:t>ℹ  Текущий раздел «Прогноз потребления» (гл. 6 руководства пользователя) уже работает по такой схеме — Insight визуализирует готовые прогнозные данные.</w:t>
      </w:r>
    </w:p>
    <w:p>
      <w:pPr>
        <w:spacing w:before="200" w:after="80"/>
      </w:pPr>
      <w:r>
        <w:rPr>
          <w:b/>
          <w:color w:val="4F6AFF"/>
          <w:sz w:val="26"/>
        </w:rPr>
        <w:t>5. Уведомления</w:t>
      </w:r>
    </w:p>
    <w:p>
      <w:pPr>
        <w:spacing w:after="80"/>
      </w:pPr>
      <w:r>
        <w:rPr>
          <w:b/>
          <w:color w:val="16A34A"/>
          <w:sz w:val="22"/>
        </w:rPr>
        <w:t xml:space="preserve">✅  Можем  </w:t>
      </w:r>
      <w:r>
        <w:rPr>
          <w:color w:val="1A1A2E"/>
          <w:sz w:val="22"/>
        </w:rPr>
        <w:t>Модуль уведомлений Insight (Insight Pro) полностью закрывает потребность в оповещении пользователей о событиях в системе.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Уведомления по событиям: смена статуса КЭ, создание заявки, достижение порога утилизации</w:t>
      </w:r>
    </w:p>
    <w:p>
      <w:pPr>
        <w:pStyle w:val="ListBullet"/>
        <w:spacing w:after="20"/>
        <w:ind w:left="288"/>
      </w:pPr>
      <w:r>
        <w:rPr>
          <w:sz w:val="20"/>
        </w:rPr>
        <w:t>• Каналы: email, push-уведомление, сообщение в цифровой ассистент/мессенджер</w:t>
      </w:r>
    </w:p>
    <w:p>
      <w:pPr>
        <w:pStyle w:val="ListBullet"/>
        <w:spacing w:after="20"/>
        <w:ind w:left="288"/>
      </w:pPr>
      <w:r>
        <w:rPr>
          <w:sz w:val="20"/>
        </w:rPr>
        <w:t>• Шаблоны с динамическими полями (подстановка данных объекта)</w:t>
      </w:r>
    </w:p>
    <w:p>
      <w:pPr>
        <w:pStyle w:val="ListBullet"/>
        <w:spacing w:after="20"/>
        <w:ind w:left="288"/>
      </w:pPr>
      <w:r>
        <w:rPr>
          <w:sz w:val="20"/>
        </w:rPr>
        <w:t>• Персональные настройки подписок — пользователь сам выбирает, что получать</w:t>
      </w:r>
    </w:p>
    <w:p>
      <w:pPr>
        <w:pStyle w:val="ListBullet"/>
        <w:spacing w:after="20"/>
        <w:ind w:left="288"/>
      </w:pPr>
      <w:r>
        <w:rPr>
          <w:sz w:val="20"/>
        </w:rPr>
        <w:t>• Журнал отправки со статусами доставки</w:t>
      </w:r>
    </w:p>
    <w:p>
      <w:pPr>
        <w:pStyle w:val="ListBullet"/>
        <w:spacing w:after="20"/>
        <w:ind w:left="288"/>
      </w:pPr>
      <w:r>
        <w:rPr>
          <w:sz w:val="20"/>
        </w:rPr>
        <w:t>• Real-time индикатор непрочитанных уведомлений в интерфейсе</w:t>
      </w:r>
    </w:p>
    <w:p>
      <w:pPr>
        <w:spacing w:before="60" w:after="120"/>
      </w:pPr>
      <w:r>
        <w:rPr>
          <w:i/>
          <w:color w:val="6B7280"/>
          <w:sz w:val="20"/>
        </w:rPr>
        <w:t>ℹ  Требуется лицензия Insight Pro. Базовый Insight Standard не включает этот модуль.</w:t>
      </w:r>
    </w:p>
    <w:p>
      <w:pPr>
        <w:spacing w:before="200" w:after="80"/>
      </w:pPr>
      <w:r>
        <w:rPr>
          <w:b/>
          <w:color w:val="4F6AFF"/>
          <w:sz w:val="26"/>
        </w:rPr>
        <w:t>6. Ролевой доступ к контенту дашбордов</w:t>
      </w:r>
    </w:p>
    <w:p>
      <w:pPr>
        <w:spacing w:after="80"/>
      </w:pPr>
      <w:r>
        <w:rPr>
          <w:b/>
          <w:color w:val="16A34A"/>
          <w:sz w:val="22"/>
        </w:rPr>
        <w:t xml:space="preserve">✅  Можем  </w:t>
      </w:r>
      <w:r>
        <w:rPr>
          <w:color w:val="1A1A2E"/>
          <w:sz w:val="22"/>
        </w:rPr>
        <w:t>Разные роли пользователей ФГИС У (Поставщик, Потребитель, Регулятор, Аналитик) видят разный контент — это нативно поддерживается в Insight.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Индивидуальная настройка дашборда под группу ролей</w:t>
      </w:r>
    </w:p>
    <w:p>
      <w:pPr>
        <w:pStyle w:val="ListBullet"/>
        <w:spacing w:after="20"/>
        <w:ind w:left="288"/>
      </w:pPr>
      <w:r>
        <w:rPr>
          <w:sz w:val="20"/>
        </w:rPr>
        <w:t>• Скрытие/показ блоков, разделов и кнопок в зависимости от роли пользователя</w:t>
      </w:r>
    </w:p>
    <w:p>
      <w:pPr>
        <w:pStyle w:val="ListBullet"/>
        <w:spacing w:after="20"/>
        <w:ind w:left="288"/>
      </w:pPr>
      <w:r>
        <w:rPr>
          <w:sz w:val="20"/>
        </w:rPr>
        <w:t>• Разграничение доступа к приложениям и страницам</w:t>
      </w:r>
    </w:p>
    <w:p>
      <w:pPr>
        <w:pStyle w:val="ListBullet"/>
        <w:spacing w:after="20"/>
        <w:ind w:left="288"/>
      </w:pPr>
      <w:r>
        <w:rPr>
          <w:sz w:val="20"/>
        </w:rPr>
        <w:t>• Интеграция с ролевой моделью через Keycloak (уже используется в ФГИС У)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Управление самими бизнес-ролями ФГИС У (создание, редактирование прав) — это задача Keycloak и бэкенда, а не Insight</w:t>
      </w:r>
    </w:p>
    <w:p>
      <w:pPr>
        <w:spacing w:before="200" w:after="80"/>
      </w:pPr>
      <w:r>
        <w:rPr>
          <w:b/>
          <w:color w:val="4F6AFF"/>
          <w:sz w:val="26"/>
        </w:rPr>
        <w:t>7. Формы ввода данных (заявки, заказы, контракты)</w:t>
      </w:r>
    </w:p>
    <w:p>
      <w:pPr>
        <w:spacing w:after="80"/>
      </w:pPr>
      <w:r>
        <w:rPr>
          <w:b/>
          <w:color w:val="D97706"/>
          <w:sz w:val="22"/>
        </w:rPr>
        <w:t xml:space="preserve">⚠️  Частично  </w:t>
      </w:r>
      <w:r>
        <w:rPr>
          <w:color w:val="1A1A2E"/>
          <w:sz w:val="22"/>
        </w:rPr>
        <w:t>Insight Pro включает модуль форм ввода, который позволяет создавать экранные формы с валидацией и бизнес-логикой. Простые формы — можем. Сложные multi-step workflow согласования — частично.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Простые формы создания/редактирования записей (заявка, заказ, КЭ)</w:t>
      </w:r>
    </w:p>
    <w:p>
      <w:pPr>
        <w:pStyle w:val="ListBullet"/>
        <w:spacing w:after="20"/>
        <w:ind w:left="288"/>
      </w:pPr>
      <w:r>
        <w:rPr>
          <w:sz w:val="20"/>
        </w:rPr>
        <w:t>• Валидация полей, обязательные поля, справочники с поиском</w:t>
      </w:r>
    </w:p>
    <w:p>
      <w:pPr>
        <w:pStyle w:val="ListBullet"/>
        <w:spacing w:after="20"/>
        <w:ind w:left="288"/>
      </w:pPr>
      <w:r>
        <w:rPr>
          <w:sz w:val="20"/>
        </w:rPr>
        <w:t>• Кнопки действий с post-действиями (отправить событие, перейти на страницу)</w:t>
      </w:r>
    </w:p>
    <w:p>
      <w:pPr>
        <w:pStyle w:val="ListBullet"/>
        <w:spacing w:after="20"/>
        <w:ind w:left="288"/>
      </w:pPr>
      <w:r>
        <w:rPr>
          <w:sz w:val="20"/>
        </w:rPr>
        <w:t>• Вложенные таблицы для добавления нескольких услуг/параметров в форме</w:t>
      </w:r>
    </w:p>
    <w:p>
      <w:pPr>
        <w:pStyle w:val="ListBullet"/>
        <w:spacing w:after="20"/>
        <w:ind w:left="288"/>
      </w:pPr>
      <w:r>
        <w:rPr>
          <w:sz w:val="20"/>
        </w:rPr>
        <w:t>• Интеграция с модулем BPM для запуска процесса согласования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Полноценная система управления заявками с историей, перепиской, SLA-таймером — это ITSM-функционал, выходящий за рамки Insight</w:t>
      </w:r>
    </w:p>
    <w:p>
      <w:pPr>
        <w:spacing w:after="20"/>
        <w:ind w:left="288"/>
      </w:pPr>
      <w:r>
        <w:rPr>
          <w:color w:val="6B7280"/>
          <w:sz w:val="20"/>
        </w:rPr>
        <w:t>• Печатные формы в формате DOCX/ODF для государственного документооборота — нужна отдельная интеграция</w:t>
      </w:r>
    </w:p>
    <w:p>
      <w:pPr>
        <w:spacing w:before="60" w:after="120"/>
      </w:pPr>
      <w:r>
        <w:rPr>
          <w:i/>
          <w:color w:val="6B7280"/>
          <w:sz w:val="20"/>
        </w:rPr>
        <w:t>ℹ  Требуется лицензия Insight Pro. Рекомендуется оценить, какие конкретные формы ФГИС У можно перенести на Insight, а какие лучше оставить в основном приложении.</w:t>
      </w:r>
    </w:p>
    <w:p>
      <w:pPr>
        <w:spacing w:before="200" w:after="80"/>
      </w:pPr>
      <w:r>
        <w:rPr>
          <w:b/>
          <w:color w:val="4F6AFF"/>
          <w:sz w:val="26"/>
        </w:rPr>
        <w:t>8. Управление конфигурационными единицами (КЭ)</w:t>
      </w:r>
    </w:p>
    <w:p>
      <w:pPr>
        <w:spacing w:after="80"/>
      </w:pPr>
      <w:r>
        <w:rPr>
          <w:b/>
          <w:color w:val="DC2626"/>
          <w:sz w:val="22"/>
        </w:rPr>
        <w:t xml:space="preserve">❌  Не можем  </w:t>
      </w:r>
      <w:r>
        <w:rPr>
          <w:color w:val="1A1A2E"/>
          <w:sz w:val="22"/>
        </w:rPr>
        <w:t>Insight — BI-инструмент, не CMDB. Управление КЭ (создание, редактирование, ассоциации, восстановление) — это бизнес-логика системы ФГИС У, которая должна оставаться в её основном приложении.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Визуализация данных о КЭ: карточки, таблицы, графики утилизации</w:t>
      </w:r>
    </w:p>
    <w:p>
      <w:pPr>
        <w:pStyle w:val="ListBullet"/>
        <w:spacing w:after="20"/>
        <w:ind w:left="288"/>
      </w:pPr>
      <w:r>
        <w:rPr>
          <w:sz w:val="20"/>
        </w:rPr>
        <w:t>• Отчёты в разрезе КЭ, с drill-down до уровня отдельной конфигурационной единицы</w:t>
      </w:r>
    </w:p>
    <w:p>
      <w:pPr>
        <w:pStyle w:val="ListBullet"/>
        <w:spacing w:after="20"/>
        <w:ind w:left="288"/>
      </w:pPr>
      <w:r>
        <w:rPr>
          <w:sz w:val="20"/>
        </w:rPr>
        <w:t>• Тепловые карты нагрузки по КЭ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CRUD-операции с КЭ (создание, редактирование, удаление, восстановление)</w:t>
      </w:r>
    </w:p>
    <w:p>
      <w:pPr>
        <w:spacing w:after="20"/>
        <w:ind w:left="288"/>
      </w:pPr>
      <w:r>
        <w:rPr>
          <w:color w:val="6B7280"/>
          <w:sz w:val="20"/>
        </w:rPr>
        <w:t>• Управление ассоциациями КЭ и их перемещение между поставщиками</w:t>
      </w:r>
    </w:p>
    <w:p>
      <w:pPr>
        <w:spacing w:after="20"/>
        <w:ind w:left="288"/>
      </w:pPr>
      <w:r>
        <w:rPr>
          <w:color w:val="6B7280"/>
          <w:sz w:val="20"/>
        </w:rPr>
        <w:t>• Смена типа КЭ и бизнес-правила валидации атрибутов типов</w:t>
      </w:r>
    </w:p>
    <w:p>
      <w:pPr>
        <w:spacing w:after="20"/>
        <w:ind w:left="288"/>
      </w:pPr>
      <w:r>
        <w:rPr>
          <w:color w:val="6B7280"/>
          <w:sz w:val="20"/>
        </w:rPr>
        <w:t>• Постановка КЭ на мониторинг и управление агентами</w:t>
      </w:r>
    </w:p>
    <w:p>
      <w:pPr>
        <w:spacing w:before="60" w:after="120"/>
      </w:pPr>
      <w:r>
        <w:rPr>
          <w:i/>
          <w:color w:val="6B7280"/>
          <w:sz w:val="20"/>
        </w:rPr>
        <w:t>ℹ  Раздел «Управление КЭ» (гл. 4 руководства) — это полноценная CMDB-функция, реализованная в основном приложении ФГИС У.</w:t>
      </w:r>
    </w:p>
    <w:p>
      <w:pPr>
        <w:spacing w:before="200" w:after="80"/>
      </w:pPr>
      <w:r>
        <w:rPr>
          <w:b/>
          <w:color w:val="4F6AFF"/>
          <w:sz w:val="26"/>
        </w:rPr>
        <w:t>9. Техническая поддержка (инциденты, запросы, регламентные работы)</w:t>
      </w:r>
    </w:p>
    <w:p>
      <w:pPr>
        <w:spacing w:after="80"/>
      </w:pPr>
      <w:r>
        <w:rPr>
          <w:b/>
          <w:color w:val="DC2626"/>
          <w:sz w:val="22"/>
        </w:rPr>
        <w:t xml:space="preserve">❌  Не можем  </w:t>
      </w:r>
      <w:r>
        <w:rPr>
          <w:color w:val="1A1A2E"/>
          <w:sz w:val="22"/>
        </w:rPr>
        <w:t>Раздел «Тех.поддержка» ФГИС У — это полноценная ITSM-система с lifecycle обращений, SLA-таймерами и согласованием работ. Insight для этого не предназначен.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Аналитические дашборды по тех.поддержке: кол-во обращений, время закрытия, SLA</w:t>
      </w:r>
    </w:p>
    <w:p>
      <w:pPr>
        <w:pStyle w:val="ListBullet"/>
        <w:spacing w:after="20"/>
        <w:ind w:left="288"/>
      </w:pPr>
      <w:r>
        <w:rPr>
          <w:sz w:val="20"/>
        </w:rPr>
        <w:t>• Отчёты по инцидентам и регламентным работам за период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Создание и обработка обращений (запросов, инцидентов) с переходами статусов</w:t>
      </w:r>
    </w:p>
    <w:p>
      <w:pPr>
        <w:spacing w:after="20"/>
        <w:ind w:left="288"/>
      </w:pPr>
      <w:r>
        <w:rPr>
          <w:color w:val="6B7280"/>
          <w:sz w:val="20"/>
        </w:rPr>
        <w:t>• Переписка с потребителями внутри обращения</w:t>
      </w:r>
    </w:p>
    <w:p>
      <w:pPr>
        <w:spacing w:after="20"/>
        <w:ind w:left="288"/>
      </w:pPr>
      <w:r>
        <w:rPr>
          <w:color w:val="6B7280"/>
          <w:sz w:val="20"/>
        </w:rPr>
        <w:t>• Планирование и согласование регламентных работ (с Потребителем и Заказчиком)</w:t>
      </w:r>
    </w:p>
    <w:p>
      <w:pPr>
        <w:spacing w:after="20"/>
        <w:ind w:left="288"/>
      </w:pPr>
      <w:r>
        <w:rPr>
          <w:color w:val="6B7280"/>
          <w:sz w:val="20"/>
        </w:rPr>
        <w:t>• SLA-контроль: таймеры, эскалации, нарушения сроков</w:t>
      </w:r>
    </w:p>
    <w:p>
      <w:pPr>
        <w:spacing w:before="60" w:after="120"/>
      </w:pPr>
      <w:r>
        <w:rPr>
          <w:i/>
          <w:color w:val="6B7280"/>
          <w:sz w:val="20"/>
        </w:rPr>
        <w:t>ℹ  Эти функции реализованы в специализированных ITSM-системах, которые уже интегрированы в ФГИС У.</w:t>
      </w:r>
    </w:p>
    <w:p>
      <w:pPr>
        <w:spacing w:before="200" w:after="80"/>
      </w:pPr>
      <w:r>
        <w:rPr>
          <w:b/>
          <w:color w:val="4F6AFF"/>
          <w:sz w:val="26"/>
        </w:rPr>
        <w:t>10. Управление контрактами, заказами и SLA</w:t>
      </w:r>
    </w:p>
    <w:p>
      <w:pPr>
        <w:spacing w:after="80"/>
      </w:pPr>
      <w:r>
        <w:rPr>
          <w:b/>
          <w:color w:val="DC2626"/>
          <w:sz w:val="22"/>
        </w:rPr>
        <w:t xml:space="preserve">❌  Не можем  </w:t>
      </w:r>
      <w:r>
        <w:rPr>
          <w:color w:val="1A1A2E"/>
          <w:sz w:val="22"/>
        </w:rPr>
        <w:t>Контракты, заказы, SLA — это структурированные бизнес-документы с многоэтапными жизненными циклами. Insight может визуализировать данные по ним, но не вести сами объекты.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Дашборды по контрактам: суммы, статусы, расходы по периодам</w:t>
      </w:r>
    </w:p>
    <w:p>
      <w:pPr>
        <w:pStyle w:val="ListBullet"/>
        <w:spacing w:after="20"/>
        <w:ind w:left="288"/>
      </w:pPr>
      <w:r>
        <w:rPr>
          <w:sz w:val="20"/>
        </w:rPr>
        <w:t>• Отчёты по заказам: сводный объём услуг, распределение по КЭ</w:t>
      </w:r>
    </w:p>
    <w:p>
      <w:pPr>
        <w:pStyle w:val="ListBullet"/>
        <w:spacing w:after="20"/>
        <w:ind w:left="288"/>
      </w:pPr>
      <w:r>
        <w:rPr>
          <w:sz w:val="20"/>
        </w:rPr>
        <w:t>• Визуализация лимитов и контроля переподписки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Ведение контракта: вкладки с услугами, лимитами, этапами, SLA</w:t>
      </w:r>
    </w:p>
    <w:p>
      <w:pPr>
        <w:spacing w:after="20"/>
        <w:ind w:left="288"/>
      </w:pPr>
      <w:r>
        <w:rPr>
          <w:color w:val="6B7280"/>
          <w:sz w:val="20"/>
        </w:rPr>
        <w:t>• Workflow согласования заказов и проектов заказов</w:t>
      </w:r>
    </w:p>
    <w:p>
      <w:pPr>
        <w:spacing w:after="20"/>
        <w:ind w:left="288"/>
      </w:pPr>
      <w:r>
        <w:rPr>
          <w:color w:val="6B7280"/>
          <w:sz w:val="20"/>
        </w:rPr>
        <w:t>• Управление SLA: ввод соглашений, контроль выполнения обязательств</w:t>
      </w:r>
    </w:p>
    <w:p>
      <w:pPr>
        <w:spacing w:after="20"/>
        <w:ind w:left="288"/>
      </w:pPr>
      <w:r>
        <w:rPr>
          <w:color w:val="6B7280"/>
          <w:sz w:val="20"/>
        </w:rPr>
        <w:t>• Журналирование изменений по контракту</w:t>
      </w:r>
    </w:p>
    <w:p>
      <w:pPr>
        <w:spacing w:before="200" w:after="80"/>
      </w:pPr>
      <w:r>
        <w:rPr>
          <w:b/>
          <w:color w:val="4F6AFF"/>
          <w:sz w:val="26"/>
        </w:rPr>
        <w:t>11. Каталог (поставщики, потребители, услуги, типы КЭ)</w:t>
      </w:r>
    </w:p>
    <w:p>
      <w:pPr>
        <w:spacing w:after="80"/>
      </w:pPr>
      <w:r>
        <w:rPr>
          <w:b/>
          <w:color w:val="DC2626"/>
          <w:sz w:val="22"/>
        </w:rPr>
        <w:t xml:space="preserve">❌  Не можем  </w:t>
      </w:r>
      <w:r>
        <w:rPr>
          <w:color w:val="1A1A2E"/>
          <w:sz w:val="22"/>
        </w:rPr>
        <w:t>Каталог ФГИС У — это нормативно-справочная система с полным набором CRUD-операций. Insight — BI-инструмент; справочники можно только отображать, не вести.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Отображение каталогов в виде таблиц с поиском и фильтрацией</w:t>
      </w:r>
    </w:p>
    <w:p>
      <w:pPr>
        <w:pStyle w:val="ListBullet"/>
        <w:spacing w:after="20"/>
        <w:ind w:left="288"/>
      </w:pPr>
      <w:r>
        <w:rPr>
          <w:sz w:val="20"/>
        </w:rPr>
        <w:t>• Статистика по поставщикам/потребителям: кол-во услуг, КЭ, потребление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Добавление, редактирование и удаление поставщиков, потребителей, услуг</w:t>
      </w:r>
    </w:p>
    <w:p>
      <w:pPr>
        <w:spacing w:after="20"/>
        <w:ind w:left="288"/>
      </w:pPr>
      <w:r>
        <w:rPr>
          <w:color w:val="6B7280"/>
          <w:sz w:val="20"/>
        </w:rPr>
        <w:t>• Управление типами КЭ и их атрибутами</w:t>
      </w:r>
    </w:p>
    <w:p>
      <w:pPr>
        <w:spacing w:after="20"/>
        <w:ind w:left="288"/>
      </w:pPr>
      <w:r>
        <w:rPr>
          <w:color w:val="6B7280"/>
          <w:sz w:val="20"/>
        </w:rPr>
        <w:t>• Реестр проектов и управление ими</w:t>
      </w:r>
    </w:p>
    <w:p>
      <w:pPr>
        <w:spacing w:before="60" w:after="120"/>
      </w:pPr>
      <w:r>
        <w:rPr>
          <w:i/>
          <w:color w:val="6B7280"/>
          <w:sz w:val="20"/>
        </w:rPr>
        <w:t>ℹ  Каталог — это master data management; он должен оставаться в основном приложении ФГИС У с полным набором форм и валидаций.</w:t>
      </w:r>
    </w:p>
    <w:p>
      <w:pPr>
        <w:spacing w:before="200" w:after="80"/>
      </w:pPr>
      <w:r>
        <w:rPr>
          <w:b/>
          <w:color w:val="4F6AFF"/>
          <w:sz w:val="26"/>
        </w:rPr>
        <w:t>12. Публичный портал (новости, документы, мероприятия, услуги)</w:t>
      </w:r>
    </w:p>
    <w:p>
      <w:pPr>
        <w:spacing w:after="80"/>
      </w:pPr>
      <w:r>
        <w:rPr>
          <w:b/>
          <w:color w:val="D97706"/>
          <w:sz w:val="22"/>
        </w:rPr>
        <w:t xml:space="preserve">⚠️  Частично  </w:t>
      </w:r>
      <w:r>
        <w:rPr>
          <w:color w:val="1A1A2E"/>
          <w:sz w:val="22"/>
        </w:rPr>
        <w:t>Публичные страницы портала ФГИС У — информационный сайт о ГЕОП. Insight может создавать информационные страницы, но не заменяет полноценную CMS.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Статические и динамические информационные страницы (О ГЕОП, ключевые показатели)</w:t>
      </w:r>
    </w:p>
    <w:p>
      <w:pPr>
        <w:pStyle w:val="ListBullet"/>
        <w:spacing w:after="20"/>
        <w:ind w:left="288"/>
      </w:pPr>
      <w:r>
        <w:rPr>
          <w:sz w:val="20"/>
        </w:rPr>
        <w:t>• Виджеты с новостной лентой при наличии данных в источнике</w:t>
      </w:r>
    </w:p>
    <w:p>
      <w:pPr>
        <w:pStyle w:val="ListBullet"/>
        <w:spacing w:after="20"/>
        <w:ind w:left="288"/>
      </w:pPr>
      <w:r>
        <w:rPr>
          <w:sz w:val="20"/>
        </w:rPr>
        <w:t>• Карта портала — навигационная страница с ссылками</w:t>
      </w:r>
    </w:p>
    <w:p>
      <w:pPr>
        <w:pStyle w:val="ListBullet"/>
        <w:spacing w:after="20"/>
        <w:ind w:left="288"/>
      </w:pPr>
      <w:r>
        <w:rPr>
          <w:sz w:val="20"/>
        </w:rPr>
        <w:t>• Инфографика и KPI-показатели для публичного отображения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CMS-функционал: создание новостей, мероприятий, страниц прямо в интерфейсе без разработчика — в Insight это делается только через конструктор приложений</w:t>
      </w:r>
    </w:p>
    <w:p>
      <w:pPr>
        <w:spacing w:after="20"/>
        <w:ind w:left="288"/>
      </w:pPr>
      <w:r>
        <w:rPr>
          <w:color w:val="6B7280"/>
          <w:sz w:val="20"/>
        </w:rPr>
        <w:t>• Загрузка и хранение документов (НПА, регламенты) с категоризацией</w:t>
      </w:r>
    </w:p>
    <w:p>
      <w:pPr>
        <w:spacing w:after="20"/>
        <w:ind w:left="288"/>
      </w:pPr>
      <w:r>
        <w:rPr>
          <w:color w:val="6B7280"/>
          <w:sz w:val="20"/>
        </w:rPr>
        <w:t>• Форма обратной связи и раздел «Поддержка» с базой знаний FAQ</w:t>
      </w:r>
    </w:p>
    <w:p>
      <w:pPr>
        <w:spacing w:before="60" w:after="120"/>
      </w:pPr>
      <w:r>
        <w:rPr>
          <w:i/>
          <w:color w:val="6B7280"/>
          <w:sz w:val="20"/>
        </w:rPr>
        <w:t>ℹ  Публичный портал ФГИС У выполнен на отдельном движке. Insight может дополнить его аналитическими виджетами, но не должен заменять CMS-часть.</w:t>
      </w:r>
    </w:p>
    <w:p>
      <w:pPr>
        <w:spacing w:before="200" w:after="80"/>
      </w:pPr>
      <w:r>
        <w:rPr>
          <w:b/>
          <w:color w:val="4F6AFF"/>
          <w:sz w:val="26"/>
        </w:rPr>
        <w:t>13. Мобильный доступ</w:t>
      </w:r>
    </w:p>
    <w:p>
      <w:pPr>
        <w:spacing w:after="80"/>
      </w:pPr>
      <w:r>
        <w:rPr>
          <w:b/>
          <w:color w:val="DC2626"/>
          <w:sz w:val="22"/>
        </w:rPr>
        <w:t xml:space="preserve">❌  Не можем  </w:t>
      </w:r>
      <w:r>
        <w:rPr>
          <w:color w:val="1A1A2E"/>
          <w:sz w:val="22"/>
        </w:rPr>
        <w:t>У Insight нет нативного мобильного приложения. Web-интерфейс адаптивен, но функциональность в мобильном браузере ограничена.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Просмотр дашбордов в мобильном браузере — адаптивная вёрстка</w:t>
      </w:r>
    </w:p>
    <w:p>
      <w:pPr>
        <w:pStyle w:val="ListBullet"/>
        <w:spacing w:after="20"/>
        <w:ind w:left="288"/>
      </w:pPr>
      <w:r>
        <w:rPr>
          <w:sz w:val="20"/>
        </w:rPr>
        <w:t>• Push-уведомления через модуль уведомлений Insight Pro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Нативное мобильное приложение (iOS / Android) для работы с заявками и КЭ</w:t>
      </w:r>
    </w:p>
    <w:p>
      <w:pPr>
        <w:spacing w:after="20"/>
        <w:ind w:left="288"/>
      </w:pPr>
      <w:r>
        <w:rPr>
          <w:color w:val="6B7280"/>
          <w:sz w:val="20"/>
        </w:rPr>
        <w:t>• Офлайн-режим работы</w:t>
      </w:r>
    </w:p>
    <w:p>
      <w:pPr>
        <w:spacing w:before="200" w:after="80"/>
      </w:pPr>
      <w:r>
        <w:rPr>
          <w:b/>
          <w:color w:val="4F6AFF"/>
          <w:sz w:val="26"/>
        </w:rPr>
        <w:t>14. Авторизация и аутентификация</w:t>
      </w:r>
    </w:p>
    <w:p>
      <w:pPr>
        <w:spacing w:after="80"/>
      </w:pPr>
      <w:r>
        <w:rPr>
          <w:b/>
          <w:color w:val="D97706"/>
          <w:sz w:val="22"/>
        </w:rPr>
        <w:t xml:space="preserve">⚠️  Частично  </w:t>
      </w:r>
      <w:r>
        <w:rPr>
          <w:color w:val="1A1A2E"/>
          <w:sz w:val="22"/>
        </w:rPr>
        <w:t>Insight использует Keycloak для аутентификации — это совпадает с тем, что уже применяется в ФГИС У. Интеграция выполнена. Задача второго фактора требует дополнительной работы.</w:t>
      </w:r>
    </w:p>
    <w:p>
      <w:pPr>
        <w:spacing w:after="40" w:before="0"/>
        <w:jc w:val="left"/>
      </w:pPr>
      <w:r>
        <w:rPr>
          <w:b/>
          <w:i w:val="0"/>
          <w:color w:val="16A34A"/>
          <w:sz w:val="20"/>
        </w:rPr>
        <w:t>Что умеем:</w:t>
      </w:r>
    </w:p>
    <w:p>
      <w:pPr>
        <w:pStyle w:val="ListBullet"/>
        <w:spacing w:after="20"/>
        <w:ind w:left="288"/>
      </w:pPr>
      <w:r>
        <w:rPr>
          <w:sz w:val="20"/>
        </w:rPr>
        <w:t>• SSO через Keycloak — уже работает в текущей инсталляции</w:t>
      </w:r>
    </w:p>
    <w:p>
      <w:pPr>
        <w:pStyle w:val="ListBullet"/>
        <w:spacing w:after="20"/>
        <w:ind w:left="288"/>
      </w:pPr>
      <w:r>
        <w:rPr>
          <w:sz w:val="20"/>
        </w:rPr>
        <w:t>• Разграничение доступа к приложениям и страницам по ролям Keycloak</w:t>
      </w:r>
    </w:p>
    <w:p>
      <w:pPr>
        <w:pStyle w:val="ListBullet"/>
        <w:spacing w:after="20"/>
        <w:ind w:left="288"/>
      </w:pPr>
      <w:r>
        <w:rPr>
          <w:sz w:val="20"/>
        </w:rPr>
        <w:t>• Стандартный OAuth 2.0 / OIDC поток без необходимости хранить секреты на клиенте</w:t>
      </w:r>
    </w:p>
    <w:p>
      <w:pPr>
        <w:spacing w:after="40" w:before="0"/>
        <w:jc w:val="left"/>
      </w:pPr>
      <w:r>
        <w:rPr>
          <w:b/>
          <w:i w:val="0"/>
          <w:color w:val="DC2626"/>
          <w:sz w:val="20"/>
        </w:rPr>
        <w:t>Чего не хватает:</w:t>
      </w:r>
    </w:p>
    <w:p>
      <w:pPr>
        <w:spacing w:after="20"/>
        <w:ind w:left="288"/>
      </w:pPr>
      <w:r>
        <w:rPr>
          <w:color w:val="6B7280"/>
          <w:sz w:val="20"/>
        </w:rPr>
        <w:t>• Встроенный второй фактор аутентификации внутри Insight — это настраивается на уровне Keycloak, не Insight</w:t>
      </w:r>
    </w:p>
    <w:p>
      <w:pPr>
        <w:spacing w:after="20"/>
        <w:ind w:left="288"/>
      </w:pPr>
      <w:r>
        <w:rPr>
          <w:color w:val="6B7280"/>
          <w:sz w:val="20"/>
        </w:rPr>
        <w:t>• Авторизация без Keycloak (LDAP/AD напрямую) в текущей конфигурации не предусмотрена</w:t>
      </w:r>
    </w:p>
    <w:p>
      <w:pPr>
        <w:spacing w:before="60" w:after="120"/>
      </w:pPr>
      <w:r>
        <w:rPr>
          <w:i/>
          <w:color w:val="6B7280"/>
          <w:sz w:val="20"/>
        </w:rPr>
        <w:t>ℹ  Если требуется второй фактор через отдельный Keycloak-клиент — это решается конфигурацией Keycloak и небольшой доработкой фронтенда (~25–35 ч).</w:t>
      </w:r>
    </w:p>
    <w:p/>
    <w:p>
      <w:pPr>
        <w:spacing w:before="200" w:after="200"/>
      </w:pPr>
      <w:r>
        <w:rPr>
          <w:color w:val="4F6AFF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1A2E"/>
          <w:sz w:val="32"/>
        </w:rPr>
        <w:t>Итог и рекомендации</w:t>
      </w:r>
    </w:p>
    <w:p>
      <w:pPr>
        <w:spacing w:after="160" w:before="0"/>
        <w:jc w:val="left"/>
      </w:pPr>
      <w:r>
        <w:rPr>
          <w:b w:val="0"/>
          <w:i w:val="0"/>
          <w:sz w:val="22"/>
        </w:rPr>
        <w:t>Платформа Insight сильна там, где ФГИС У нуждается в аналитике: дашборды, отчёты, прогнозная визуализация, self-service конструктор. Эти направления можно развивать и улучшать в рамках текущего контракта без ограничений.</w:t>
      </w:r>
    </w:p>
    <w:p>
      <w:pPr>
        <w:spacing w:after="160" w:before="0"/>
        <w:jc w:val="left"/>
      </w:pPr>
      <w:r>
        <w:rPr>
          <w:b w:val="0"/>
          <w:i w:val="0"/>
          <w:sz w:val="22"/>
        </w:rPr>
        <w:t>Управление объектами (КЭ, контракты, заявки, каталоги) — это операционный функционал основного приложения ФГИС У, который Insight не заменяет. Пытаться перенести эти функции на Insight нецелесообразно.</w:t>
      </w:r>
    </w:p>
    <w:p>
      <w:pPr>
        <w:spacing w:after="160" w:before="0"/>
        <w:jc w:val="left"/>
      </w:pPr>
      <w:r>
        <w:rPr>
          <w:b w:val="0"/>
          <w:i w:val="0"/>
          <w:sz w:val="22"/>
        </w:rPr>
        <w:t>Для расширения аналитического покрытия рекомендуется приоритизировать: (1) новые дашборды для ролей Регулятора и Аналитика ГосОблака, (2) улучшение раздела «Отчёты» с поддержкой экспорта в ODF, (3) подключение уведомлений по критическим событиям (Insight Pro).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