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200" w:type="dxa"/>
              <w:bottom w:w="160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b/>
                <w:color w:val="FFFFFF"/>
                <w:sz w:val="36"/>
              </w:rPr>
              <w:t>Анализ применимости платформы Insight</w:t>
            </w:r>
          </w:p>
          <w:p>
            <w:pPr>
              <w:spacing w:before="0" w:after="0"/>
              <w:jc w:val="left"/>
            </w:pPr>
            <w:r>
              <w:rPr>
                <w:b w:val="0"/>
                <w:color w:val="FFFFFF"/>
                <w:sz w:val="24"/>
              </w:rPr>
              <w:t>для ФГИС «Управление ГосОблаком» (ФГИС У)</w:t>
            </w:r>
          </w:p>
        </w:tc>
      </w:tr>
    </w:tbl>
    <w:p>
      <w:pPr>
        <w:spacing w:before="0" w:after="8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EFF2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6B7280"/>
                <w:sz w:val="16"/>
              </w:rPr>
              <w:t>Заказчик</w:t>
            </w:r>
          </w:p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18"/>
              </w:rPr>
              <w:t>НИИ «Восход» / Минцифры России</w:t>
            </w:r>
          </w:p>
        </w:tc>
        <w:tc>
          <w:tcPr>
            <w:tcW w:type="dxa" w:w="3230"/>
            <w:shd w:val="clear" w:color="auto" w:fill="EFF2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6B7280"/>
                <w:sz w:val="16"/>
              </w:rPr>
              <w:t>Платформа</w:t>
            </w:r>
          </w:p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18"/>
              </w:rPr>
              <w:t>Insight™  ООО «Эй Би Си Солюшенс»</w:t>
            </w:r>
          </w:p>
        </w:tc>
        <w:tc>
          <w:tcPr>
            <w:tcW w:type="dxa" w:w="3230"/>
            <w:shd w:val="clear" w:color="auto" w:fill="EFF2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6B7280"/>
                <w:sz w:val="16"/>
              </w:rPr>
              <w:t>Дата</w:t>
            </w:r>
          </w:p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18"/>
              </w:rPr>
              <w:t>Май 2025</w:t>
            </w:r>
          </w:p>
        </w:tc>
      </w:tr>
    </w:tbl>
    <w:p>
      <w:pPr>
        <w:spacing w:before="0" w:after="28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00"/>
        </w:trP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115" w:type="dxa"/>
          </w:tcPr>
          <w:p/>
        </w:tc>
        <w:tc>
          <w:tcPr>
            <w:tcW w:type="dxa" w:w="4844"/>
            <w:shd w:val="clear" w:color="auto" w:fill="F8F9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Документ отвечает на вопрос: что из функционала ФГИС У может закрыть платформа Insight, а что — нет. Insight планируется к внедрению в ФГИС У в качестве аналитической надстройки. Оценка основана на руководствах пользователя и администратора ФГИС У (v 4.0/4.1) и функционально-техническом описании Insight.</w:t>
            </w:r>
          </w:p>
        </w:tc>
      </w:tr>
    </w:tbl>
    <w:p>
      <w:pPr>
        <w:spacing w:before="0" w:after="280"/>
      </w:pPr>
      <w:rPr>
        <w:sz w:val="2"/>
      </w:rPr>
    </w:p>
    <w:p>
      <w:pPr>
        <w:spacing w:before="0" w:after="120"/>
      </w:pPr>
      <w:rPr>
        <w:sz w:val="2"/>
      </w:rPr>
    </w:p>
    <w:p>
      <w:pPr>
        <w:spacing w:before="0" w:after="120"/>
        <w:pBdr>
          <w:bottom w:val="single" w:sz="6" w:space="4" w:color="4F6AFF"/>
        </w:pBdr>
      </w:pPr>
      <w:r>
        <w:rPr>
          <w:b/>
          <w:color w:val="1A1A2E"/>
          <w:sz w:val="28"/>
        </w:rPr>
        <w:t>Общая картина</w:t>
      </w:r>
    </w:p>
    <w:p>
      <w:pPr>
        <w:spacing w:before="0" w:after="8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60" w:type="dxa"/>
            </w:tcMar>
            <w:tcW w:w="6336" w:type="dxa"/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0"/>
              </w:rPr>
              <w:t>Функциональное направление</w:t>
            </w:r>
          </w:p>
        </w:tc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60" w:type="dxa"/>
              <w:right w:w="100" w:type="dxa"/>
            </w:tcMar>
            <w:tcW w:w="2592" w:type="dxa"/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0"/>
              </w:rPr>
              <w:t>Возможность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Визуализация и дашборды (мониторинг, KPI, тренды)</w:t>
            </w:r>
          </w:p>
        </w:tc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  <w:tr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Аналитическая отчётность по ресурсам и КЭ</w:t>
            </w:r>
          </w:p>
        </w:tc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Self-service конструктор отчётов</w:t>
            </w:r>
          </w:p>
        </w:tc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  <w:tr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Формы ввода данных (заявки, записи, справочники)</w:t>
            </w:r>
          </w:p>
        </w:tc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Уведомления по событиям</w:t>
            </w:r>
          </w:p>
        </w:tc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  <w:tr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Ролевой доступ к контенту дашбордов</w:t>
            </w:r>
          </w:p>
        </w:tc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Прогнозирование потребления</w:t>
            </w:r>
          </w:p>
        </w:tc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  <w:tr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Управление заявками с BPM-процессом</w:t>
            </w:r>
          </w:p>
        </w:tc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Публичный портал (новости, документы, услуги)</w:t>
            </w:r>
          </w:p>
        </w:tc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  <w:tr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Авторизация и SSO через Keycloak</w:t>
            </w:r>
          </w:p>
        </w:tc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Управление КЭ (CRUD конфигурационных единиц)</w:t>
            </w:r>
          </w:p>
        </w:tc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  <w:tr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Полноценная тех.поддержка — ITSM (инциденты, SLA)</w:t>
            </w:r>
          </w:p>
        </w:tc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Ведение контрактов, заказов, SLA</w:t>
            </w:r>
          </w:p>
        </w:tc>
        <w:tc>
          <w:tcPr>
            <w:tcW w:type="dxa" w:w="4844"/>
            <w:shd w:val="clear" w:color="auto" w:fill="FFFF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  <w:tr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 w:val="0"/>
                <w:color w:val="1A1A2E"/>
                <w:sz w:val="20"/>
              </w:rPr>
              <w:t>Мобильное приложение</w:t>
            </w:r>
          </w:p>
        </w:tc>
        <w:tc>
          <w:tcPr>
            <w:tcW w:type="dxa" w:w="4844"/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60" w:type="dxa"/>
              <w:right w:w="10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</w:tbl>
    <w:p>
      <w:pPr>
        <w:spacing w:before="0" w:after="320"/>
      </w:pPr>
      <w:rPr>
        <w:sz w:val="2"/>
      </w:rPr>
    </w:p>
    <w:p>
      <w:pPr>
        <w:spacing w:before="0" w:after="120"/>
      </w:pPr>
      <w:rPr>
        <w:sz w:val="2"/>
      </w:rPr>
    </w:p>
    <w:p>
      <w:pPr>
        <w:spacing w:before="0" w:after="120"/>
        <w:pBdr>
          <w:bottom w:val="single" w:sz="6" w:space="4" w:color="4F6AFF"/>
        </w:pBdr>
      </w:pPr>
      <w:r>
        <w:rPr>
          <w:b/>
          <w:color w:val="1A1A2E"/>
          <w:sz w:val="28"/>
        </w:rPr>
        <w:t>Детальный разбор</w:t>
      </w:r>
    </w:p>
    <w:p>
      <w:pPr>
        <w:spacing w:before="0" w:after="12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Визуализация и дашборды (мониторинг, KPI, тренды)</w:t>
            </w:r>
          </w:p>
        </w:tc>
        <w:tc>
          <w:tcPr>
            <w:shd w:val="clear" w:color="auto" w:fill="D1FAE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Главная «витрина» системы — дашборды по потреблению CPU/RAM/хранилища, доступности услуг, рейтингу потребителей — полностью реализуется в Insight без ограничений.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KPI-плитки с текущими значениями, динамикой и пороговыми индикаторами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Линейные и столбчатые графики потребления в разрезе времени, поставщика, типа КЭ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Тепловые карты нагрузки, waterfall, sankey, gauge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Pivot-таблицы и drill-down для детальной аналитики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Настраиваемые дашборды для каждой роли (Поставщик, Потребитель, Регулятор, Аналитик)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Real-time обновление данных без перезагрузки страницы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Сводные отчёты по ГосОблаку в целом и в разрезе потребителя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Сам сбор метрик с агентов мониторинга — это задача бэкенда ФГИС У; Insight только визуализирует подготовленные данные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Аналитическая отчётность</w:t>
            </w:r>
          </w:p>
        </w:tc>
        <w:tc>
          <w:tcPr>
            <w:shd w:val="clear" w:color="auto" w:fill="D1FAE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Все 11+ типов отчётов ФГИС У — от «Отчёта по использованию КЭ» до «Рейтинга потребителей» — строятся стандартными средствами Insight.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Параметрические отчёты с фильтрами: период, потребитель, услуга, КЭ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Множественный выбор в фильтрах (мультиселект), каскадные зависимые фильтры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Сворачиваемые иерархические строки в таблицах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Цветовая индикация: рекомендации «уменьшить / оставить / увеличить»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Экспорт в Excel, CSV, PDF из интерфейса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Выгрузка в ODF (формат, принятый в ФГИС У) — нативно не поддерживается, нужна конвертация или доработка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316" w:type="dxa"/>
            <w:tcMar>
              <w:top w:w="60" w:type="dxa"/>
              <w:bottom w:w="60" w:type="dxa"/>
              <w:left w:w="8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B45A09"/>
                <w:sz w:val="20"/>
              </w:rPr>
              <w:t>ℹ</w:t>
            </w:r>
          </w:p>
        </w:tc>
        <w:tc>
          <w:tcPr>
            <w:tcW w:type="dxa" w:w="4844"/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783500"/>
                <w:sz w:val="18"/>
              </w:rPr>
              <w:t>Конструктор отчётов предполагается встроить в ФГИС У в рамках внедрения платформы.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Self-service конструктор отчётов</w:t>
            </w:r>
          </w:p>
        </w:tc>
        <w:tc>
          <w:tcPr>
            <w:shd w:val="clear" w:color="auto" w:fill="D1FAE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Пользователи самостоятельно строят новые отчёты без привлечения разработчика. Полностью закрывает раздел «Конструктор отчётов» руководства пользователя ФГИС У (гл. 5.12).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8928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Подключение к источнику данных через семантический слой без SQL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Drag-and-drop: выбор метрик, измерений, фильтров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Форматирование, условное выделение, сохранение и публикация отчётов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Регламентная отчётность с расписанием и автоматической рассылкой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Выгрузка страницы и отдельного виджета в PDF/Excel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Формы ввода данных</w:t>
            </w:r>
          </w:p>
        </w:tc>
        <w:tc>
          <w:tcPr>
            <w:shd w:val="clear" w:color="auto" w:fill="D1FAE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Insight имеет полноценный сервис форм ввода (ElemTaskForm + BPM-модуль) для создания и редактирования структурированных данных: заявок, записей справочников, карточек КЭ, отчётных форм — с ролями, статусами и маршрутизацией.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Конфигурируемые поля: строка, число, дата, справочник (dropdown/multiselect), чекбокс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Группировка полей с визуальной разметкой секций (макет сетки)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Матрица статусных переходов — разные роли видят разные доступные статусы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Разграничение прав по статусам: кто может читать/редактировать запись в каждом статусе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Валидация обязательных полей, кастомные сообщения об ошибках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Кастомные кнопки действий с событиями (например, «Перейти к связанному объекту»)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Интеграция с таблицами: изменение в форме автоматически обновляет таблицу на странице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Прямая запись в PostgreSQL — форма работает с любой таблицей БД ФГИС У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Интеграция с модулем оргструктуры для выбора сотрудников и подразделений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Динамическая форма — поля подгружаются по конфигурации из admin-панели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BPMN-граф согласования с параллельными ветками и таймерами — нужен Insight Pro BPM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Файловые вложения к записи — тип поля «Файл» ещё не реализован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Генерация печатных форм DOCX/PDF из записи — отдельная интеграция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316" w:type="dxa"/>
            <w:tcMar>
              <w:top w:w="60" w:type="dxa"/>
              <w:bottom w:w="60" w:type="dxa"/>
              <w:left w:w="8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B45A09"/>
                <w:sz w:val="20"/>
              </w:rPr>
              <w:t>ℹ</w:t>
            </w:r>
          </w:p>
        </w:tc>
        <w:tc>
          <w:tcPr>
            <w:tcW w:type="dxa" w:w="4844"/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783500"/>
                <w:sz w:val="18"/>
              </w:rPr>
              <w:t>Требует настройки бизнес-аналитиком через admin-панель Insight и работы дата-инженера для подготовки представлений в БД. Входит в Insight Pro.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Уведомления по событиям</w:t>
            </w:r>
          </w:p>
        </w:tc>
        <w:tc>
          <w:tcPr>
            <w:shd w:val="clear" w:color="auto" w:fill="D1FAE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Модуль уведомлений Insight Pro закрывает потребность в оповещении пользователей о событиях: смена статуса, превышение порога, создание обращения.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8928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Триггеры: смена статуса объекта, достижение порога метрики, создание записи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Каналы: email, push-уведомление, сообщение в цифровой ассистент / мессенджер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Шаблоны с динамическими полями (подстановка значений из объекта)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Персональные подписки — пользователь выбирает, какие события получать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Журнал доставки со статусами (отправлено, ошибка, в очереди)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Real-time счётчик непрочитанных в интерфейсе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316" w:type="dxa"/>
            <w:tcMar>
              <w:top w:w="60" w:type="dxa"/>
              <w:bottom w:w="60" w:type="dxa"/>
              <w:left w:w="8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B45A09"/>
                <w:sz w:val="20"/>
              </w:rPr>
              <w:t>ℹ</w:t>
            </w:r>
          </w:p>
        </w:tc>
        <w:tc>
          <w:tcPr>
            <w:tcW w:type="dxa" w:w="4844"/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783500"/>
                <w:sz w:val="18"/>
              </w:rPr>
              <w:t>Требуется лицензия Insight Pro. Standard не включает модуль уведомлений.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Ролевой доступ к контенту дашбордов</w:t>
            </w:r>
          </w:p>
        </w:tc>
        <w:tc>
          <w:tcPr>
            <w:shd w:val="clear" w:color="auto" w:fill="D1FAE5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16A34A"/>
                <w:sz w:val="20"/>
              </w:rPr>
              <w:t>✅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Разные роли ФГИС У (Поставщик, Потребитель, Регулятор, Аналитик) видят разный контент — это нативно поддерживается в Insight.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Индивидуальная настройка дашборда под каждую группу ролей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Скрытие/показ блоков, разделов и кнопок в зависимости от роли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Разграничение доступа к приложениям и страницам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Интеграция с Keycloak — роли берутся из текущей IAM ФГИС У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Управление самими бизнес-ролями ФГИС У (создание, редактирование прав) — задача Keycloak/бэкенда, не Insight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Прогноз потребления ресурсов</w:t>
            </w:r>
          </w:p>
        </w:tc>
        <w:tc>
          <w:tcPr>
            <w:shd w:val="clear" w:color="auto" w:fill="FEF3C7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Insight визуализирует прогнозные данные и строит сравнительные графики «план/факт». Сами алгоритмы ML-прогнозирования находятся на бэкенде ФГИС У.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Отображение прогнозных значений рядом с фактическими на одном графике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Фильтрация и навигация по прогнозным отчётам: в разрезе услуг и КЭ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Сравнение плановых и фактических объёмов с подсветкой отклонений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Вычисление прогноза внутри Insight — расчёты должны быть подготовлены бэкенд-сервисом и переданы как обычные данные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316" w:type="dxa"/>
            <w:tcMar>
              <w:top w:w="60" w:type="dxa"/>
              <w:bottom w:w="60" w:type="dxa"/>
              <w:left w:w="8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B45A09"/>
                <w:sz w:val="20"/>
              </w:rPr>
              <w:t>ℹ</w:t>
            </w:r>
          </w:p>
        </w:tc>
        <w:tc>
          <w:tcPr>
            <w:tcW w:type="dxa" w:w="4844"/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783500"/>
                <w:sz w:val="18"/>
              </w:rPr>
              <w:t>Текущий раздел «Прогноз потребления» (гл. 6) уже работает по этой схеме в других проектах на Insight.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Управление заявками с BPM-процессом</w:t>
            </w:r>
          </w:p>
        </w:tc>
        <w:tc>
          <w:tcPr>
            <w:shd w:val="clear" w:color="auto" w:fill="FEF3C7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Простые заявки с полями и статусами — реализуемо через формы ввода Insight. Сложные multi-step workflow с параллельными согласованиями требуют Insight Pro BPM.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Форма создания заявки с обязательными полями и справочниками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Линейная цепочка статусов (Новая → В работе → Закрыта) с ролевыми переходами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Уведомления о смене статуса заявки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Отображение реестра заявок в таблице с фильтрами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Параллельное многоуровневое согласование (например, Исполнитель + Руководитель + Заказчик) — нужен Insight Pro BPM с BPMN-диаграммами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Встроенная переписка по заявке, вложения, история изменений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SLA-таймеры с автоматической эскалацией при нарушении сроков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316" w:type="dxa"/>
            <w:tcMar>
              <w:top w:w="60" w:type="dxa"/>
              <w:bottom w:w="60" w:type="dxa"/>
              <w:left w:w="8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B45A09"/>
                <w:sz w:val="20"/>
              </w:rPr>
              <w:t>ℹ</w:t>
            </w:r>
          </w:p>
        </w:tc>
        <w:tc>
          <w:tcPr>
            <w:tcW w:type="dxa" w:w="4844"/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783500"/>
                <w:sz w:val="18"/>
              </w:rPr>
              <w:t>Требует Insight Pro и дополнительной настройки бизнес-аналитиком.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Публичный портал (новости, документы, услуги)</w:t>
            </w:r>
          </w:p>
        </w:tc>
        <w:tc>
          <w:tcPr>
            <w:shd w:val="clear" w:color="auto" w:fill="FEF3C7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Insight создаёт информационные страницы и аналитические панели. CMS-функционал (редактирование новостей, загрузка документов) — вне его компетенции.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Статические и динамические информационные страницы (О ГЕОП, ключевые показатели)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Инфографика и KPI-показатели для публичного отображения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Карта портала — навигационная страница со ссылками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CMS: создание новостей и мероприятий без разработчика — в Insight это делается только через конструктор приложений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Хранилище документов (НПА, регламенты) с категоризацией и поиском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Форма обратной связи с базой знаний FAQ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316" w:type="dxa"/>
            <w:tcMar>
              <w:top w:w="60" w:type="dxa"/>
              <w:bottom w:w="60" w:type="dxa"/>
              <w:left w:w="8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B45A09"/>
                <w:sz w:val="20"/>
              </w:rPr>
              <w:t>ℹ</w:t>
            </w:r>
          </w:p>
        </w:tc>
        <w:tc>
          <w:tcPr>
            <w:tcW w:type="dxa" w:w="4844"/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783500"/>
                <w:sz w:val="18"/>
              </w:rPr>
              <w:t>Публичный портал ФГИС У работает на отдельном CMS-движке. Insight дополняет его аналитическими виджетами, но не заменяет.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10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Авторизация и SSO</w:t>
            </w:r>
          </w:p>
        </w:tc>
        <w:tc>
          <w:tcPr>
            <w:shd w:val="clear" w:color="auto" w:fill="FEF3C7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97706"/>
                <w:sz w:val="20"/>
              </w:rPr>
              <w:t>⚠️  Частично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Insight использует Keycloak для аутентификации — точно так же, как ФГИС У. Интеграция SSO выполняется при внедрении.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SSO через Keycloak (OAuth 2.0 / OIDC) — стандартный механизм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Разграничение доступа к приложениям и страницам по ролям Keycloak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Нет необходимости хранить секреты на клиентской стороне (PKCE)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Встроенный второй фактор аутентификации — настраивается на уровне Keycloak, не Insight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LDAP/AD напрямую без Keycloak — не поддерживается в текущей конфигурации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11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Управление конфигурационными единицами (КЭ)</w:t>
            </w:r>
          </w:p>
        </w:tc>
        <w:tc>
          <w:tcPr>
            <w:shd w:val="clear" w:color="auto" w:fill="FEE2E2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Insight — BI-инструмент. Управление КЭ (создание, редактирование, ассоциации, постановка на мониторинг) — это операционный CMDB-функционал ФГИС У.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Визуализация данных о КЭ: карточки, таблицы, графики утилизации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Drill-down до уровня отдельного КЭ, тепловые карты нагрузки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CRUD-операции: создание, редактирование, удаление, восстановление КЭ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Управление ассоциациями и перемещение КЭ между поставщиками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Смена типа КЭ, управление атрибутами типов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Постановка КЭ на мониторинг, управление агентами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316" w:type="dxa"/>
            <w:tcMar>
              <w:top w:w="60" w:type="dxa"/>
              <w:bottom w:w="60" w:type="dxa"/>
              <w:left w:w="8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B45A09"/>
                <w:sz w:val="20"/>
              </w:rPr>
              <w:t>ℹ</w:t>
            </w:r>
          </w:p>
        </w:tc>
        <w:tc>
          <w:tcPr>
            <w:tcW w:type="dxa" w:w="4844"/>
            <w:shd w:val="clear" w:color="auto" w:fill="FEF9C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60" w:type="dxa"/>
              <w:bottom w:w="60" w:type="dxa"/>
              <w:left w:w="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783500"/>
                <w:sz w:val="18"/>
              </w:rPr>
              <w:t>Раздел «Управление КЭ» (гл. 4 руководства) — полноценная CMDB, остаётся в основном приложении ФГИС У.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12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Техническая поддержка (ITSM: инциденты, регламентные работы)</w:t>
            </w:r>
          </w:p>
        </w:tc>
        <w:tc>
          <w:tcPr>
            <w:shd w:val="clear" w:color="auto" w:fill="FEE2E2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ITSM — это специализированная система с lifecycle обращений, SLA-таймерами и согласованием работ. Insight для этого не предназначен.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Дашборды по тех.поддержке: кол-во обращений, время закрытия, соблюдение SLA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Отчёты по инцидентам и регламентным работам за период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Создание и обработка обращений с переходами статусов и перепиской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Планирование и многостороннее согласование регламентных работ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SLA-контроль: таймеры, эскалации, нарушения сроков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13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Ведение контрактов, заказов и SLA</w:t>
            </w:r>
          </w:p>
        </w:tc>
        <w:tc>
          <w:tcPr>
            <w:shd w:val="clear" w:color="auto" w:fill="FEE2E2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Контракты и заказы — сложные бизнес-документы с многоэтапными жизненными циклами. Insight может их визуализировать, но не вести.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Дашборды по контрактам: суммы, статусы, расходы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Отчёты по заказам: сводный объём услуг, распределение по КЭ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Визуализация контроля переподписки и лимитов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Ведение контракта: вкладки с услугами, лимитами, этапами, SLA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Workflow согласования заказов и проектов заказов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Журналирование изменений по контракту</w:t>
            </w:r>
          </w:p>
        </w:tc>
      </w:tr>
    </w:tbl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shd w:val="clear" w:color="auto" w:fill="4F6A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460" w:type="dx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2"/>
              </w:rPr>
              <w:t>14</w:t>
            </w:r>
          </w:p>
        </w:tc>
        <w:tc>
          <w:tcPr>
            <w:shd w:val="clear" w:color="auto" w:fill="1A1A2E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163" w:type="dxa"/>
            <w:tcMar>
              <w:top w:w="80" w:type="dxa"/>
              <w:bottom w:w="80" w:type="dxa"/>
              <w:left w:w="100" w:type="dxa"/>
              <w:right w:w="60" w:type="dxa"/>
            </w:tcMar>
          </w:tcPr>
          <w:p>
            <w:pPr>
              <w:spacing w:before="0" w:after="40"/>
              <w:jc w:val="left"/>
            </w:pPr>
            <w:r>
              <w:rPr>
                <w:b/>
                <w:color w:val="FFFFFF"/>
                <w:sz w:val="24"/>
              </w:rPr>
              <w:t>Мобильное приложение</w:t>
            </w:r>
          </w:p>
        </w:tc>
        <w:tc>
          <w:tcPr>
            <w:shd w:val="clear" w:color="auto" w:fill="FEE2E2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304" w:type="dxa"/>
            <w:tcMar>
              <w:top w:w="80" w:type="dxa"/>
              <w:bottom w:w="80" w:type="dxa"/>
              <w:left w:w="6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DC2626"/>
                <w:sz w:val="20"/>
              </w:rPr>
              <w:t>❌ Не можем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F4F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У Insight нет нативного мобильного приложения. Web-интерфейс адаптивен, но полноценная работа ориентирована на desktop.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16A34A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16A34A"/>
                <w:sz w:val="18"/>
              </w:rPr>
              <w:t>✔  Что умеем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Просмотр дашбордов в мобильном браузере — адаптивная вёрстка</w:t>
            </w:r>
          </w:p>
          <w:p>
            <w:pPr>
              <w:spacing w:before="0" w:after="40"/>
              <w:ind w:left="173"/>
            </w:pPr>
            <w:r>
              <w:rPr>
                <w:color w:val="1A1A2E"/>
                <w:sz w:val="19"/>
              </w:rPr>
              <w:t>• Push-уведомления через модуль уведомлений Insight Pro</w:t>
            </w:r>
          </w:p>
        </w:tc>
        <w:tc>
          <w:tcPr>
            <w:shd w:val="clear" w:color="auto" w:fill="FFFFFF"/>
            <w:tcBorders>
              <w:top w:val="none" w:sz="4" w:space="0" w:color="000000"/>
              <w:bottom w:val="none" w:sz="4" w:space="0" w:color="000000"/>
              <w:left w:val="single" w:sz="12" w:space="0" w:color="DC2626"/>
              <w:right w:val="none" w:sz="4" w:space="0" w:color="000000"/>
            </w:tcBorders>
            <w:tcMar>
              <w:top w:w="80" w:type="dxa"/>
              <w:bottom w:w="80" w:type="dxa"/>
              <w:left w:w="100" w:type="dxa"/>
              <w:right w:w="80" w:type="dxa"/>
            </w:tcMar>
            <w:tcW w:w="4464" w:type="dxa"/>
          </w:tcPr>
          <w:p>
            <w:pPr>
              <w:spacing w:before="0" w:after="80"/>
              <w:jc w:val="left"/>
            </w:pPr>
            <w:r>
              <w:rPr>
                <w:b/>
                <w:color w:val="DC2626"/>
                <w:sz w:val="18"/>
              </w:rPr>
              <w:t>✗  Ограничения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Нативное приложение iOS / Android</w:t>
            </w:r>
          </w:p>
          <w:p>
            <w:pPr>
              <w:spacing w:before="0" w:after="40"/>
              <w:ind w:left="173"/>
            </w:pPr>
            <w:r>
              <w:rPr>
                <w:color w:val="6B7280"/>
                <w:sz w:val="19"/>
              </w:rPr>
              <w:t>• Офлайн-режим работы с синхронизацией</w:t>
            </w:r>
          </w:p>
        </w:tc>
      </w:tr>
    </w:tbl>
    <w:p>
      <w:pPr>
        <w:spacing w:before="0" w:after="200"/>
      </w:pPr>
      <w:rPr>
        <w:sz w:val="2"/>
      </w:rPr>
    </w:p>
    <w:p>
      <w:pPr>
        <w:spacing w:before="0" w:after="120"/>
      </w:pPr>
      <w:rPr>
        <w:sz w:val="2"/>
      </w:rPr>
    </w:p>
    <w:p>
      <w:pPr>
        <w:spacing w:before="0" w:after="120"/>
        <w:pBdr>
          <w:bottom w:val="single" w:sz="6" w:space="4" w:color="4F6AFF"/>
        </w:pBdr>
      </w:pPr>
      <w:r>
        <w:rPr>
          <w:b/>
          <w:color w:val="1A1A2E"/>
          <w:sz w:val="28"/>
        </w:rPr>
        <w:t>Итог и рекомендации</w:t>
      </w:r>
    </w:p>
    <w:p>
      <w:pPr>
        <w:spacing w:before="0" w:after="12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16A34A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160" w:type="dxa"/>
            <w:tcMar>
              <w:top w:w="100" w:type="dxa"/>
              <w:bottom w:w="100" w:type="dxa"/>
              <w:left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0"/>
              </w:rPr>
              <w:t>Развивать сейчас</w:t>
            </w:r>
          </w:p>
        </w:tc>
        <w:tc>
          <w:tcPr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768" w:type="dx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Дашборды мониторинга, аналитические отчёты, конструктор отчётов, формы ввода для простых заявок и справочников, уведомления (Insight Pro). Всё это прямо закрывает потребности ФГИС У и реализуемо в рамках внедрения.</w:t>
            </w:r>
          </w:p>
        </w:tc>
      </w:tr>
    </w:tbl>
    <w:p>
      <w:pPr>
        <w:spacing w:before="0" w:after="1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D9770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160" w:type="dxa"/>
            <w:tcMar>
              <w:top w:w="100" w:type="dxa"/>
              <w:bottom w:w="100" w:type="dxa"/>
              <w:left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0"/>
              </w:rPr>
              <w:t>Оценить отдельно</w:t>
            </w:r>
          </w:p>
        </w:tc>
        <w:tc>
          <w:tcPr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768" w:type="dx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Сложные multi-step согласования через BPM; экспорт в ODF; второй фактор аутентификации. Технически реализуемо, но требует отдельной оценки трудозатрат и лицензий.</w:t>
            </w:r>
          </w:p>
        </w:tc>
      </w:tr>
    </w:tbl>
    <w:p>
      <w:pPr>
        <w:spacing w:before="0" w:after="1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shd w:val="clear" w:color="auto" w:fill="DC262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2160" w:type="dxa"/>
            <w:tcMar>
              <w:top w:w="100" w:type="dxa"/>
              <w:bottom w:w="100" w:type="dxa"/>
              <w:left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rPr>
                <w:b/>
                <w:color w:val="FFFFFF"/>
                <w:sz w:val="20"/>
              </w:rPr>
              <w:t>Оставить в ФГИС У</w:t>
            </w:r>
          </w:p>
        </w:tc>
        <w:tc>
          <w:tcPr>
            <w:shd w:val="clear" w:color="auto" w:fill="F9FAFB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W w:w="6768" w:type="dx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1A1A2E"/>
                <w:sz w:val="20"/>
              </w:rPr>
              <w:t>Управление КЭ, контракты, тех.поддержка (ITSM), каталоги — это операционный функционал основного приложения. Переносить на Insight нецелесообразно.</w:t>
            </w:r>
          </w:p>
        </w:tc>
      </w:tr>
    </w:tbl>
    <w:p>
      <w:pPr>
        <w:spacing w:before="0" w:after="100"/>
      </w:pPr>
      <w:rPr>
        <w:sz w:val="2"/>
      </w:rPr>
    </w:p>
    <w:p>
      <w:pPr>
        <w:spacing w:before="0" w:after="200"/>
      </w:pPr>
      <w:rPr>
        <w:sz w:val="2"/>
      </w:r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FF2FF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 w:val="0"/>
                <w:color w:val="6B7280"/>
                <w:sz w:val="16"/>
              </w:rPr>
              <w:t>Документ подготовлен на основе: Руководство пользователя ФГИС У v4.0, Руководство администратора ФГИС У v4.1, Функционально-техническое описание платформы Insight (2025), Инструкция по формам ввода Insight.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