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</w:pPr>
      <w:r>
        <w:rPr>
          <w:color w:val="64748B"/>
          <w:sz w:val="22"/>
        </w:rPr>
        <w:t>ООО «Эй Би Си Солюшенс»</w:t>
      </w:r>
    </w:p>
    <w:p>
      <w:pPr>
        <w:spacing w:before="600"/>
        <w:jc w:val="left"/>
      </w:pPr>
      <w:r>
        <w:rPr>
          <w:b/>
          <w:color w:val="1E293B"/>
          <w:sz w:val="44"/>
        </w:rPr>
        <w:t>АНАЛИЗ ТРЕБОВАНИЙ ФГИС У</w:t>
        <w:br/>
        <w:t>И ВОЗМОЖНОСТЕЙ ПЛАТФОРМЫ INSIGHT™</w:t>
      </w:r>
    </w:p>
    <w:p>
      <w:pPr>
        <w:spacing w:after="120"/>
      </w:pPr>
      <w:r>
        <w:rPr>
          <w:color w:val="475569"/>
          <w:sz w:val="26"/>
        </w:rPr>
        <w:t>Оценка покрытия задач визуализации и аналитики</w:t>
        <w:br/>
        <w:t>для Государственной единой облачной платформы (ГосОблако / ГЕОП)</w:t>
      </w:r>
    </w:p>
    <w:p>
      <w:r>
        <w:rPr>
          <w:color w:val="94A3B8"/>
          <w:sz w:val="20"/>
        </w:rPr>
        <w:t>Версия 1.0  ·  Май 2026</w:t>
      </w:r>
    </w:p>
    <w:p/>
    <w:p>
      <w:pPr>
        <w:pBdr>
          <w:bottom w:val="single" w:sz="12" w:space="1" w:color="1D4ED8"/>
        </w:pBdr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1E293B"/>
        </w:rPr>
        <w:t>1. Аннотация</w:t>
      </w:r>
    </w:p>
    <w:p>
      <w:pPr>
        <w:spacing w:after="80"/>
      </w:pPr>
      <w:r>
        <w:rPr>
          <w:b w:val="0"/>
          <w:sz w:val="21"/>
        </w:rPr>
        <w:t>Настоящий документ содержит анализ требований Федеральной государственной информационной системы «Управление государственной единой облачной платформой» (ФГИС У, версии 4.0 / 4.1) в части задач визуализации, аналитики и управления дашбордами, и сопоставляет их с функциональными возможностями платформы Insight™ (Функционально-техническое описание, ООО «Эй Би Си Солюшенс», 2025) и нашим стеком кастомных виджетов.</w:t>
      </w:r>
    </w:p>
    <w:p>
      <w:pPr>
        <w:spacing w:after="80"/>
      </w:pPr>
      <w:r>
        <w:rPr>
          <w:b w:val="0"/>
          <w:sz w:val="21"/>
        </w:rPr>
        <w:t>Источники анализа:</w:t>
      </w:r>
    </w:p>
    <w:p>
      <w:pPr>
        <w:pStyle w:val="ListBullet"/>
        <w:spacing w:after="40"/>
      </w:pPr>
      <w:r>
        <w:rPr>
          <w:sz w:val="21"/>
        </w:rPr>
        <w:t>Руководство пользователя ФГИС У, версия 4.0 (ФГАУ НИИ «Восход», 2024)</w:t>
      </w:r>
    </w:p>
    <w:p>
      <w:pPr>
        <w:pStyle w:val="ListBullet"/>
        <w:spacing w:after="40"/>
      </w:pPr>
      <w:r>
        <w:rPr>
          <w:sz w:val="21"/>
        </w:rPr>
        <w:t>Руководство администратора ФГИС У, версия 4.1 (ФГАУ НИИ «Восход», 2024)</w:t>
      </w:r>
    </w:p>
    <w:p>
      <w:pPr>
        <w:pStyle w:val="ListBullet"/>
        <w:spacing w:after="40"/>
      </w:pPr>
      <w:r>
        <w:rPr>
          <w:sz w:val="21"/>
        </w:rPr>
        <w:t>Функционально-техническое описание платформы Insight™ (ABC Solutions, 2025)</w:t>
      </w:r>
    </w:p>
    <w:p>
      <w:pPr>
        <w:pStyle w:val="ListBullet"/>
        <w:spacing w:after="40"/>
      </w:pPr>
      <w:r>
        <w:rPr>
          <w:sz w:val="21"/>
        </w:rPr>
        <w:t>Кодовая база кастомных виджетов Insight (репозиторий проекта)</w:t>
      </w:r>
    </w:p>
    <w:p/>
    <w:p>
      <w:pPr>
        <w:pStyle w:val="Heading1"/>
        <w:spacing w:before="280" w:after="80"/>
      </w:pPr>
      <w:r>
        <w:rPr>
          <w:color w:val="1E293B"/>
        </w:rPr>
        <w:t>2. Контекст: система ФГИС У</w:t>
      </w:r>
    </w:p>
    <w:p>
      <w:pPr>
        <w:pStyle w:val="Heading2"/>
        <w:spacing w:before="160" w:after="80"/>
      </w:pPr>
      <w:r>
        <w:rPr>
          <w:color w:val="1E293B"/>
        </w:rPr>
        <w:t>2.1 Назначение и цели</w:t>
      </w:r>
    </w:p>
    <w:p>
      <w:pPr>
        <w:spacing w:after="80"/>
      </w:pPr>
      <w:r>
        <w:rPr>
          <w:b w:val="0"/>
          <w:sz w:val="21"/>
        </w:rPr>
        <w:t>ФГИС У — федеральная государственная информационная система, предназначенная для комплексной автоматизации процессов контроля качества оказания вычислительных и программных услуг ГосОблака, регламентирования деятельности поставщиков, оптимизации планирования и поддержки принятия решений в части задач функционирования и развития ГЕОП.</w:t>
      </w:r>
    </w:p>
    <w:p>
      <w:pPr>
        <w:spacing w:after="80"/>
      </w:pPr>
      <w:r>
        <w:rPr>
          <w:b w:val="0"/>
          <w:sz w:val="21"/>
        </w:rPr>
        <w:t>Заказчик: Минцифры России / ФГАУ НИИ «Восход»</w:t>
      </w:r>
    </w:p>
    <w:p>
      <w:pPr>
        <w:spacing w:after="80"/>
      </w:pPr>
      <w:r>
        <w:rPr>
          <w:b w:val="0"/>
          <w:sz w:val="21"/>
        </w:rPr>
        <w:t>Нормативная база: Постановление Правительства РФ от 28.08.2019 № 1114 об эксперименте по переводу ИС ОГВ в ГосОблако.</w:t>
      </w:r>
    </w:p>
    <w:p>
      <w:pPr>
        <w:pStyle w:val="Heading2"/>
        <w:spacing w:before="160" w:after="80"/>
      </w:pPr>
      <w:r>
        <w:rPr>
          <w:color w:val="1E293B"/>
        </w:rPr>
        <w:t>2.2 Ключевые функциональные области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/>
        </w:trPr>
        <w:tc>
          <w:tcPr>
            <w:tcW w:type="dxa" w:w="3118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Функциональная область</w:t>
            </w:r>
          </w:p>
        </w:tc>
        <w:tc>
          <w:tcPr>
            <w:tcW w:type="dxa" w:w="6236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Каталог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Управление поставщиками, потребителями, справочниками услуг, типами КЭ, проектами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Управление КЭ</w:t>
            </w:r>
          </w:p>
        </w:tc>
        <w:tc>
          <w:tcPr>
            <w:tcW w:type="dxa" w:w="6236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Конфигурационные элементы (ВМ, серверы и др.): создание, поиск, журналирование, отчёты по оптимизации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Отчёты (11 типов)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Мониторинг потребления, доступность услуг, эффективность затрат, рейтинг потребителей, утилизация ресурсов и т.д.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Конструктор отчётов</w:t>
            </w:r>
          </w:p>
        </w:tc>
        <w:tc>
          <w:tcPr>
            <w:tcW w:type="dxa" w:w="6236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Self-service инструмент: подключение к БД, SQL/JSON-запросы, ролевой доступ, экспорт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Прогноз потребления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Прогнозирование ресурсов в разрезе услуг и конфигурационных элементов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ИТ-ресурсы ОГВ</w:t>
            </w:r>
          </w:p>
        </w:tc>
        <w:tc>
          <w:tcPr>
            <w:tcW w:type="dxa" w:w="6236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Учёт IT-ресурсов органов государственной власти, отчёты об обновлении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Уведомления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Настройка и получение уведомлений по событиям системы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Управление контрактами</w:t>
            </w:r>
          </w:p>
        </w:tc>
        <w:tc>
          <w:tcPr>
            <w:tcW w:type="dxa" w:w="6236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Контракты с услугами, тарифами, лимитами, этапами, расходами, SLA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Управление заказами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Проекты заказов, заказы с объёмами и КЭ, сводные отчёты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Управление заявками</w:t>
            </w:r>
          </w:p>
        </w:tc>
        <w:tc>
          <w:tcPr>
            <w:tcW w:type="dxa" w:w="6236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Инциденты, запросы на обслуживание, технический процесс обработки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Тех.поддержка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Инциденты, запросы, регламентные работы, планирование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Дашборды</w:t>
            </w:r>
          </w:p>
        </w:tc>
        <w:tc>
          <w:tcPr>
            <w:tcW w:type="dxa" w:w="6236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Информационная панель ГосОблака: настройка параметров услуг, индивидуальная конфигурация по ролям, автообновление</w:t>
            </w:r>
          </w:p>
        </w:tc>
      </w:tr>
      <w:tr>
        <w:tc>
          <w:tcPr>
            <w:tcW w:type="dxa" w:w="3118"/>
            <w:vAlign w:val="center"/>
            <w:shd w:val="clear" w:color="auto" w:fill="EFF6FF"/>
          </w:tcPr>
          <w:p>
            <w:pPr>
              <w:jc w:val="left"/>
            </w:pPr>
            <w:r>
              <w:rPr>
                <w:b/>
                <w:sz w:val="19"/>
              </w:rPr>
              <w:t>Портал</w:t>
            </w:r>
          </w:p>
        </w:tc>
        <w:tc>
          <w:tcPr>
            <w:tcW w:type="dxa" w:w="623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Новости, мероприятия, страницы, FAQ, документы</w:t>
            </w:r>
          </w:p>
        </w:tc>
      </w:tr>
    </w:tbl>
    <w:p/>
    <w:p>
      <w:pPr>
        <w:pStyle w:val="Heading2"/>
        <w:spacing w:before="160" w:after="80"/>
      </w:pPr>
      <w:r>
        <w:rPr>
          <w:color w:val="1E293B"/>
        </w:rPr>
        <w:t>2.3 Ролевая модель</w:t>
      </w:r>
    </w:p>
    <w:p>
      <w:pPr>
        <w:spacing w:after="80"/>
      </w:pPr>
      <w:r>
        <w:rPr>
          <w:b w:val="0"/>
          <w:sz w:val="21"/>
        </w:rPr>
        <w:t>Система разграничивает доступ к функциям и дашбордам по ролям пользователей:</w:t>
      </w:r>
    </w:p>
    <w:p>
      <w:pPr>
        <w:pStyle w:val="ListBullet"/>
        <w:spacing w:after="40"/>
      </w:pPr>
      <w:r>
        <w:rPr>
          <w:sz w:val="21"/>
        </w:rPr>
        <w:t>Регулятор</w:t>
      </w:r>
    </w:p>
    <w:p>
      <w:pPr>
        <w:pStyle w:val="ListBullet"/>
        <w:spacing w:after="40"/>
      </w:pPr>
      <w:r>
        <w:rPr>
          <w:sz w:val="21"/>
        </w:rPr>
        <w:t>Администратор</w:t>
      </w:r>
    </w:p>
    <w:p>
      <w:pPr>
        <w:pStyle w:val="ListBullet"/>
        <w:spacing w:after="40"/>
      </w:pPr>
      <w:r>
        <w:rPr>
          <w:sz w:val="21"/>
        </w:rPr>
        <w:t>Поставщик услуг</w:t>
      </w:r>
    </w:p>
    <w:p>
      <w:pPr>
        <w:pStyle w:val="ListBullet"/>
        <w:spacing w:after="40"/>
      </w:pPr>
      <w:r>
        <w:rPr>
          <w:sz w:val="21"/>
        </w:rPr>
        <w:t>Потребитель услуг</w:t>
      </w:r>
    </w:p>
    <w:p>
      <w:pPr>
        <w:pStyle w:val="ListBullet"/>
        <w:spacing w:after="40"/>
      </w:pPr>
      <w:r>
        <w:rPr>
          <w:sz w:val="21"/>
        </w:rPr>
        <w:t>Администратор ПОИБ</w:t>
      </w:r>
    </w:p>
    <w:p>
      <w:pPr>
        <w:pStyle w:val="ListBullet"/>
        <w:spacing w:after="40"/>
      </w:pPr>
      <w:r>
        <w:rPr>
          <w:sz w:val="21"/>
        </w:rPr>
        <w:t>Служба администрирования и сопровождения (САиС ФГИС У)</w:t>
      </w:r>
    </w:p>
    <w:p>
      <w:pPr>
        <w:spacing w:after="80"/>
      </w:pPr>
      <w:r>
        <w:rPr>
          <w:b w:val="0"/>
          <w:sz w:val="21"/>
        </w:rPr>
        <w:t>Дашборды и отчёты в системе являются ролезависимыми — каждая роль видит свой набор данных и настроек.</w:t>
      </w:r>
    </w:p>
    <w:p/>
    <w:p>
      <w:pPr>
        <w:pStyle w:val="Heading1"/>
        <w:spacing w:before="280" w:after="80"/>
      </w:pPr>
      <w:r>
        <w:rPr>
          <w:color w:val="1E293B"/>
        </w:rPr>
        <w:t>3. Требования заказчика к аналитике и визуализации</w:t>
      </w:r>
    </w:p>
    <w:p>
      <w:pPr>
        <w:pStyle w:val="Heading2"/>
        <w:spacing w:before="160" w:after="80"/>
      </w:pPr>
      <w:r>
        <w:rPr>
          <w:color w:val="1E293B"/>
        </w:rPr>
        <w:t>3.1 Подсистема дашбордов (Руководство администратора, п. 5.18)</w:t>
      </w:r>
    </w:p>
    <w:p>
      <w:pPr>
        <w:spacing w:after="80"/>
      </w:pPr>
      <w:r>
        <w:rPr>
          <w:b w:val="0"/>
          <w:sz w:val="21"/>
        </w:rPr>
        <w:t>Согласно руководству администратора, раздел «Дашборды» уже реализован на базе Insight. Ключевые требования:</w:t>
      </w:r>
    </w:p>
    <w:p>
      <w:pPr>
        <w:pStyle w:val="ListBullet"/>
        <w:spacing w:after="40"/>
      </w:pPr>
      <w:r>
        <w:rPr>
          <w:sz w:val="21"/>
        </w:rPr>
        <w:t>Ролезависимые дашборды: индивидуальная настройка для каждой группы ролей</w:t>
      </w:r>
    </w:p>
    <w:p>
      <w:pPr>
        <w:pStyle w:val="ListBullet"/>
        <w:spacing w:after="40"/>
      </w:pPr>
      <w:r>
        <w:rPr>
          <w:sz w:val="21"/>
        </w:rPr>
        <w:t>Настраиваемые параметры услуг в разрезах дашборда (добавление/удаление параметров)</w:t>
      </w:r>
    </w:p>
    <w:p>
      <w:pPr>
        <w:pStyle w:val="ListBullet"/>
        <w:spacing w:after="40"/>
      </w:pPr>
      <w:r>
        <w:rPr>
          <w:sz w:val="21"/>
        </w:rPr>
        <w:t>Автообновление экрана: настраиваемый интервал в секундах</w:t>
      </w:r>
    </w:p>
    <w:p>
      <w:pPr>
        <w:pStyle w:val="ListBullet"/>
        <w:spacing w:after="40"/>
      </w:pPr>
      <w:r>
        <w:rPr>
          <w:sz w:val="21"/>
        </w:rPr>
        <w:t>Фильтры сводного отчёта ГосОблака: настройка по типам услуг и метрикам</w:t>
      </w:r>
    </w:p>
    <w:p>
      <w:pPr>
        <w:pStyle w:val="ListBullet"/>
        <w:spacing w:after="40"/>
      </w:pPr>
      <w:r>
        <w:rPr>
          <w:sz w:val="21"/>
        </w:rPr>
        <w:t>Доступ к дашборду через боковое меню (без перезагрузки страницы)</w:t>
      </w:r>
    </w:p>
    <w:p>
      <w:pPr>
        <w:pStyle w:val="Heading2"/>
        <w:spacing w:before="160" w:after="80"/>
      </w:pPr>
      <w:r>
        <w:rPr>
          <w:color w:val="1E293B"/>
        </w:rPr>
        <w:t>3.2 Раздел «Конструктор отчётов» (Руководство администратора, п. 5.14)</w:t>
      </w:r>
    </w:p>
    <w:p>
      <w:pPr>
        <w:spacing w:after="80"/>
      </w:pPr>
      <w:r>
        <w:rPr>
          <w:b w:val="0"/>
          <w:sz w:val="21"/>
        </w:rPr>
        <w:t>Конструктор отчётов — инструмент администратора для создания SQL/JSON-запросов к БД. Требования:</w:t>
      </w:r>
    </w:p>
    <w:p>
      <w:pPr>
        <w:pStyle w:val="ListBullet"/>
        <w:spacing w:after="40"/>
      </w:pPr>
      <w:r>
        <w:rPr>
          <w:sz w:val="21"/>
        </w:rPr>
        <w:t>Иерархическое хранение запросов в папках</w:t>
      </w:r>
    </w:p>
    <w:p>
      <w:pPr>
        <w:pStyle w:val="ListBullet"/>
        <w:spacing w:after="40"/>
      </w:pPr>
      <w:r>
        <w:rPr>
          <w:sz w:val="21"/>
        </w:rPr>
        <w:t>Создание/редактирование запросов в формате JSON</w:t>
      </w:r>
    </w:p>
    <w:p>
      <w:pPr>
        <w:pStyle w:val="ListBullet"/>
        <w:spacing w:after="40"/>
      </w:pPr>
      <w:r>
        <w:rPr>
          <w:sz w:val="21"/>
        </w:rPr>
        <w:t>Назначение ролей для каждого запроса (разграничение доступа)</w:t>
      </w:r>
    </w:p>
    <w:p>
      <w:pPr>
        <w:pStyle w:val="ListBullet"/>
        <w:spacing w:after="40"/>
      </w:pPr>
      <w:r>
        <w:rPr>
          <w:sz w:val="21"/>
        </w:rPr>
        <w:t>Экспорт результатов отчётов</w:t>
      </w:r>
    </w:p>
    <w:p>
      <w:pPr>
        <w:pStyle w:val="ListBullet"/>
        <w:spacing w:after="40"/>
      </w:pPr>
      <w:r>
        <w:rPr>
          <w:sz w:val="21"/>
        </w:rPr>
        <w:t>Подключение к источнику данных (БД ФГИС У)</w:t>
      </w:r>
    </w:p>
    <w:p>
      <w:pPr>
        <w:pStyle w:val="Heading2"/>
        <w:spacing w:before="160" w:after="80"/>
      </w:pPr>
      <w:r>
        <w:rPr>
          <w:color w:val="1E293B"/>
        </w:rPr>
        <w:t>3.3 Предустановленные отчёты (Руководство пользователя, раздел 5)</w:t>
      </w:r>
    </w:p>
    <w:p>
      <w:pPr>
        <w:spacing w:after="80"/>
      </w:pPr>
      <w:r>
        <w:rPr>
          <w:b w:val="0"/>
          <w:sz w:val="21"/>
        </w:rPr>
        <w:t>В системе реализован набор из 11+ преднастроенных отчётов. Каждый отчёт содержит фильтры, таблицы и графики: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510"/>
        </w:trPr>
        <w:tc>
          <w:tcPr>
            <w:tcW w:type="dxa" w:w="3685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Отчёт</w:t>
            </w:r>
          </w:p>
        </w:tc>
        <w:tc>
          <w:tcPr>
            <w:tcW w:type="dxa" w:w="2551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Основные фильтры</w:t>
            </w:r>
          </w:p>
        </w:tc>
        <w:tc>
          <w:tcPr>
            <w:tcW w:type="dxa" w:w="3118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Тип визуализации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Мониторинг текущего потребления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Время, услуга, потребитель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График + таблица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Доступность услуг (SLA)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услуга, поставщик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Таблица SLA-метрик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Потребление ресурсов заказа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Контракт, период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Сводная таблица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Использование ресурсов ГосОблака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услуга, КЭ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Диаграмма + детализация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Оценка эффективности затрат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потребитель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KPI + таблица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Мониторинг КЭ ГосОблака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КЭ, тип, период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Журнал событий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Использование КЭ ГосОблака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КЭ, период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Таблица + тренды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Плановые объёмы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план/факт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Таблица сравнения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Статистика (Сводный отчёт)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агрегация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KPI + графики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Рейтинг потребителей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метрика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Топ-список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Сводный отчёт по утилизации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ресурс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Тепловая карта + таблица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Контроль переподписки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Услуга, порог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Аномалии + алерты</w:t>
            </w:r>
          </w:p>
        </w:tc>
      </w:tr>
      <w:tr>
        <w:tc>
          <w:tcPr>
            <w:tcW w:type="dxa" w:w="368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Эффективность использования ресурсов</w:t>
            </w:r>
          </w:p>
        </w:tc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Период, потребитель</w:t>
            </w:r>
          </w:p>
        </w:tc>
        <w:tc>
          <w:tcPr>
            <w:tcW w:type="dxa" w:w="311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Мультиметрика</w:t>
            </w:r>
          </w:p>
        </w:tc>
      </w:tr>
      <w:tr>
        <w:tc>
          <w:tcPr>
            <w:tcW w:type="dxa" w:w="368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Контроль наличия метрик</w:t>
            </w:r>
          </w:p>
        </w:tc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Услуга, период</w:t>
            </w:r>
          </w:p>
        </w:tc>
        <w:tc>
          <w:tcPr>
            <w:tcW w:type="dxa" w:w="311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Чеклист метрик</w:t>
            </w:r>
          </w:p>
        </w:tc>
      </w:tr>
    </w:tbl>
    <w:p/>
    <w:p>
      <w:pPr>
        <w:pStyle w:val="Heading2"/>
        <w:spacing w:before="160" w:after="80"/>
      </w:pPr>
      <w:r>
        <w:rPr>
          <w:color w:val="1E293B"/>
        </w:rPr>
        <w:t>3.4 Прогноз потребления (Руководство пользователя, раздел 6)</w:t>
      </w:r>
    </w:p>
    <w:p>
      <w:pPr>
        <w:pStyle w:val="ListBullet"/>
        <w:spacing w:after="40"/>
      </w:pPr>
      <w:r>
        <w:rPr>
          <w:sz w:val="21"/>
        </w:rPr>
        <w:t>Прогноз в разрезе услуг — временные ряды с трендом потребления</w:t>
      </w:r>
    </w:p>
    <w:p>
      <w:pPr>
        <w:pStyle w:val="ListBullet"/>
        <w:spacing w:after="40"/>
      </w:pPr>
      <w:r>
        <w:rPr>
          <w:sz w:val="21"/>
        </w:rPr>
        <w:t>Прогноз в разрезе конфигурационных элементов (КЭ) — детализация по ВМ/серверам</w:t>
      </w:r>
    </w:p>
    <w:p>
      <w:pPr>
        <w:pStyle w:val="ListBullet"/>
        <w:spacing w:after="40"/>
      </w:pPr>
      <w:r>
        <w:rPr>
          <w:sz w:val="21"/>
        </w:rPr>
        <w:t>Возможность сравнения прогноз vs план vs факт</w:t>
      </w:r>
    </w:p>
    <w:p/>
    <w:p>
      <w:pPr>
        <w:pStyle w:val="Heading1"/>
        <w:spacing w:before="280" w:after="80"/>
      </w:pPr>
      <w:r>
        <w:rPr>
          <w:color w:val="1E293B"/>
        </w:rPr>
        <w:t>4. Возможности платформы Insight™</w:t>
      </w:r>
    </w:p>
    <w:p>
      <w:pPr>
        <w:pStyle w:val="Heading2"/>
        <w:spacing w:before="160" w:after="80"/>
      </w:pPr>
      <w:r>
        <w:rPr>
          <w:color w:val="1E293B"/>
        </w:rPr>
        <w:t>4.1 Конструктор приложений</w:t>
      </w:r>
    </w:p>
    <w:p>
      <w:pPr>
        <w:pStyle w:val="ListBullet"/>
        <w:spacing w:after="40"/>
      </w:pPr>
      <w:r>
        <w:rPr>
          <w:sz w:val="21"/>
        </w:rPr>
        <w:t>No-code/low-code конструктор дашбордов и приложений (drag &amp; drop)</w:t>
      </w:r>
    </w:p>
    <w:p>
      <w:pPr>
        <w:pStyle w:val="ListBullet"/>
        <w:spacing w:after="40"/>
      </w:pPr>
      <w:r>
        <w:rPr>
          <w:sz w:val="21"/>
        </w:rPr>
        <w:t>Ролезависимые приложения — разграничение доступа на уровне страниц и виджетов</w:t>
      </w:r>
    </w:p>
    <w:p>
      <w:pPr>
        <w:pStyle w:val="ListBullet"/>
        <w:spacing w:after="40"/>
      </w:pPr>
      <w:r>
        <w:rPr>
          <w:sz w:val="21"/>
        </w:rPr>
        <w:t>Совместная разработка нескольких авторов одновременно</w:t>
      </w:r>
    </w:p>
    <w:p>
      <w:pPr>
        <w:pStyle w:val="ListBullet"/>
        <w:spacing w:after="40"/>
      </w:pPr>
      <w:r>
        <w:rPr>
          <w:sz w:val="21"/>
        </w:rPr>
        <w:t>Версионирование проектов</w:t>
      </w:r>
    </w:p>
    <w:p>
      <w:pPr>
        <w:pStyle w:val="ListBullet"/>
        <w:spacing w:after="40"/>
      </w:pPr>
      <w:r>
        <w:rPr>
          <w:sz w:val="21"/>
        </w:rPr>
        <w:t>Публикация: встраивание в порталы (iframe / микроприложения), прямой URL</w:t>
      </w:r>
    </w:p>
    <w:p>
      <w:pPr>
        <w:pStyle w:val="ListBullet"/>
        <w:spacing w:after="40"/>
      </w:pPr>
      <w:r>
        <w:rPr>
          <w:sz w:val="21"/>
        </w:rPr>
        <w:t>Micro-apps — изолированные мини-приложения внутри основного</w:t>
      </w:r>
    </w:p>
    <w:p>
      <w:pPr>
        <w:pStyle w:val="ListBullet"/>
        <w:spacing w:after="40"/>
      </w:pPr>
      <w:r>
        <w:rPr>
          <w:sz w:val="21"/>
        </w:rPr>
        <w:t>Конфигурируемые CSS-темы без изменения кода</w:t>
      </w:r>
    </w:p>
    <w:p>
      <w:pPr>
        <w:pStyle w:val="Heading2"/>
        <w:spacing w:before="160" w:after="80"/>
      </w:pPr>
      <w:r>
        <w:rPr>
          <w:color w:val="1E293B"/>
        </w:rPr>
        <w:t>4.2 Работа с данными</w:t>
      </w:r>
    </w:p>
    <w:p>
      <w:pPr>
        <w:pStyle w:val="ListBullet"/>
        <w:spacing w:after="40"/>
      </w:pPr>
      <w:r>
        <w:rPr>
          <w:sz w:val="21"/>
        </w:rPr>
        <w:t>Подключение к источникам: JDBC (PostgreSQL, Oracle, Greenplum, ClickHouse и др.), REST API, файлы</w:t>
      </w:r>
    </w:p>
    <w:p>
      <w:pPr>
        <w:pStyle w:val="ListBullet"/>
        <w:spacing w:after="40"/>
      </w:pPr>
      <w:r>
        <w:rPr>
          <w:sz w:val="21"/>
        </w:rPr>
        <w:t>Семантический слой: метрики и измерения поверх БД</w:t>
      </w:r>
    </w:p>
    <w:p>
      <w:pPr>
        <w:pStyle w:val="ListBullet"/>
        <w:spacing w:after="40"/>
      </w:pPr>
      <w:r>
        <w:rPr>
          <w:sz w:val="21"/>
        </w:rPr>
        <w:t>Датасеты и Query Editor — визуальный конструктор запросов</w:t>
      </w:r>
    </w:p>
    <w:p>
      <w:pPr>
        <w:pStyle w:val="ListBullet"/>
        <w:spacing w:after="40"/>
      </w:pPr>
      <w:r>
        <w:rPr>
          <w:sz w:val="21"/>
        </w:rPr>
        <w:t>ETL/ELT оркестраторы и подготовка данных</w:t>
      </w:r>
    </w:p>
    <w:p>
      <w:pPr>
        <w:pStyle w:val="ListBullet"/>
        <w:spacing w:after="40"/>
      </w:pPr>
      <w:r>
        <w:rPr>
          <w:sz w:val="21"/>
        </w:rPr>
        <w:t>Сводная аналитика — OLAP-срезы без написания SQL</w:t>
      </w:r>
    </w:p>
    <w:p>
      <w:pPr>
        <w:pStyle w:val="ListBullet"/>
        <w:spacing w:after="40"/>
      </w:pPr>
      <w:r>
        <w:rPr>
          <w:sz w:val="21"/>
        </w:rPr>
        <w:t>Self-service аналитика — пользователи сами формируют запросы</w:t>
      </w:r>
    </w:p>
    <w:p>
      <w:pPr>
        <w:pStyle w:val="ListBullet"/>
        <w:spacing w:after="40"/>
      </w:pPr>
      <w:r>
        <w:rPr>
          <w:sz w:val="21"/>
        </w:rPr>
        <w:t>Выгрузка данных в Excel, PDF, CSV</w:t>
      </w:r>
    </w:p>
    <w:p>
      <w:pPr>
        <w:pStyle w:val="Heading2"/>
        <w:spacing w:before="160" w:after="80"/>
      </w:pPr>
      <w:r>
        <w:rPr>
          <w:color w:val="1E293B"/>
        </w:rPr>
        <w:t>4.3 Визуализация</w:t>
      </w:r>
    </w:p>
    <w:p>
      <w:pPr>
        <w:pStyle w:val="ListBullet"/>
        <w:spacing w:after="40"/>
      </w:pPr>
      <w:r>
        <w:rPr>
          <w:sz w:val="21"/>
        </w:rPr>
        <w:t>Аналитические виджеты: линейные/столбчатые/площадные/круговые диаграммы, scatter, heatmap, KPI</w:t>
      </w:r>
    </w:p>
    <w:p>
      <w:pPr>
        <w:pStyle w:val="ListBullet"/>
        <w:spacing w:after="40"/>
      </w:pPr>
      <w:r>
        <w:rPr>
          <w:sz w:val="21"/>
        </w:rPr>
        <w:t>Таблицы: сводные, с группировкой, условным форматированием, пагинацией</w:t>
      </w:r>
    </w:p>
    <w:p>
      <w:pPr>
        <w:pStyle w:val="ListBullet"/>
        <w:spacing w:after="40"/>
      </w:pPr>
      <w:r>
        <w:rPr>
          <w:sz w:val="21"/>
        </w:rPr>
        <w:t>Карты: геокарты, тематические карты, слои</w:t>
      </w:r>
    </w:p>
    <w:p>
      <w:pPr>
        <w:pStyle w:val="ListBullet"/>
        <w:spacing w:after="40"/>
      </w:pPr>
      <w:r>
        <w:rPr>
          <w:sz w:val="21"/>
        </w:rPr>
        <w:t>Drill-down: детализация при клике по элементу</w:t>
      </w:r>
    </w:p>
    <w:p>
      <w:pPr>
        <w:pStyle w:val="ListBullet"/>
        <w:spacing w:after="40"/>
      </w:pPr>
      <w:r>
        <w:rPr>
          <w:sz w:val="21"/>
        </w:rPr>
        <w:t>Интерактивные фильтры: дата, мультивыбор, диапазоны</w:t>
      </w:r>
    </w:p>
    <w:p>
      <w:pPr>
        <w:pStyle w:val="ListBullet"/>
        <w:spacing w:after="40"/>
      </w:pPr>
      <w:r>
        <w:rPr>
          <w:sz w:val="21"/>
        </w:rPr>
        <w:t>Кросс-виджетная фильтрация через переменные платформы</w:t>
      </w:r>
    </w:p>
    <w:p>
      <w:pPr>
        <w:pStyle w:val="ListBullet"/>
        <w:spacing w:after="40"/>
      </w:pPr>
      <w:r>
        <w:rPr>
          <w:sz w:val="21"/>
        </w:rPr>
        <w:t>Конфигурируемые цветовые палитры и темы</w:t>
      </w:r>
    </w:p>
    <w:p>
      <w:pPr>
        <w:pStyle w:val="ListBullet"/>
        <w:spacing w:after="40"/>
      </w:pPr>
      <w:r>
        <w:rPr>
          <w:sz w:val="21"/>
        </w:rPr>
        <w:t>Insight Logging — логирование действий пользователей</w:t>
      </w:r>
    </w:p>
    <w:p>
      <w:pPr>
        <w:pStyle w:val="Heading2"/>
        <w:spacing w:before="160" w:after="80"/>
      </w:pPr>
      <w:r>
        <w:rPr>
          <w:color w:val="1E293B"/>
        </w:rPr>
        <w:t>4.4 Безопасность и управление доступом</w:t>
      </w:r>
    </w:p>
    <w:p>
      <w:pPr>
        <w:pStyle w:val="ListBullet"/>
        <w:spacing w:after="40"/>
      </w:pPr>
      <w:r>
        <w:rPr>
          <w:sz w:val="21"/>
        </w:rPr>
        <w:t>Интеграция с Keycloak (SSO, стандартные OAuth 2.0 / OIDC flows)</w:t>
      </w:r>
    </w:p>
    <w:p>
      <w:pPr>
        <w:pStyle w:val="ListBullet"/>
        <w:spacing w:after="40"/>
      </w:pPr>
      <w:r>
        <w:rPr>
          <w:sz w:val="21"/>
        </w:rPr>
        <w:t>Ролевая модель: роли → страницы → виджеты → данные</w:t>
      </w:r>
    </w:p>
    <w:p>
      <w:pPr>
        <w:pStyle w:val="ListBullet"/>
        <w:spacing w:after="40"/>
      </w:pPr>
      <w:r>
        <w:rPr>
          <w:sz w:val="21"/>
        </w:rPr>
        <w:t>Row-level security: фильтрация данных по атрибутам пользователя</w:t>
      </w:r>
    </w:p>
    <w:p>
      <w:pPr>
        <w:pStyle w:val="ListBullet"/>
        <w:spacing w:after="40"/>
      </w:pPr>
      <w:r>
        <w:rPr>
          <w:sz w:val="21"/>
        </w:rPr>
        <w:t>Audit log пользовательских действий</w:t>
      </w:r>
    </w:p>
    <w:p>
      <w:pPr>
        <w:pStyle w:val="ListBullet"/>
        <w:spacing w:after="40"/>
      </w:pPr>
      <w:r>
        <w:rPr>
          <w:sz w:val="21"/>
        </w:rPr>
        <w:t>Поддержка Active Directory / LDAP</w:t>
      </w:r>
    </w:p>
    <w:p>
      <w:pPr>
        <w:pStyle w:val="Heading2"/>
        <w:spacing w:before="160" w:after="80"/>
      </w:pPr>
      <w:r>
        <w:rPr>
          <w:color w:val="1E293B"/>
        </w:rPr>
        <w:t>4.5 Дополнительные модули (лицензия Pro)</w:t>
      </w:r>
    </w:p>
    <w:p>
      <w:pPr>
        <w:pStyle w:val="ListBullet"/>
        <w:spacing w:after="40"/>
      </w:pPr>
      <w:r>
        <w:rPr>
          <w:sz w:val="21"/>
        </w:rPr>
        <w:t>Формы ввода — ввод данных прямо в приложении (нужно для заявок, заказов)</w:t>
      </w:r>
    </w:p>
    <w:p>
      <w:pPr>
        <w:pStyle w:val="ListBullet"/>
        <w:spacing w:after="40"/>
      </w:pPr>
      <w:r>
        <w:rPr>
          <w:sz w:val="21"/>
        </w:rPr>
        <w:t>Модуль BPM — моделирование бизнес-процессов по BPMN</w:t>
      </w:r>
    </w:p>
    <w:p>
      <w:pPr>
        <w:pStyle w:val="ListBullet"/>
        <w:spacing w:after="40"/>
      </w:pPr>
      <w:r>
        <w:rPr>
          <w:sz w:val="21"/>
        </w:rPr>
        <w:t>Модуль уведомлений — push/email-нотификации по событиям</w:t>
      </w:r>
    </w:p>
    <w:p>
      <w:pPr>
        <w:pStyle w:val="ListBullet"/>
        <w:spacing w:after="40"/>
      </w:pPr>
      <w:r>
        <w:rPr>
          <w:sz w:val="21"/>
        </w:rPr>
        <w:t>Модуль Оргструктуры — иерархия организаций и сотрудников</w:t>
      </w:r>
    </w:p>
    <w:p>
      <w:pPr>
        <w:pStyle w:val="ListBullet"/>
        <w:spacing w:after="40"/>
      </w:pPr>
      <w:r>
        <w:rPr>
          <w:sz w:val="21"/>
        </w:rPr>
        <w:t>Модуль фоновых программ — расписание задач, автоматические вычисления</w:t>
      </w:r>
    </w:p>
    <w:p>
      <w:pPr>
        <w:pStyle w:val="ListBullet"/>
        <w:spacing w:after="40"/>
      </w:pPr>
      <w:r>
        <w:rPr>
          <w:sz w:val="21"/>
        </w:rPr>
        <w:t>Умная разметка — AI-разметка документов</w:t>
      </w:r>
    </w:p>
    <w:p>
      <w:pPr>
        <w:pStyle w:val="ListBullet"/>
        <w:spacing w:after="40"/>
      </w:pPr>
      <w:r>
        <w:rPr>
          <w:sz w:val="21"/>
        </w:rPr>
        <w:t>Сервис опросов</w:t>
      </w:r>
    </w:p>
    <w:p/>
    <w:p>
      <w:pPr>
        <w:pStyle w:val="Heading1"/>
        <w:spacing w:before="280" w:after="80"/>
      </w:pPr>
      <w:r>
        <w:rPr>
          <w:color w:val="1E293B"/>
        </w:rPr>
        <w:t>5. Наш стек кастомных виджетов</w:t>
      </w:r>
    </w:p>
    <w:p>
      <w:pPr>
        <w:spacing w:after="80"/>
      </w:pPr>
      <w:r>
        <w:rPr>
          <w:b w:val="0"/>
          <w:sz w:val="21"/>
        </w:rPr>
        <w:t>Помимо платформенных виджетов Insight, в кодовой базе проекта разработаны следующие кастомные виджеты: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510"/>
        </w:trPr>
        <w:tc>
          <w:tcPr>
            <w:tcW w:type="dxa" w:w="2551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Виджет</w:t>
            </w:r>
          </w:p>
        </w:tc>
        <w:tc>
          <w:tcPr>
            <w:tcW w:type="dxa" w:w="1701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Категория</w:t>
            </w:r>
          </w:p>
        </w:tc>
        <w:tc>
          <w:tcPr>
            <w:tcW w:type="dxa" w:w="5102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ElemCalendar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Аналитика / Фильтры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Расширенный календарь с поддержкой одиночного выбора, диапазона, мультивыбора, компактного режима «С/По», настраиваемых пресетов дат, тепловой карты событий, видов (месяц/неделя/день/год/agenda), интеграции с переменными платформы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ElemFilter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Фильтры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Компонент фильтрации данных с передачей значений через переменные платформы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ElemMultiKpi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Аналитика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Мультиметрика: несколько KPI-показателей в одном виджете с настраиваемыми порогами и стилями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ElemMultiSpline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Аналитика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Мультилинейный / spline-график для временных рядов с несколькими сериями данных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ElemFunnelChart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Аналитика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Воронкообразная диаграмма для отображения этапов процессов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ElemDremioTable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Таблицы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Таблица данных с поддержкой Dremio — оптимизирована для больших аналитических датасетов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ElemGraphMap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Карты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Граф-карта: визуализация топологии связей между узлами (сети, оргструктура, зависимости КЭ)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ElemWowMap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Карты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Географическая карта с поддержкой слоёв и интерактивных маркеров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ElemEventStack / ElemEventContainer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Логика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Контейнер-переключатель: условный рендер содержимого в зависимости от состояния переменных (активное/неактивное состояние, маски состояний с CSS-настройками)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ElemTabs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Навигация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Табуляция: переключение между разделами без перезагрузки страницы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ElemAccordion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Навигация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Аккордеон: сворачиваемые разделы для компактного отображения большого объёма контента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ElemRoutesNavigator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Навигация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Навигатор по маршрутам приложения — программная навигация с передачей параметров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ElemText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Контент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Расширенный текстовый виджет с поддержкой стилей из панели «I am a Designer», синхронизация с cssStyle платформы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ElemButton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Действия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Кнопка с поддержкой URL-параметров, событий, иконок и стилизации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ElemSticker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Контент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Плашка-стикер: статусные бейджи, метки, информационные плашки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ElemAuthContainer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Безопасность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Контейнер авторизации: условный рендер контента в зависимости от статуса аутентификации (режимы: login, render, redirect)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ElemAuthForm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Безопасность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Форма логина: username/password с прямым вызовом Keycloak-адаптера платформы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ElemAutoLogout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Безопасность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Автоматический выход по таймауту бездействия с настраиваемым предупреждением, восстановлением URL после повторного входа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ElemSessionTimeout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Безопасность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Индикатор / обработчик истечения сессии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ElemCompositionTree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Разработка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Дерево состава виджетов приложения — для отладки и визуализации структуры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ElemApiWidget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Данные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Виджет-враппер для произвольных REST API-вызовов из конструктора</w:t>
            </w:r>
          </w:p>
        </w:tc>
      </w:tr>
      <w:tr>
        <w:tc>
          <w:tcPr>
            <w:tcW w:type="dxa" w:w="255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ElemGalleryPhoto</w:t>
            </w:r>
          </w:p>
        </w:tc>
        <w:tc>
          <w:tcPr>
            <w:tcW w:type="dxa" w:w="1701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Медиа</w:t>
            </w:r>
          </w:p>
        </w:tc>
        <w:tc>
          <w:tcPr>
            <w:tcW w:type="dxa" w:w="51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Галерея фотографий с лайтбоксом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ElemMyKPI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Аналитика</w:t>
            </w:r>
          </w:p>
        </w:tc>
        <w:tc>
          <w:tcPr>
            <w:tcW w:type="dxa" w:w="51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9"/>
              </w:rPr>
              <w:t>Одиночный KPI с настраиваемыми порогами, иконками и анимацией</w:t>
            </w:r>
          </w:p>
        </w:tc>
      </w:tr>
    </w:tbl>
    <w:p/>
    <w:p>
      <w:pPr>
        <w:pStyle w:val="Heading1"/>
        <w:spacing w:before="280" w:after="80"/>
      </w:pPr>
      <w:r>
        <w:rPr>
          <w:color w:val="1E293B"/>
        </w:rPr>
        <w:t>6. Матрица соответствия требований и возможностей</w:t>
      </w:r>
    </w:p>
    <w:p>
      <w:pPr>
        <w:spacing w:after="80"/>
      </w:pPr>
      <w:r>
        <w:rPr>
          <w:b/>
          <w:sz w:val="21"/>
        </w:rPr>
        <w:t>Условные обозначения:</w:t>
      </w:r>
    </w:p>
    <w:p>
      <w:pPr>
        <w:spacing w:after="80"/>
      </w:pPr>
      <w:r>
        <w:rPr>
          <w:b w:val="0"/>
          <w:color w:val="16A34A"/>
          <w:sz w:val="21"/>
        </w:rPr>
        <w:t>✅ Покрыто — требование полностью закрывается штатными или кастомными средствами</w:t>
      </w:r>
    </w:p>
    <w:p>
      <w:pPr>
        <w:spacing w:after="80"/>
      </w:pPr>
      <w:r>
        <w:rPr>
          <w:b w:val="0"/>
          <w:color w:val="D97706"/>
          <w:sz w:val="21"/>
        </w:rPr>
        <w:t>⚠️ Частично — требование закрывается, но с оговорками (настройка, Pro-лицензия, доработка)</w:t>
      </w:r>
    </w:p>
    <w:p>
      <w:pPr>
        <w:spacing w:after="80"/>
      </w:pPr>
      <w:r>
        <w:rPr>
          <w:b w:val="0"/>
          <w:color w:val="DC2626"/>
          <w:sz w:val="21"/>
        </w:rPr>
        <w:t>❌ Пробел — требование не покрывается текущими средствами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402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Требование ФГИС У</w:t>
            </w:r>
          </w:p>
        </w:tc>
        <w:tc>
          <w:tcPr>
            <w:tcW w:type="dxa" w:w="1247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Insight native</w:t>
            </w:r>
          </w:p>
        </w:tc>
        <w:tc>
          <w:tcPr>
            <w:tcW w:type="dxa" w:w="1984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Наш виджет</w:t>
            </w:r>
          </w:p>
        </w:tc>
        <w:tc>
          <w:tcPr>
            <w:tcW w:type="dxa" w:w="1020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2835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Дашборды, ролезависимые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ElemEventStack, ElemTabs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Штатно в Insight + переключение состояний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Автообновление дашборда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Настройка интервала на уровне датасета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KPI-метрики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ElemMultiKpi, ElemMyKPI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Кастомные виджеты добавляют пороги и мультипоказатели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Графики временных рядов (потребление)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ElemMultiSpline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Мультисерийный spline-график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Таблицы отчётов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ElemDremioTable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Большие аналитические датасеты через Dremio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Тепловая карта (утилизация)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ElemCalendar (heatmap)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Встроенная тепловая карта в ElemCalendar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Воронка (этапы процессов)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ElemFunnelChart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Кастомный виджет воронки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Топология / граф КЭ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ElemGraphMap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Граф-карта для визуализации связей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Географическая карта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ElemWowMap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Карта с маркерами поставщиков/потребителей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Фильтры по периоду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ElemCalendar, ElemFilter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Расширенный календарь с компактным режимом С/По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Мультивыбор в фильтрах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ElemFilter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Мультиселект с передачей в переменные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Кросс-виджетная фильтрация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Переменные платформы — стандартный механизм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Конструктор отчётов (Self-service)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Встроен в Insight; JSON-запросы + ролевой доступ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Экспорт в Excel / PDF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Штатный экспорт виджетов и страниц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Ролевая модель доступа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ElemAuthContainer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Разграничение + контейнер авторизации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SSO / Keycloak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ElemAuthForm, ElemAutoLogout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Полная интеграция с Keycloak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Автовыход по бездействию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ElemAutoLogout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Кастомный виджет с таймером и предупреждением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Уведомления по событиям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 (Pro)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FEF9C3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Требует модуля уведомлений Pro-лицензии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Прогноз потребления (тренды)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ElemMultiSpline</w:t>
            </w:r>
          </w:p>
        </w:tc>
        <w:tc>
          <w:tcPr>
            <w:tcW w:type="dxa" w:w="1020"/>
            <w:vAlign w:val="center"/>
            <w:shd w:val="clear" w:color="auto" w:fill="FEF9C3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Тренд-линии возможны; ML-прогнозирование — GAP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Переподписка (специфичная логика)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FEF9C3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Требует написания кастомных SQL-запросов в конструкторе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Формы ввода заявок/заказов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 (Pro)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FEF9C3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Возможно через модуль Форм (Pro) или кастомный виджет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BPM-процессы (согласование)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 (Pro)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FEF9C3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Требует Pro-лицензии, BPMN-моделирования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Портальные страницы (новости, FAQ)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ElemText, ElemAccordion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Контентные страницы без аналитики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Навигация между разделами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ElemTabs, ElemRoutesNavigator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Вкладки + программная навигация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Мобильный доступ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Адаптивный дизайн из коробки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Встраивание в ФГИС У (iframe)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DCFCE7"/>
          </w:tcPr>
          <w:p>
            <w:pPr>
              <w:jc w:val="center"/>
            </w:pPr>
            <w:r>
              <w:rPr>
                <w:sz w:val="18"/>
              </w:rPr>
              <w:t>✅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Микроприложения / iframe-публикация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ML-прогнозирование ресурсов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❌</w:t>
            </w:r>
          </w:p>
        </w:tc>
        <w:tc>
          <w:tcPr>
            <w:tcW w:type="dxa" w:w="19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type="dxa" w:w="1020"/>
            <w:vAlign w:val="center"/>
            <w:shd w:val="clear" w:color="auto" w:fill="FEE2E2"/>
          </w:tcPr>
          <w:p>
            <w:pPr>
              <w:jc w:val="center"/>
            </w:pPr>
            <w:r>
              <w:rPr>
                <w:sz w:val="18"/>
              </w:rPr>
              <w:t>❌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sz w:val="18"/>
              </w:rPr>
              <w:t>Отсутствует; требует интеграции внешнего ML-сервиса</w:t>
            </w:r>
          </w:p>
        </w:tc>
      </w:tr>
      <w:tr>
        <w:tc>
          <w:tcPr>
            <w:tcW w:type="dxa" w:w="3402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Иерархия КЭ (дерево структуры)</w:t>
            </w:r>
          </w:p>
        </w:tc>
        <w:tc>
          <w:tcPr>
            <w:tcW w:type="dxa" w:w="1247"/>
            <w:vAlign w:val="center"/>
            <w:shd w:val="clear" w:color="auto" w:fill="F8FAFC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1984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ElemCompositionTree</w:t>
            </w:r>
          </w:p>
        </w:tc>
        <w:tc>
          <w:tcPr>
            <w:tcW w:type="dxa" w:w="1020"/>
            <w:vAlign w:val="center"/>
            <w:shd w:val="clear" w:color="auto" w:fill="FEF9C3"/>
          </w:tcPr>
          <w:p>
            <w:pPr>
              <w:jc w:val="center"/>
            </w:pPr>
            <w:r>
              <w:rPr>
                <w:sz w:val="18"/>
              </w:rPr>
              <w:t>⚠️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sz w:val="18"/>
              </w:rPr>
              <w:t>CompositionTree — для дерева виджетов; нужна адаптация</w:t>
            </w:r>
          </w:p>
        </w:tc>
      </w:tr>
    </w:tbl>
    <w:p/>
    <w:p>
      <w:pPr>
        <w:pStyle w:val="Heading1"/>
        <w:spacing w:before="280" w:after="80"/>
      </w:pPr>
      <w:r>
        <w:rPr>
          <w:color w:val="1E293B"/>
        </w:rPr>
        <w:t>7. GAP-анализ</w:t>
      </w:r>
    </w:p>
    <w:p>
      <w:pPr>
        <w:pStyle w:val="Heading2"/>
        <w:spacing w:before="160" w:after="80"/>
      </w:pPr>
      <w:r>
        <w:rPr>
          <w:color w:val="1E293B"/>
        </w:rPr>
        <w:t>7.1 Полностью покрытые требования</w:t>
      </w:r>
    </w:p>
    <w:p>
      <w:pPr>
        <w:spacing w:after="80"/>
      </w:pPr>
      <w:r>
        <w:rPr>
          <w:b w:val="0"/>
          <w:color w:val="16A34A"/>
          <w:sz w:val="21"/>
        </w:rPr>
        <w:t>Следующие требования ФГИС У закрываются штатными возможностями Insight + нашими кастомными виджетами без дополнительных разработок:</w:t>
      </w:r>
    </w:p>
    <w:p>
      <w:pPr>
        <w:pStyle w:val="ListBullet"/>
        <w:spacing w:after="40"/>
      </w:pPr>
      <w:r>
        <w:rPr>
          <w:sz w:val="21"/>
        </w:rPr>
        <w:t>Ролезависимые дашборды с автообновлением</w:t>
      </w:r>
    </w:p>
    <w:p>
      <w:pPr>
        <w:pStyle w:val="ListBullet"/>
        <w:spacing w:after="40"/>
      </w:pPr>
      <w:r>
        <w:rPr>
          <w:sz w:val="21"/>
        </w:rPr>
        <w:t>KPI-метрики, графики временных рядов, таблицы, воронки</w:t>
      </w:r>
    </w:p>
    <w:p>
      <w:pPr>
        <w:pStyle w:val="ListBullet"/>
        <w:spacing w:after="40"/>
      </w:pPr>
      <w:r>
        <w:rPr>
          <w:sz w:val="21"/>
        </w:rPr>
        <w:t>Тепловая карта потребления (ElemCalendar heatmap mode)</w:t>
      </w:r>
    </w:p>
    <w:p>
      <w:pPr>
        <w:pStyle w:val="ListBullet"/>
        <w:spacing w:after="40"/>
      </w:pPr>
      <w:r>
        <w:rPr>
          <w:sz w:val="21"/>
        </w:rPr>
        <w:t>Граф-визуализация (ElemGraphMap) для топологии КЭ</w:t>
      </w:r>
    </w:p>
    <w:p>
      <w:pPr>
        <w:pStyle w:val="ListBullet"/>
        <w:spacing w:after="40"/>
      </w:pPr>
      <w:r>
        <w:rPr>
          <w:sz w:val="21"/>
        </w:rPr>
        <w:t>Фильтрация по периоду (ElemCalendar с компактным режимом С/По)</w:t>
      </w:r>
    </w:p>
    <w:p>
      <w:pPr>
        <w:pStyle w:val="ListBullet"/>
        <w:spacing w:after="40"/>
      </w:pPr>
      <w:r>
        <w:rPr>
          <w:sz w:val="21"/>
        </w:rPr>
        <w:t>Кросс-виджетная фильтрация через переменные платформы</w:t>
      </w:r>
    </w:p>
    <w:p>
      <w:pPr>
        <w:pStyle w:val="ListBullet"/>
        <w:spacing w:after="40"/>
      </w:pPr>
      <w:r>
        <w:rPr>
          <w:sz w:val="21"/>
        </w:rPr>
        <w:t>Self-service конструктор отчётов с ролевым доступом</w:t>
      </w:r>
    </w:p>
    <w:p>
      <w:pPr>
        <w:pStyle w:val="ListBullet"/>
        <w:spacing w:after="40"/>
      </w:pPr>
      <w:r>
        <w:rPr>
          <w:sz w:val="21"/>
        </w:rPr>
        <w:t>Экспорт отчётов в Excel/PDF</w:t>
      </w:r>
    </w:p>
    <w:p>
      <w:pPr>
        <w:pStyle w:val="ListBullet"/>
        <w:spacing w:after="40"/>
      </w:pPr>
      <w:r>
        <w:rPr>
          <w:sz w:val="21"/>
        </w:rPr>
        <w:t>SSO/Keycloak, авторизация, автовыход по бездействию</w:t>
      </w:r>
    </w:p>
    <w:p>
      <w:pPr>
        <w:pStyle w:val="ListBullet"/>
        <w:spacing w:after="40"/>
      </w:pPr>
      <w:r>
        <w:rPr>
          <w:sz w:val="21"/>
        </w:rPr>
        <w:t>Навигация, вкладки, аккордеон, контентные страницы</w:t>
      </w:r>
    </w:p>
    <w:p>
      <w:pPr>
        <w:pStyle w:val="ListBullet"/>
        <w:spacing w:after="40"/>
      </w:pPr>
      <w:r>
        <w:rPr>
          <w:sz w:val="21"/>
        </w:rPr>
        <w:t>Встраивание в портал ФГИС У через iframe/микроприложения</w:t>
      </w:r>
    </w:p>
    <w:p>
      <w:pPr>
        <w:pStyle w:val="Heading2"/>
        <w:spacing w:before="160" w:after="80"/>
      </w:pPr>
      <w:r>
        <w:rPr>
          <w:color w:val="1E293B"/>
        </w:rPr>
        <w:t>7.2 Частично покрытые — требуют настройки или Pro-лицензии</w:t>
      </w:r>
    </w:p>
    <w:p>
      <w:pPr>
        <w:spacing w:after="80"/>
      </w:pPr>
      <w:r>
        <w:rPr>
          <w:b w:val="0"/>
          <w:color w:val="D97706"/>
          <w:sz w:val="21"/>
        </w:rPr>
        <w:t>Следующие требования реализуемы, но требуют дополнительных действий:</w:t>
      </w:r>
    </w:p>
    <w:p>
      <w:pPr>
        <w:spacing w:after="40"/>
      </w:pPr>
      <w:r>
        <w:rPr>
          <w:b/>
          <w:color w:val="D97706"/>
          <w:sz w:val="21"/>
        </w:rPr>
        <w:t xml:space="preserve">▸ Прогноз потребления (тренды): </w:t>
      </w:r>
      <w:r>
        <w:rPr>
          <w:sz w:val="21"/>
        </w:rPr>
        <w:t>ElemMultiSpline поддерживает отображение трендовых линий на основе готовых данных. Если требуется ML-прогноз (авторегрессия, Prophet и т.д.) — необходим внешний сервис расчёта прогноза с передачей результата в Insight через датасет.</w:t>
      </w:r>
    </w:p>
    <w:p>
      <w:pPr>
        <w:spacing w:after="40"/>
      </w:pPr>
      <w:r>
        <w:rPr>
          <w:b/>
          <w:color w:val="D97706"/>
          <w:sz w:val="21"/>
        </w:rPr>
        <w:t xml:space="preserve">▸ Контроль переподписки: </w:t>
      </w:r>
      <w:r>
        <w:rPr>
          <w:sz w:val="21"/>
        </w:rPr>
        <w:t>Специфичная бизнес-логика (расчёт коэффициента переподписки по ВМ) реализуется через кастомные SQL-запросы в конструкторе отчётов или метрики семантического слоя. Нет необходимости в кастомном виджете.</w:t>
      </w:r>
    </w:p>
    <w:p>
      <w:pPr>
        <w:spacing w:after="40"/>
      </w:pPr>
      <w:r>
        <w:rPr>
          <w:b/>
          <w:color w:val="D97706"/>
          <w:sz w:val="21"/>
        </w:rPr>
        <w:t xml:space="preserve">▸ Формы ввода заявок / заказов: </w:t>
      </w:r>
      <w:r>
        <w:rPr>
          <w:sz w:val="21"/>
        </w:rPr>
        <w:t>Доступны в Insight Pro. Если Pro-лицензия есть — реализуется без разработки. Без Pro — потребуется кастомный ElemFormControl или интеграция с внешней системой.</w:t>
      </w:r>
    </w:p>
    <w:p>
      <w:pPr>
        <w:spacing w:after="40"/>
      </w:pPr>
      <w:r>
        <w:rPr>
          <w:b/>
          <w:color w:val="D97706"/>
          <w:sz w:val="21"/>
        </w:rPr>
        <w:t xml:space="preserve">▸ BPM-процессы (согласование заявок, инцидентов): </w:t>
      </w:r>
      <w:r>
        <w:rPr>
          <w:sz w:val="21"/>
        </w:rPr>
        <w:t>Доступно в Insight Pro (BPMN-модуль). Согласование инцидентов и заявок в ФГИС У скорее всего уже реализовано в back-end системы; Insight отображает статус процесса.</w:t>
      </w:r>
    </w:p>
    <w:p>
      <w:pPr>
        <w:spacing w:after="40"/>
      </w:pPr>
      <w:r>
        <w:rPr>
          <w:b/>
          <w:color w:val="D97706"/>
          <w:sz w:val="21"/>
        </w:rPr>
        <w:t xml:space="preserve">▸ Уведомления: </w:t>
      </w:r>
      <w:r>
        <w:rPr>
          <w:sz w:val="21"/>
        </w:rPr>
        <w:t>Модуль уведомлений доступен в Pro. Без него — уведомления через кастомный виджет (email/push через внешний API).</w:t>
      </w:r>
    </w:p>
    <w:p>
      <w:pPr>
        <w:spacing w:after="40"/>
      </w:pPr>
      <w:r>
        <w:rPr>
          <w:b/>
          <w:color w:val="D97706"/>
          <w:sz w:val="21"/>
        </w:rPr>
        <w:t xml:space="preserve">▸ Дерево иерархии КЭ: </w:t>
      </w:r>
      <w:r>
        <w:rPr>
          <w:sz w:val="21"/>
        </w:rPr>
        <w:t>ElemCompositionTree визуализирует дерево виджетов Insight. Для дерева структуры КЭ нужна адаптация под внешние данные или новый виджет ~2 дня.</w:t>
      </w:r>
    </w:p>
    <w:p>
      <w:pPr>
        <w:pStyle w:val="Heading2"/>
        <w:spacing w:before="160" w:after="80"/>
      </w:pPr>
      <w:r>
        <w:rPr>
          <w:color w:val="1E293B"/>
        </w:rPr>
        <w:t>7.3 Пробелы — требуют разработки</w:t>
      </w:r>
    </w:p>
    <w:p>
      <w:pPr>
        <w:spacing w:after="80"/>
      </w:pPr>
      <w:r>
        <w:rPr>
          <w:b w:val="0"/>
          <w:color w:val="DC2626"/>
          <w:sz w:val="21"/>
        </w:rPr>
        <w:t>Следующие требования не покрываются текущими средствами:</w:t>
      </w:r>
    </w:p>
    <w:p>
      <w:pPr>
        <w:spacing w:after="40"/>
      </w:pPr>
      <w:r>
        <w:rPr>
          <w:b/>
          <w:color w:val="DC2626"/>
          <w:sz w:val="21"/>
        </w:rPr>
        <w:t xml:space="preserve">▸ ML-прогнозирование ресурсов: </w:t>
      </w:r>
      <w:r>
        <w:rPr>
          <w:sz w:val="21"/>
        </w:rPr>
        <w:t>Insight не содержит встроенных алгоритмов машинного обучения для прогнозирования. Решение: развернуть сервис прогнозирования (Python/Prophet/scikit-learn), рассчитывать прогноз в ETL-пайплайне, хранить результат в БД — Insight читает готовые значения через датасет. Трудозатраты: ~3–5 дней (ML-разработчик).</w:t>
      </w:r>
    </w:p>
    <w:p/>
    <w:p>
      <w:pPr>
        <w:pStyle w:val="Heading1"/>
        <w:spacing w:before="280" w:after="80"/>
      </w:pPr>
      <w:r>
        <w:rPr>
          <w:color w:val="1E293B"/>
        </w:rPr>
        <w:t>8. Рекомендации</w:t>
      </w:r>
    </w:p>
    <w:p>
      <w:pPr>
        <w:pStyle w:val="Heading2"/>
        <w:spacing w:before="160" w:after="80"/>
      </w:pPr>
      <w:r>
        <w:rPr>
          <w:color w:val="1E293B"/>
        </w:rPr>
        <w:t>8.1 Быстрый старт — что можно сделать сразу</w:t>
      </w:r>
    </w:p>
    <w:p>
      <w:pPr>
        <w:spacing w:after="80"/>
      </w:pPr>
      <w:r>
        <w:rPr>
          <w:b w:val="0"/>
          <w:sz w:val="21"/>
        </w:rPr>
        <w:t>Без дополнительной разработки, только конфигурацией Insight:</w:t>
      </w:r>
    </w:p>
    <w:p>
      <w:pPr>
        <w:pStyle w:val="ListBullet"/>
        <w:spacing w:after="40"/>
      </w:pPr>
      <w:r>
        <w:rPr>
          <w:sz w:val="21"/>
        </w:rPr>
        <w:t>Подключить БД ФГИС У как датасет в Insight (JDBC/PostgreSQL)</w:t>
      </w:r>
    </w:p>
    <w:p>
      <w:pPr>
        <w:pStyle w:val="ListBullet"/>
        <w:spacing w:after="40"/>
      </w:pPr>
      <w:r>
        <w:rPr>
          <w:sz w:val="21"/>
        </w:rPr>
        <w:t>Настроить ролезависимые дашборды для каждой роли ФГИС У (Регулятор, Поставщик, Потребитель)</w:t>
      </w:r>
    </w:p>
    <w:p>
      <w:pPr>
        <w:pStyle w:val="ListBullet"/>
        <w:spacing w:after="40"/>
      </w:pPr>
      <w:r>
        <w:rPr>
          <w:sz w:val="21"/>
        </w:rPr>
        <w:t>Собрать 11 преднастроенных отчётов через конструктор с использованием ElemMultiSpline, ElemMultiKpi, ElemDremioTable</w:t>
      </w:r>
    </w:p>
    <w:p>
      <w:pPr>
        <w:pStyle w:val="ListBullet"/>
        <w:spacing w:after="40"/>
      </w:pPr>
      <w:r>
        <w:rPr>
          <w:sz w:val="21"/>
        </w:rPr>
        <w:t>Добавить фильтры периода через ElemCalendar (режим «С/По», компактный вид)</w:t>
      </w:r>
    </w:p>
    <w:p>
      <w:pPr>
        <w:pStyle w:val="ListBullet"/>
        <w:spacing w:after="40"/>
      </w:pPr>
      <w:r>
        <w:rPr>
          <w:sz w:val="21"/>
        </w:rPr>
        <w:t>Подключить SSO через Keycloak (уже реализован ElemAuthContainer + ElemAutoLogout)</w:t>
      </w:r>
    </w:p>
    <w:p>
      <w:pPr>
        <w:pStyle w:val="ListBullet"/>
        <w:spacing w:after="40"/>
      </w:pPr>
      <w:r>
        <w:rPr>
          <w:sz w:val="21"/>
        </w:rPr>
        <w:t>Встроить дашборды в портал ФГИС У через микроприложения Insight</w:t>
      </w:r>
    </w:p>
    <w:p>
      <w:pPr>
        <w:pStyle w:val="Heading2"/>
        <w:spacing w:before="160" w:after="80"/>
      </w:pPr>
      <w:r>
        <w:rPr>
          <w:color w:val="1E293B"/>
        </w:rPr>
        <w:t>8.2 Средний приоритет — конфигурация + настройка</w:t>
      </w:r>
    </w:p>
    <w:p>
      <w:pPr>
        <w:pStyle w:val="ListBullet"/>
        <w:spacing w:after="40"/>
      </w:pPr>
      <w:r>
        <w:rPr>
          <w:sz w:val="21"/>
        </w:rPr>
        <w:t>Реализовать тепловую карту потребления через ElemCalendar (режим heatmap)</w:t>
      </w:r>
    </w:p>
    <w:p>
      <w:pPr>
        <w:pStyle w:val="ListBullet"/>
        <w:spacing w:after="40"/>
      </w:pPr>
      <w:r>
        <w:rPr>
          <w:sz w:val="21"/>
        </w:rPr>
        <w:t>Настроить граф-топологию КЭ через ElemGraphMap с данными из ФГИС У</w:t>
      </w:r>
    </w:p>
    <w:p>
      <w:pPr>
        <w:pStyle w:val="ListBullet"/>
        <w:spacing w:after="40"/>
      </w:pPr>
      <w:r>
        <w:rPr>
          <w:sz w:val="21"/>
        </w:rPr>
        <w:t>Написать SQL-запросы для расчёта переподписки в конструкторе отчётов</w:t>
      </w:r>
    </w:p>
    <w:p>
      <w:pPr>
        <w:pStyle w:val="ListBullet"/>
        <w:spacing w:after="40"/>
      </w:pPr>
      <w:r>
        <w:rPr>
          <w:sz w:val="21"/>
        </w:rPr>
        <w:t>Настроить уведомления по превышению порогов (Pro) или через внешний сервис</w:t>
      </w:r>
    </w:p>
    <w:p>
      <w:pPr>
        <w:pStyle w:val="Heading2"/>
        <w:spacing w:before="160" w:after="80"/>
      </w:pPr>
      <w:r>
        <w:rPr>
          <w:color w:val="1E293B"/>
        </w:rPr>
        <w:t>8.3 Разработка — нестандартные требования</w:t>
      </w:r>
    </w:p>
    <w:p>
      <w:pPr>
        <w:pStyle w:val="ListBullet"/>
        <w:spacing w:after="40"/>
      </w:pPr>
      <w:r>
        <w:rPr>
          <w:sz w:val="21"/>
        </w:rPr>
        <w:t>ML-прогнозирование: разработать ETL-пайплайн с моделью прогноза (~3–5 дней ML + 1 день интеграция)</w:t>
      </w:r>
    </w:p>
    <w:p>
      <w:pPr>
        <w:pStyle w:val="ListBullet"/>
        <w:spacing w:after="40"/>
      </w:pPr>
      <w:r>
        <w:rPr>
          <w:sz w:val="21"/>
        </w:rPr>
        <w:t>Кастомный виджет дерева КЭ если ElemGraphMap не покрывает (оценка: ~3–4 дня)</w:t>
      </w:r>
    </w:p>
    <w:p>
      <w:pPr>
        <w:pStyle w:val="ListBullet"/>
        <w:spacing w:after="40"/>
      </w:pPr>
      <w:r>
        <w:rPr>
          <w:sz w:val="21"/>
        </w:rPr>
        <w:t>ElemSecondFactorContainer для защиты чувствительных данных расчётного листка через Keycloak 2FA (~4–5 дней)</w:t>
      </w:r>
    </w:p>
    <w:p>
      <w:pPr>
        <w:pStyle w:val="Heading2"/>
        <w:spacing w:before="160" w:after="80"/>
      </w:pPr>
      <w:r>
        <w:rPr>
          <w:color w:val="1E293B"/>
        </w:rPr>
        <w:t>8.4 Лицензионный вопрос</w:t>
      </w:r>
    </w:p>
    <w:p>
      <w:pPr>
        <w:spacing w:after="80"/>
      </w:pPr>
      <w:r>
        <w:rPr>
          <w:b w:val="0"/>
          <w:sz w:val="21"/>
        </w:rPr>
        <w:t>Ряд требований (формы ввода, BPM, уведомления) требует Insight Pro. Рекомендуется уточнить наличие Pro-лицензии в проекте — это закроет существенную часть «частично покрытых» пунктов без дополнительной разработки.</w:t>
      </w:r>
    </w:p>
    <w:p/>
    <w:p>
      <w:pPr>
        <w:pStyle w:val="Heading1"/>
        <w:spacing w:before="280" w:after="80"/>
      </w:pPr>
      <w:r>
        <w:rPr>
          <w:color w:val="1E293B"/>
        </w:rPr>
        <w:t>9. Сводная оценка покрытия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510"/>
        </w:trPr>
        <w:tc>
          <w:tcPr>
            <w:tcW w:type="dxa" w:w="4535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2835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Количество требований</w:t>
            </w:r>
          </w:p>
        </w:tc>
        <w:tc>
          <w:tcPr>
            <w:tcW w:type="dxa" w:w="2268"/>
            <w:shd w:val="clear" w:color="auto" w:fill="1E293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Доля</w:t>
            </w:r>
          </w:p>
        </w:tc>
      </w:tr>
      <w:tr>
        <w:tc>
          <w:tcPr>
            <w:tcW w:type="dxa" w:w="4535"/>
            <w:vAlign w:val="center"/>
            <w:shd w:val="clear" w:color="auto" w:fill="DCFCE7"/>
          </w:tcPr>
          <w:p>
            <w:pPr>
              <w:jc w:val="left"/>
            </w:pPr>
            <w:r>
              <w:rPr>
                <w:b w:val="0"/>
                <w:sz w:val="19"/>
              </w:rPr>
              <w:t>✅ Полностью покрыто</w:t>
            </w:r>
          </w:p>
        </w:tc>
        <w:tc>
          <w:tcPr>
            <w:tcW w:type="dxa" w:w="2835"/>
            <w:vAlign w:val="center"/>
            <w:shd w:val="clear" w:color="auto" w:fill="DCFCE7"/>
          </w:tcPr>
          <w:p>
            <w:pPr>
              <w:jc w:val="left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268"/>
            <w:vAlign w:val="center"/>
            <w:shd w:val="clear" w:color="auto" w:fill="DCFCE7"/>
          </w:tcPr>
          <w:p>
            <w:pPr>
              <w:jc w:val="left"/>
            </w:pPr>
            <w:r>
              <w:rPr>
                <w:b w:val="0"/>
                <w:sz w:val="19"/>
              </w:rPr>
              <w:t>75%</w:t>
            </w:r>
          </w:p>
        </w:tc>
      </w:tr>
      <w:tr>
        <w:tc>
          <w:tcPr>
            <w:tcW w:type="dxa" w:w="4535"/>
            <w:vAlign w:val="center"/>
            <w:shd w:val="clear" w:color="auto" w:fill="FEF9C3"/>
          </w:tcPr>
          <w:p>
            <w:pPr>
              <w:jc w:val="left"/>
            </w:pPr>
            <w:r>
              <w:rPr>
                <w:b w:val="0"/>
                <w:sz w:val="19"/>
              </w:rPr>
              <w:t>⚠️ Частично / Pro-лицензия</w:t>
            </w:r>
          </w:p>
        </w:tc>
        <w:tc>
          <w:tcPr>
            <w:tcW w:type="dxa" w:w="2835"/>
            <w:vAlign w:val="center"/>
            <w:shd w:val="clear" w:color="auto" w:fill="FEF9C3"/>
          </w:tcPr>
          <w:p>
            <w:pPr>
              <w:jc w:val="left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268"/>
            <w:vAlign w:val="center"/>
            <w:shd w:val="clear" w:color="auto" w:fill="FEF9C3"/>
          </w:tcPr>
          <w:p>
            <w:pPr>
              <w:jc w:val="left"/>
            </w:pPr>
            <w:r>
              <w:rPr>
                <w:b w:val="0"/>
                <w:sz w:val="19"/>
              </w:rPr>
              <w:t>21%</w:t>
            </w:r>
          </w:p>
        </w:tc>
      </w:tr>
      <w:tr>
        <w:tc>
          <w:tcPr>
            <w:tcW w:type="dxa" w:w="4535"/>
            <w:vAlign w:val="center"/>
            <w:shd w:val="clear" w:color="auto" w:fill="FEE2E2"/>
          </w:tcPr>
          <w:p>
            <w:pPr>
              <w:jc w:val="left"/>
            </w:pPr>
            <w:r>
              <w:rPr>
                <w:b w:val="0"/>
                <w:sz w:val="19"/>
              </w:rPr>
              <w:t>❌ Требует разработки</w:t>
            </w:r>
          </w:p>
        </w:tc>
        <w:tc>
          <w:tcPr>
            <w:tcW w:type="dxa" w:w="2835"/>
            <w:vAlign w:val="center"/>
            <w:shd w:val="clear" w:color="auto" w:fill="FEE2E2"/>
          </w:tcPr>
          <w:p>
            <w:pPr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268"/>
            <w:vAlign w:val="center"/>
            <w:shd w:val="clear" w:color="auto" w:fill="FEE2E2"/>
          </w:tcPr>
          <w:p>
            <w:pPr>
              <w:jc w:val="left"/>
            </w:pPr>
            <w:r>
              <w:rPr>
                <w:b w:val="0"/>
                <w:sz w:val="19"/>
              </w:rPr>
              <w:t>4%</w:t>
            </w:r>
          </w:p>
        </w:tc>
      </w:tr>
      <w:tr>
        <w:tc>
          <w:tcPr>
            <w:tcW w:type="dxa" w:w="45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2835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268"/>
            <w:vAlign w:val="center"/>
            <w:shd w:val="clear" w:color="auto" w:fill="F8FAFC"/>
          </w:tcPr>
          <w:p>
            <w:pPr>
              <w:jc w:val="left"/>
            </w:pPr>
            <w:r>
              <w:rPr>
                <w:b w:val="0"/>
                <w:sz w:val="19"/>
              </w:rPr>
              <w:t>100%</w:t>
            </w:r>
          </w:p>
        </w:tc>
      </w:tr>
    </w:tbl>
    <w:p/>
    <w:p>
      <w:r>
        <w:rPr>
          <w:b/>
          <w:color w:val="1E293B"/>
          <w:sz w:val="22"/>
        </w:rPr>
        <w:t>Вывод: платформа Insight™ с нашим стеком кастомных виджетов покрывает 21 из 28 выявленных требований (75%) без дополнительной разработки. Ещё 6 требования (21%) решаются через конфигурацию или Pro-лицензию. Только 1 требование (4%) требует разработки нового компонента (ML-прогнозирование).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