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cs="Times New Roman"/>
          <w:b w:val="0"/>
          <w:i w:val="0"/>
          <w:sz w:val="28"/>
        </w:rPr>
        <w:t>Пермский филиал федерального государственного автономного образовательного учреждения высшего образования</w:t>
        <w:br/>
        <w:t>«Национальный исследовательский университет</w:t>
        <w:br/>
        <w:t>«Высшая школа экономики»</w:t>
      </w:r>
    </w:p>
    <w:p/>
    <w:p/>
    <w:p>
      <w:pPr>
        <w:jc w:val="center"/>
      </w:pPr>
      <w:r>
        <w:rPr>
          <w:rFonts w:ascii="Times New Roman" w:hAnsi="Times New Roman" w:eastAsia="Times New Roman" w:cs="Times New Roman"/>
          <w:b w:val="0"/>
          <w:i w:val="0"/>
          <w:sz w:val="28"/>
        </w:rPr>
        <w:t>Факультет социально-экономических и компьютерных наук</w:t>
      </w:r>
    </w:p>
    <w:p/>
    <w:p/>
    <w:p/>
    <w:p>
      <w:pPr>
        <w:jc w:val="center"/>
      </w:pPr>
      <w:r>
        <w:rPr>
          <w:rFonts w:ascii="Times New Roman" w:hAnsi="Times New Roman" w:eastAsia="Times New Roman" w:cs="Times New Roman"/>
          <w:b/>
          <w:i w:val="0"/>
          <w:sz w:val="28"/>
        </w:rPr>
        <w:t>РАЗРАБОТКА ВЕБ-СЕРВИСА ОПРЕДЕЛЕНИЯ ШКОЛЫ ПО АДРЕСУ ПРОЖИВАНИЯ НА ОСНОВЕ МУНИЦИПАЛЬНЫХ ПОСТАНОВЛЕНИЙ</w:t>
      </w:r>
    </w:p>
    <w:p/>
    <w:p/>
    <w:p>
      <w:pPr>
        <w:jc w:val="center"/>
      </w:pPr>
      <w:r>
        <w:rPr>
          <w:rFonts w:ascii="Times New Roman" w:hAnsi="Times New Roman" w:eastAsia="Times New Roman" w:cs="Times New Roman"/>
          <w:b w:val="0"/>
          <w:i/>
          <w:sz w:val="28"/>
        </w:rPr>
        <w:t>Отчёт о групповом проекте</w:t>
      </w:r>
    </w:p>
    <w:p>
      <w:pPr>
        <w:jc w:val="center"/>
      </w:pPr>
      <w:r>
        <w:rPr>
          <w:rFonts w:ascii="Times New Roman" w:hAnsi="Times New Roman" w:eastAsia="Times New Roman" w:cs="Times New Roman"/>
          <w:b/>
          <w:i/>
          <w:sz w:val="28"/>
        </w:rPr>
        <w:t>Индивидуальная часть.</w:t>
        <w:br/>
        <w:t>Разработчик ИИ-агентов</w:t>
      </w:r>
    </w:p>
    <w:p/>
    <w:p>
      <w:pPr>
        <w:jc w:val="center"/>
      </w:pPr>
      <w:r>
        <w:rPr>
          <w:rFonts w:ascii="Times New Roman" w:hAnsi="Times New Roman" w:eastAsia="Times New Roman" w:cs="Times New Roman"/>
          <w:b w:val="0"/>
          <w:i w:val="0"/>
          <w:sz w:val="28"/>
        </w:rPr>
        <w:t>образовательной программы «Программная инженерия»</w:t>
        <w:br/>
        <w:t>по направлению подготовки 09.03.04 Программная инженерия</w:t>
      </w:r>
    </w:p>
    <w:p/>
    <w:p/>
    <w:p/>
    <w:p/>
    <w:p>
      <w:pPr>
        <w:jc w:val="right"/>
      </w:pPr>
      <w:r>
        <w:rPr>
          <w:rFonts w:ascii="Times New Roman" w:hAnsi="Times New Roman" w:eastAsia="Times New Roman" w:cs="Times New Roman"/>
          <w:b w:val="0"/>
          <w:i w:val="0"/>
          <w:sz w:val="28"/>
        </w:rPr>
        <w:t>Выполнил: ________________________</w:t>
      </w:r>
    </w:p>
    <w:p>
      <w:pPr>
        <w:jc w:val="right"/>
      </w:pPr>
      <w:r>
        <w:rPr>
          <w:rFonts w:ascii="Times New Roman" w:hAnsi="Times New Roman" w:eastAsia="Times New Roman" w:cs="Times New Roman"/>
          <w:b w:val="0"/>
          <w:i w:val="0"/>
          <w:sz w:val="28"/>
        </w:rPr>
        <w:t>Руководитель: ________________________</w:t>
      </w:r>
    </w:p>
    <w:p/>
    <w:p/>
    <w:p/>
    <w:p>
      <w:pPr>
        <w:jc w:val="center"/>
      </w:pPr>
      <w:r>
        <w:rPr>
          <w:rFonts w:ascii="Times New Roman" w:hAnsi="Times New Roman" w:eastAsia="Times New Roman" w:cs="Times New Roman"/>
          <w:b w:val="0"/>
          <w:i w:val="0"/>
          <w:sz w:val="28"/>
        </w:rPr>
        <w:t>Пермь, 2026 год</w:t>
      </w:r>
    </w:p>
    <w:p>
      <w:r>
        <w:br w:type="page"/>
      </w:r>
    </w:p>
    <w:p>
      <w:pPr>
        <w:spacing w:line="360" w:lineRule="auto" w:before="360" w:after="240"/>
        <w:ind w:firstLine="0"/>
        <w:jc w:val="center"/>
      </w:pPr>
      <w:r>
        <w:rPr>
          <w:rFonts w:ascii="Times New Roman" w:hAnsi="Times New Roman" w:eastAsia="Times New Roman" w:cs="Times New Roman"/>
          <w:b/>
          <w:i w:val="0"/>
          <w:sz w:val="32"/>
        </w:rPr>
        <w:t>Введение</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Кратко перечислить, какие задачи решал разработчик ИИ-агентов. Подчеркнуть границу со структурными парсерами (зона разработчика сервиса). Объём 0,5–1 страница.</w:t>
      </w:r>
    </w:p>
    <w:p>
      <w:pPr>
        <w:spacing w:line="360" w:lineRule="auto" w:after="0" w:before="0"/>
        <w:ind w:firstLine="709"/>
        <w:jc w:val="both"/>
      </w:pPr>
      <w:r>
        <w:rPr>
          <w:rFonts w:ascii="Times New Roman" w:hAnsi="Times New Roman" w:eastAsia="Times New Roman" w:cs="Times New Roman"/>
          <w:b w:val="0"/>
          <w:i w:val="0"/>
          <w:sz w:val="28"/>
        </w:rPr>
        <w:t>Настоящая индивидуальная часть отчёта посвящена работе, выполненной в роли разработчика ИИ-агентов. В обязанности разработчика ИИ-агентов входило: формулирование постановки задачи для большой языковой модели, сравнительный анализ доступных LLM и обоснованный выбор GigaChat, проектирование промптов с few-shot-примерами, разработка Pydantic-схем строгой валидации ответов модели, реализация чанкинга длинных документов, универсального retry-механизма с экспоненциальным backoff, объединения ответа LLM с регэксповой страховкой, LLM-классификатора формата документа, оценки качества LLM-парсинга. Структурные стратегии разбора табличных частей постановлений описаны в индивидуальной части разработчика сервиса; данная часть посвящена только интеллектуальным компонентам системы.</w:t>
      </w:r>
    </w:p>
    <w:p>
      <w:pPr>
        <w:spacing w:line="360" w:lineRule="auto" w:before="360" w:after="240"/>
        <w:ind w:firstLine="0"/>
        <w:jc w:val="center"/>
      </w:pPr>
      <w:r>
        <w:rPr>
          <w:rFonts w:ascii="Times New Roman" w:hAnsi="Times New Roman" w:eastAsia="Times New Roman" w:cs="Times New Roman"/>
          <w:b/>
          <w:i w:val="0"/>
          <w:sz w:val="32"/>
        </w:rPr>
        <w:t>1. Постановка задачи для большой языковой модели</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Сформулировать, ЧТО делает LLM в системе и в каких сценариях она вызывается. Это важно: в проекте сознательно ограничена роль LLM. Объём 1 страница.</w:t>
      </w:r>
    </w:p>
    <w:p>
      <w:pPr>
        <w:spacing w:line="360" w:lineRule="auto" w:after="0" w:before="0"/>
        <w:ind w:firstLine="709"/>
        <w:jc w:val="both"/>
      </w:pPr>
      <w:r>
        <w:rPr>
          <w:rFonts w:ascii="Times New Roman" w:hAnsi="Times New Roman" w:eastAsia="Times New Roman" w:cs="Times New Roman"/>
          <w:b w:val="0"/>
          <w:i w:val="0"/>
          <w:sz w:val="28"/>
        </w:rPr>
        <w:t>В рамках проекта большая языковая модель применяется ограниченно, только в тех сценариях, где структурный анализ табличной части документа невозможен или малоэффективен. Принципиальное архитектурное решение, согласованное с разработчиком сервиса, — приоритет структурного разбора перед обращением к LLM: если формат файла распознан как многоколоночная таблица «№ | Школа | Улица | Дома» (постановления Перми), LLM не вызывается вовсе. LLM используется только в следующих сценариях:</w:t>
      </w:r>
    </w:p>
    <w:p>
      <w:pPr>
        <w:pStyle w:val="ListBullet"/>
        <w:spacing w:line="360" w:lineRule="auto" w:after="0"/>
        <w:ind w:firstLine="0" w:left="567"/>
        <w:jc w:val="both"/>
      </w:pPr>
      <w:r>
        <w:rPr>
          <w:rFonts w:ascii="Times New Roman" w:hAnsi="Times New Roman" w:eastAsia="Times New Roman" w:cs="Times New Roman"/>
          <w:b w:val="0"/>
          <w:i w:val="0"/>
          <w:sz w:val="28"/>
        </w:rPr>
        <w:t>разбор территории школы в двухколоночных постановлениях, где во второй колонке сплошным текстом описаны улицы и дома (по одному LLM-запросу на каждую школу) — постановления г. о. Балашиха;</w:t>
      </w:r>
    </w:p>
    <w:p>
      <w:pPr>
        <w:pStyle w:val="ListBullet"/>
        <w:spacing w:line="360" w:lineRule="auto" w:after="0"/>
        <w:ind w:firstLine="0" w:left="567"/>
        <w:jc w:val="both"/>
      </w:pPr>
      <w:r>
        <w:rPr>
          <w:rFonts w:ascii="Times New Roman" w:hAnsi="Times New Roman" w:eastAsia="Times New Roman" w:cs="Times New Roman"/>
          <w:b w:val="0"/>
          <w:i w:val="0"/>
          <w:sz w:val="28"/>
        </w:rPr>
        <w:t>разбор всего документа целиком, если ни одна структурная стратегия не распознала формат (текстовые .doc без табличной структуры) — постановления г. Берёзники;</w:t>
      </w:r>
    </w:p>
    <w:p>
      <w:pPr>
        <w:pStyle w:val="ListBullet"/>
        <w:spacing w:line="360" w:lineRule="auto" w:after="0"/>
        <w:ind w:firstLine="0" w:left="567"/>
        <w:jc w:val="both"/>
      </w:pPr>
      <w:r>
        <w:rPr>
          <w:rFonts w:ascii="Times New Roman" w:hAnsi="Times New Roman" w:eastAsia="Times New Roman" w:cs="Times New Roman"/>
          <w:b w:val="0"/>
          <w:i w:val="0"/>
          <w:sz w:val="28"/>
        </w:rPr>
        <w:t>классификация формата документа как «страховка», если структурная авто-детекция не сработала.</w:t>
      </w:r>
    </w:p>
    <w:p>
      <w:pPr>
        <w:spacing w:line="360" w:lineRule="auto" w:after="0" w:before="0"/>
        <w:ind w:firstLine="709"/>
        <w:jc w:val="both"/>
      </w:pPr>
      <w:r>
        <w:rPr>
          <w:rFonts w:ascii="Times New Roman" w:hAnsi="Times New Roman" w:eastAsia="Times New Roman" w:cs="Times New Roman"/>
          <w:b w:val="0"/>
          <w:i w:val="0"/>
          <w:sz w:val="28"/>
        </w:rPr>
        <w:t>Такое разделение обеспечивает три эффекта: (1) скорость — постановления Перми обрабатываются за секунды; (2) стоимость — LLM-запросы не делаются «впустую»; (3) надёжность — система сохраняет работоспособность даже при недоступности GigaChat для значительной части входных данных.</w:t>
      </w:r>
    </w:p>
    <w:p>
      <w:pPr>
        <w:spacing w:line="360" w:lineRule="auto" w:after="0" w:before="0"/>
        <w:ind w:firstLine="709"/>
        <w:jc w:val="both"/>
      </w:pPr>
      <w:r>
        <w:rPr>
          <w:rFonts w:ascii="Times New Roman" w:hAnsi="Times New Roman" w:eastAsia="Times New Roman" w:cs="Times New Roman"/>
          <w:b w:val="0"/>
          <w:i w:val="0"/>
          <w:sz w:val="28"/>
        </w:rPr>
        <w:t>Формальная задача, решаемая LLM: на вход подаётся сырой текст (территория одной школы либо весь документ); на выход требуется строго типизированный JSON, соответствующий заранее объявленной Pydantic-схеме: список объектов «правило» с обязательными полями (улица, описание домов) и опциональными (тип правила, чётность, диапазоны, исключения).</w:t>
      </w:r>
    </w:p>
    <w:p>
      <w:pPr>
        <w:spacing w:line="360" w:lineRule="auto" w:before="360" w:after="240"/>
        <w:ind w:firstLine="0"/>
        <w:jc w:val="center"/>
      </w:pPr>
      <w:r>
        <w:rPr>
          <w:rFonts w:ascii="Times New Roman" w:hAnsi="Times New Roman" w:eastAsia="Times New Roman" w:cs="Times New Roman"/>
          <w:b/>
          <w:i w:val="0"/>
          <w:sz w:val="32"/>
        </w:rPr>
        <w:t>2. Сравнительный анализ LLM и обоснование выбора</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Сравнение GigaChat, YandexGPT, OpenAI, локальных моделей (Llama, Mistral). Указать критерии выбора (стоимость, доступность из России, качество). Объём 1 страница.</w:t>
      </w:r>
    </w:p>
    <w:p>
      <w:pPr>
        <w:spacing w:line="360" w:lineRule="auto" w:after="0" w:before="0"/>
        <w:ind w:firstLine="709"/>
        <w:jc w:val="both"/>
      </w:pPr>
      <w:r>
        <w:rPr>
          <w:rFonts w:ascii="Times New Roman" w:hAnsi="Times New Roman" w:eastAsia="Times New Roman" w:cs="Times New Roman"/>
          <w:b w:val="0"/>
          <w:i w:val="0"/>
          <w:sz w:val="28"/>
        </w:rPr>
        <w:t>На старте проекта был выполнен сравнительный анализ доступных больших языковых моделей по ряду критериев. Результаты сведены в таблицу 2.1.</w:t>
      </w:r>
    </w:p>
    <w:p>
      <w:pPr>
        <w:spacing w:line="360" w:lineRule="auto" w:after="0" w:before="0"/>
        <w:jc w:val="both"/>
      </w:pPr>
      <w:r>
        <w:rPr>
          <w:rFonts w:ascii="Times New Roman" w:hAnsi="Times New Roman" w:eastAsia="Times New Roman" w:cs="Times New Roman"/>
          <w:b w:val="0"/>
          <w:i/>
          <w:sz w:val="28"/>
        </w:rPr>
        <w:t>Таблица 2.1 — Сравнительный анализ LLM</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276" w:lineRule="auto"/>
              <w:ind w:firstLine="0"/>
              <w:jc w:val="left"/>
            </w:pPr>
            <w:r/>
            <w:r>
              <w:rPr>
                <w:rFonts w:ascii="Times New Roman" w:hAnsi="Times New Roman" w:eastAsia="Times New Roman" w:cs="Times New Roman"/>
                <w:b/>
                <w:i w:val="0"/>
                <w:sz w:val="24"/>
              </w:rPr>
              <w:t>Критерий</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GigaChat (Сбер)</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YandexGPT</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OpenAI GPT-4</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Локальные (Llama 3, Mistral)</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Доступность из РФ</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Прямая</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Прямая</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С обходными решениями</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Локальная</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Стоимость для учебного проекта</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Бесплатно (лимит)</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Бесплатно (лимит)</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Платно</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Бесплатно, но требует ресурсов</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Качество на русскоязычных текстах</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Высокое</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Высокое</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Высокое</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Среднее</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Python SDK</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Да (gigachat)</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Да (yandexgpt)</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Да (openai)</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Через transformers / llama.cpp</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Поддержка JSON в ответе</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Да</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Частично</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Да (json_mode)</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Через постпроцессинг</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Стабильность сервиса</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Средняя (TLS/429)</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Хорошая</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Хорошая</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100% (локальная)</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Требования к окружению</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HTTPS</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HTTPS</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HTTPS</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Видеокарта 8+ ГБ VRAM</w:t>
            </w:r>
          </w:p>
        </w:tc>
      </w:tr>
    </w:tbl>
    <w:p>
      <w:pPr>
        <w:spacing w:line="360" w:lineRule="auto" w:after="0" w:before="0"/>
        <w:ind w:firstLine="709"/>
        <w:jc w:val="both"/>
      </w:pPr>
      <w:r>
        <w:rPr>
          <w:rFonts w:ascii="Times New Roman" w:hAnsi="Times New Roman" w:eastAsia="Times New Roman" w:cs="Times New Roman"/>
          <w:b w:val="0"/>
          <w:i w:val="0"/>
          <w:sz w:val="28"/>
        </w:rPr>
        <w:t>По результатам анализа выбран GigaChat. Решающими факторами стали: (1) официальная доступность из Российской Федерации без обходных технических решений, (2) бесплатный лимит, достаточный для учебного проекта, (3) высокое качество на русскоязычных юридических текстах, (4) наличие официального Python SDK, упрощающего интеграцию. Ограничения сервиса (нестабильность TLS-соединений, rate-limit 429 при burst-нагрузке) компенсированы реализованным механизмом retry/backoff (см. раздел 6).</w:t>
      </w:r>
    </w:p>
    <w:p>
      <w:pPr>
        <w:spacing w:line="360" w:lineRule="auto" w:before="360" w:after="240"/>
        <w:ind w:firstLine="0"/>
        <w:jc w:val="center"/>
      </w:pPr>
      <w:r>
        <w:rPr>
          <w:rFonts w:ascii="Times New Roman" w:hAnsi="Times New Roman" w:eastAsia="Times New Roman" w:cs="Times New Roman"/>
          <w:b/>
          <w:i w:val="0"/>
          <w:sz w:val="32"/>
        </w:rPr>
        <w:t>3. Проектирование промпта и few-shot-примеров</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Структура промпта: системная инструкция, требования к формату, few-shot-примеры разных типов правил. Привести фрагменты, обосновать выбор температуры. Объём 1,5–2 страницы.</w:t>
      </w:r>
    </w:p>
    <w:p>
      <w:pPr>
        <w:spacing w:line="360" w:lineRule="auto" w:after="0" w:before="0"/>
        <w:ind w:firstLine="709"/>
        <w:jc w:val="both"/>
      </w:pPr>
      <w:r>
        <w:rPr>
          <w:rFonts w:ascii="Times New Roman" w:hAnsi="Times New Roman" w:eastAsia="Times New Roman" w:cs="Times New Roman"/>
          <w:b w:val="0"/>
          <w:i w:val="0"/>
          <w:sz w:val="28"/>
        </w:rPr>
        <w:t>Промпт для GigaChat реализован в модуле app/services/ai/gigachat/prompts.py. Структурно он состоит из трёх блоков: (а) системная инструкция, описывающая роль и формат ответа; (б) подробный набор требований к JSON; (в) набор few-shot-примеров, иллюстрирующих типичные случаи.</w:t>
      </w:r>
    </w:p>
    <w:p>
      <w:pPr>
        <w:spacing w:line="360" w:lineRule="auto" w:after="0" w:before="0"/>
        <w:jc w:val="both"/>
      </w:pPr>
      <w:r>
        <w:rPr>
          <w:rFonts w:ascii="Times New Roman" w:hAnsi="Times New Roman" w:eastAsia="Times New Roman" w:cs="Times New Roman"/>
          <w:b w:val="0"/>
          <w:i w:val="0"/>
          <w:sz w:val="28"/>
        </w:rPr>
        <w:t>Системная часть промпта формулирует задачу:</w:t>
      </w:r>
    </w:p>
    <w:p>
      <w:pPr>
        <w:pStyle w:val="ListBullet"/>
        <w:spacing w:line="360" w:lineRule="auto" w:after="0"/>
        <w:ind w:firstLine="0" w:left="567"/>
        <w:jc w:val="both"/>
      </w:pPr>
      <w:r>
        <w:rPr>
          <w:rFonts w:ascii="Times New Roman" w:hAnsi="Times New Roman" w:eastAsia="Times New Roman" w:cs="Times New Roman"/>
          <w:b w:val="0"/>
          <w:i w:val="0"/>
          <w:sz w:val="28"/>
        </w:rPr>
        <w:t>роль модели: «эксперт по разбору муниципальных постановлений о закреплении территорий за школами»;</w:t>
      </w:r>
    </w:p>
    <w:p>
      <w:pPr>
        <w:pStyle w:val="ListBullet"/>
        <w:spacing w:line="360" w:lineRule="auto" w:after="0"/>
        <w:ind w:firstLine="0" w:left="567"/>
        <w:jc w:val="both"/>
      </w:pPr>
      <w:r>
        <w:rPr>
          <w:rFonts w:ascii="Times New Roman" w:hAnsi="Times New Roman" w:eastAsia="Times New Roman" w:cs="Times New Roman"/>
          <w:b w:val="0"/>
          <w:i w:val="0"/>
          <w:sz w:val="28"/>
        </w:rPr>
        <w:t>формат вывода: «строго JSON-объект без преамбулы и пояснений»;</w:t>
      </w:r>
    </w:p>
    <w:p>
      <w:pPr>
        <w:pStyle w:val="ListBullet"/>
        <w:spacing w:line="360" w:lineRule="auto" w:after="0"/>
        <w:ind w:firstLine="0" w:left="567"/>
        <w:jc w:val="both"/>
      </w:pPr>
      <w:r>
        <w:rPr>
          <w:rFonts w:ascii="Times New Roman" w:hAnsi="Times New Roman" w:eastAsia="Times New Roman" w:cs="Times New Roman"/>
          <w:b w:val="0"/>
          <w:i w:val="0"/>
          <w:sz w:val="28"/>
        </w:rPr>
        <w:t>набор обязательных полей: street, house_rule_raw;</w:t>
      </w:r>
    </w:p>
    <w:p>
      <w:pPr>
        <w:pStyle w:val="ListBullet"/>
        <w:spacing w:line="360" w:lineRule="auto" w:after="0"/>
        <w:ind w:firstLine="0" w:left="567"/>
        <w:jc w:val="both"/>
      </w:pPr>
      <w:r>
        <w:rPr>
          <w:rFonts w:ascii="Times New Roman" w:hAnsi="Times New Roman" w:eastAsia="Times New Roman" w:cs="Times New Roman"/>
          <w:b w:val="0"/>
          <w:i w:val="0"/>
          <w:sz w:val="28"/>
        </w:rPr>
        <w:t>набор опциональных полей: rule_type, parity, house_from, house_to, house_numbers, exceptions, comment;</w:t>
      </w:r>
    </w:p>
    <w:p>
      <w:pPr>
        <w:pStyle w:val="ListBullet"/>
        <w:spacing w:line="360" w:lineRule="auto" w:after="0"/>
        <w:ind w:firstLine="0" w:left="567"/>
        <w:jc w:val="both"/>
      </w:pPr>
      <w:r>
        <w:rPr>
          <w:rFonts w:ascii="Times New Roman" w:hAnsi="Times New Roman" w:eastAsia="Times New Roman" w:cs="Times New Roman"/>
          <w:b w:val="0"/>
          <w:i w:val="0"/>
          <w:sz w:val="28"/>
        </w:rPr>
        <w:t>явный запрет придумывать данные («если данных нет — оставь пустую строку или null»).</w:t>
      </w:r>
    </w:p>
    <w:p>
      <w:pPr>
        <w:spacing w:line="360" w:lineRule="auto" w:after="0" w:before="0"/>
        <w:ind w:firstLine="709"/>
        <w:jc w:val="both"/>
      </w:pPr>
      <w:r>
        <w:rPr>
          <w:rFonts w:ascii="Times New Roman" w:hAnsi="Times New Roman" w:eastAsia="Times New Roman" w:cs="Times New Roman"/>
          <w:b w:val="0"/>
          <w:i w:val="0"/>
          <w:sz w:val="28"/>
        </w:rPr>
        <w:t>Few-shot-примеры (3–5 в зависимости от сценария) демонстрируют разнообразие правил, встречающихся в реальных постановлениях:</w:t>
      </w:r>
    </w:p>
    <w:p>
      <w:pPr>
        <w:pStyle w:val="ListBullet"/>
        <w:spacing w:line="360" w:lineRule="auto" w:after="0"/>
        <w:ind w:firstLine="0" w:left="567"/>
        <w:jc w:val="both"/>
      </w:pPr>
      <w:r>
        <w:rPr>
          <w:rFonts w:ascii="Times New Roman" w:hAnsi="Times New Roman" w:eastAsia="Times New Roman" w:cs="Times New Roman"/>
          <w:b w:val="0"/>
          <w:i w:val="0"/>
          <w:sz w:val="28"/>
        </w:rPr>
        <w:t>простой диапазон чётных домов: «улица Ленина, дома с 2 по 24 (чётные)» → range / even / from=2 / to=24;</w:t>
      </w:r>
    </w:p>
    <w:p>
      <w:pPr>
        <w:pStyle w:val="ListBullet"/>
        <w:spacing w:line="360" w:lineRule="auto" w:after="0"/>
        <w:ind w:firstLine="0" w:left="567"/>
        <w:jc w:val="both"/>
      </w:pPr>
      <w:r>
        <w:rPr>
          <w:rFonts w:ascii="Times New Roman" w:hAnsi="Times New Roman" w:eastAsia="Times New Roman" w:cs="Times New Roman"/>
          <w:b w:val="0"/>
          <w:i w:val="0"/>
          <w:sz w:val="28"/>
        </w:rPr>
        <w:t>точный перечень: «улица Гагарина, дома 1, 3, 5, 7» → exact_list / odd;</w:t>
      </w:r>
    </w:p>
    <w:p>
      <w:pPr>
        <w:pStyle w:val="ListBullet"/>
        <w:spacing w:line="360" w:lineRule="auto" w:after="0"/>
        <w:ind w:firstLine="0" w:left="567"/>
        <w:jc w:val="both"/>
      </w:pPr>
      <w:r>
        <w:rPr>
          <w:rFonts w:ascii="Times New Roman" w:hAnsi="Times New Roman" w:eastAsia="Times New Roman" w:cs="Times New Roman"/>
          <w:b w:val="0"/>
          <w:i w:val="0"/>
          <w:sz w:val="28"/>
        </w:rPr>
        <w:t>обобщение с исключением: «все дома по улице Победы, кроме 11 и 17» → all_except / exceptions=[11, 17];</w:t>
      </w:r>
    </w:p>
    <w:p>
      <w:pPr>
        <w:pStyle w:val="ListBullet"/>
        <w:spacing w:line="360" w:lineRule="auto" w:after="0"/>
        <w:ind w:firstLine="0" w:left="567"/>
        <w:jc w:val="both"/>
      </w:pPr>
      <w:r>
        <w:rPr>
          <w:rFonts w:ascii="Times New Roman" w:hAnsi="Times New Roman" w:eastAsia="Times New Roman" w:cs="Times New Roman"/>
          <w:b w:val="0"/>
          <w:i w:val="0"/>
          <w:sz w:val="28"/>
        </w:rPr>
        <w:t>хвостовая конструкция: «улица Школьная, начиная с дома 32» → from_to_end / from=32;</w:t>
      </w:r>
    </w:p>
    <w:p>
      <w:pPr>
        <w:pStyle w:val="ListBullet"/>
        <w:spacing w:line="360" w:lineRule="auto" w:after="0"/>
        <w:ind w:firstLine="0" w:left="567"/>
        <w:jc w:val="both"/>
      </w:pPr>
      <w:r>
        <w:rPr>
          <w:rFonts w:ascii="Times New Roman" w:hAnsi="Times New Roman" w:eastAsia="Times New Roman" w:cs="Times New Roman"/>
          <w:b w:val="0"/>
          <w:i w:val="0"/>
          <w:sz w:val="28"/>
        </w:rPr>
        <w:t>ограничение сверху: «переулок Лесной, до дома 18 включительно» → up_to / to=18.</w:t>
      </w:r>
    </w:p>
    <w:p>
      <w:pPr>
        <w:spacing w:line="360" w:lineRule="auto" w:after="0" w:before="0"/>
        <w:ind w:firstLine="709"/>
        <w:jc w:val="both"/>
      </w:pPr>
      <w:r>
        <w:rPr>
          <w:rFonts w:ascii="Times New Roman" w:hAnsi="Times New Roman" w:eastAsia="Times New Roman" w:cs="Times New Roman"/>
          <w:b w:val="0"/>
          <w:i w:val="0"/>
          <w:sz w:val="28"/>
        </w:rPr>
        <w:t>Температура (temperature) выставлена в значение 0.1 — низкое значение выбрано осознанно: задача является «извлечением структурированных данных» и не требует креативности; чем ниже температура, тем выше воспроизводимость ответа. Максимальная длина ответа задана с запасом 4000 токенов.</w:t>
      </w:r>
    </w:p>
    <w:p>
      <w:pPr>
        <w:spacing w:line="360" w:lineRule="auto" w:before="360" w:after="240"/>
        <w:ind w:firstLine="0"/>
        <w:jc w:val="center"/>
      </w:pPr>
      <w:r>
        <w:rPr>
          <w:rFonts w:ascii="Times New Roman" w:hAnsi="Times New Roman" w:eastAsia="Times New Roman" w:cs="Times New Roman"/>
          <w:b/>
          <w:i w:val="0"/>
          <w:sz w:val="32"/>
        </w:rPr>
        <w:t>4. Pydantic-схемы валидации ответов LLM</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Схемы из app/services/ai/gigachat/schemas.py. Подчеркнуть автокоэрсию типов и обработку null. Объём 1 страница.</w:t>
      </w:r>
    </w:p>
    <w:p>
      <w:pPr>
        <w:spacing w:line="360" w:lineRule="auto" w:after="0" w:before="0"/>
        <w:ind w:firstLine="709"/>
        <w:jc w:val="both"/>
      </w:pPr>
      <w:r>
        <w:rPr>
          <w:rFonts w:ascii="Times New Roman" w:hAnsi="Times New Roman" w:eastAsia="Times New Roman" w:cs="Times New Roman"/>
          <w:b w:val="0"/>
          <w:i w:val="0"/>
          <w:sz w:val="28"/>
        </w:rPr>
        <w:t>Все ответы GigaChat проходят через Pydantic-модели из модуля app/services/ai/gigachat/schemas.py. Этот слой выполняет три важные функции: проверка структуры (наличие обязательных полей), проверка типов и автоматическая коэрсия неконсистентных типов, приведение пропущенных и null-значений к каноническим пустым.</w:t>
      </w:r>
    </w:p>
    <w:p>
      <w:pPr>
        <w:spacing w:line="360" w:lineRule="auto" w:after="0" w:before="0"/>
        <w:ind w:firstLine="709"/>
        <w:jc w:val="both"/>
      </w:pPr>
      <w:r>
        <w:rPr>
          <w:rFonts w:ascii="Times New Roman" w:hAnsi="Times New Roman" w:eastAsia="Times New Roman" w:cs="Times New Roman"/>
          <w:b w:val="0"/>
          <w:i w:val="0"/>
          <w:sz w:val="28"/>
        </w:rPr>
        <w:t>Реализованы модели TerritoryRuleModel (одно правило для одной школы), TerritoryResponseModel (список правил для одной школы) и DecreeResponseModel (полный ответ модели по документу: метаданные + список школ с правилами). В моделях применены пользовательские валидаторы field_validator (Pydantic v2), реализующие следующие коэрсии:</w:t>
      </w:r>
    </w:p>
    <w:p>
      <w:pPr>
        <w:pStyle w:val="ListBullet"/>
        <w:spacing w:line="360" w:lineRule="auto" w:after="0"/>
        <w:ind w:firstLine="0" w:left="567"/>
        <w:jc w:val="both"/>
      </w:pPr>
      <w:r>
        <w:rPr>
          <w:rFonts w:ascii="Times New Roman" w:hAnsi="Times New Roman" w:eastAsia="Times New Roman" w:cs="Times New Roman"/>
          <w:b w:val="0"/>
          <w:i w:val="0"/>
          <w:sz w:val="28"/>
        </w:rPr>
        <w:t>строковое число → int: «19» → 19, «  21  » → 21;</w:t>
      </w:r>
    </w:p>
    <w:p>
      <w:pPr>
        <w:pStyle w:val="ListBullet"/>
        <w:spacing w:line="360" w:lineRule="auto" w:after="0"/>
        <w:ind w:firstLine="0" w:left="567"/>
        <w:jc w:val="both"/>
      </w:pPr>
      <w:r>
        <w:rPr>
          <w:rFonts w:ascii="Times New Roman" w:hAnsi="Times New Roman" w:eastAsia="Times New Roman" w:cs="Times New Roman"/>
          <w:b w:val="0"/>
          <w:i w:val="0"/>
          <w:sz w:val="28"/>
        </w:rPr>
        <w:t>список строк → строка через запятую: ["21", "23", "25"] → "21,23,25";</w:t>
      </w:r>
    </w:p>
    <w:p>
      <w:pPr>
        <w:pStyle w:val="ListBullet"/>
        <w:spacing w:line="360" w:lineRule="auto" w:after="0"/>
        <w:ind w:firstLine="0" w:left="567"/>
        <w:jc w:val="both"/>
      </w:pPr>
      <w:r>
        <w:rPr>
          <w:rFonts w:ascii="Times New Roman" w:hAnsi="Times New Roman" w:eastAsia="Times New Roman" w:cs="Times New Roman"/>
          <w:b w:val="0"/>
          <w:i w:val="0"/>
          <w:sz w:val="28"/>
        </w:rPr>
        <w:t>null → пустая строка для строковых полей: None → "";</w:t>
      </w:r>
    </w:p>
    <w:p>
      <w:pPr>
        <w:pStyle w:val="ListBullet"/>
        <w:spacing w:line="360" w:lineRule="auto" w:after="0"/>
        <w:ind w:firstLine="0" w:left="567"/>
        <w:jc w:val="both"/>
      </w:pPr>
      <w:r>
        <w:rPr>
          <w:rFonts w:ascii="Times New Roman" w:hAnsi="Times New Roman" w:eastAsia="Times New Roman" w:cs="Times New Roman"/>
          <w:b w:val="0"/>
          <w:i w:val="0"/>
          <w:sz w:val="28"/>
        </w:rPr>
        <w:t>обрезка пробелов в начале/конце строковых полей;</w:t>
      </w:r>
    </w:p>
    <w:p>
      <w:pPr>
        <w:pStyle w:val="ListBullet"/>
        <w:spacing w:line="360" w:lineRule="auto" w:after="0"/>
        <w:ind w:firstLine="0" w:left="567"/>
        <w:jc w:val="both"/>
      </w:pPr>
      <w:r>
        <w:rPr>
          <w:rFonts w:ascii="Times New Roman" w:hAnsi="Times New Roman" w:eastAsia="Times New Roman" w:cs="Times New Roman"/>
          <w:b w:val="0"/>
          <w:i w:val="0"/>
          <w:sz w:val="28"/>
        </w:rPr>
        <w:t>приведение типов чётности к каноническим: «нечетные» → «odd», «любые» → «all».</w:t>
      </w:r>
    </w:p>
    <w:p>
      <w:pPr>
        <w:spacing w:line="360" w:lineRule="auto" w:after="0" w:before="0"/>
        <w:ind w:firstLine="709"/>
        <w:jc w:val="both"/>
      </w:pPr>
      <w:r>
        <w:rPr>
          <w:rFonts w:ascii="Times New Roman" w:hAnsi="Times New Roman" w:eastAsia="Times New Roman" w:cs="Times New Roman"/>
          <w:b w:val="0"/>
          <w:i w:val="0"/>
          <w:sz w:val="28"/>
        </w:rPr>
        <w:t>Если ответ модели не проходит валидацию (например, отсутствует обязательное поле street или передан тип, не приводимый к ожидаемому), Pydantic выбрасывает ValidationError. Эта ошибка перехватывается на уровне стратегии разбора и приводит к повторному запросу через retry-механизм. Если все попытки исчерпаны, школа добавляется в список ошибок результата с указанием контекста (страница, фрагмент исходного текста), что позволяет администратору вручную исправить правило через CRUD-таблицу.</w:t>
      </w:r>
    </w:p>
    <w:p>
      <w:pPr>
        <w:spacing w:line="360" w:lineRule="auto" w:before="360" w:after="240"/>
        <w:ind w:firstLine="0"/>
        <w:jc w:val="center"/>
      </w:pPr>
      <w:r>
        <w:rPr>
          <w:rFonts w:ascii="Times New Roman" w:hAnsi="Times New Roman" w:eastAsia="Times New Roman" w:cs="Times New Roman"/>
          <w:b/>
          <w:i w:val="0"/>
          <w:sz w:val="32"/>
        </w:rPr>
        <w:t>5. Стратегия чанкинга длинных документов</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Модуль splitter.py, разбиение по нумерации, ограничение 4000 символов. Объём 0,5–1 страница.</w:t>
      </w:r>
    </w:p>
    <w:p>
      <w:pPr>
        <w:spacing w:line="360" w:lineRule="auto" w:after="0" w:before="0"/>
        <w:ind w:firstLine="709"/>
        <w:jc w:val="both"/>
      </w:pPr>
      <w:r>
        <w:rPr>
          <w:rFonts w:ascii="Times New Roman" w:hAnsi="Times New Roman" w:eastAsia="Times New Roman" w:cs="Times New Roman"/>
          <w:b w:val="0"/>
          <w:i w:val="0"/>
          <w:sz w:val="28"/>
        </w:rPr>
        <w:t>Для текстовых постановлений без табличной структуры (Берёзники) реализован модуль app/services/parser/splitter.py, выполняющий разбиение документа на чанки по школам. Регулярное выражение ищет нумерованные заголовки пунктов вида «1.», «4.1.», «11.2.» в начале строки — это устойчивый признак границы между описаниями разных школ в типовом тексте постановления.</w:t>
      </w:r>
    </w:p>
    <w:p>
      <w:pPr>
        <w:spacing w:line="360" w:lineRule="auto" w:after="0" w:before="0"/>
        <w:ind w:firstLine="709"/>
        <w:jc w:val="both"/>
      </w:pPr>
      <w:r>
        <w:rPr>
          <w:rFonts w:ascii="Times New Roman" w:hAnsi="Times New Roman" w:eastAsia="Times New Roman" w:cs="Times New Roman"/>
          <w:b w:val="0"/>
          <w:i w:val="0"/>
          <w:sz w:val="28"/>
        </w:rPr>
        <w:t>На каждый чанк отправляется отдельный LLM-запрос. Это даёт два преимущества: (1) каждый запрос помещается в окно контекста модели даже при длинном документе; (2) при ошибке в разборе одной школы остальные обрабатываются корректно — нет «эффекта домино». Реализовано ограничение длины чанка 4000 символов как защита от слишком длинных секций; при превышении длины чанк обрезается с предупреждением в лог.</w:t>
      </w:r>
    </w:p>
    <w:p>
      <w:pPr>
        <w:spacing w:line="360" w:lineRule="auto" w:before="360" w:after="240"/>
        <w:ind w:firstLine="0"/>
        <w:jc w:val="center"/>
      </w:pPr>
      <w:r>
        <w:rPr>
          <w:rFonts w:ascii="Times New Roman" w:hAnsi="Times New Roman" w:eastAsia="Times New Roman" w:cs="Times New Roman"/>
          <w:b/>
          <w:i w:val="0"/>
          <w:sz w:val="32"/>
        </w:rPr>
        <w:t>6. Универсальный механизм retry и backoff</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Модуль retry.py: классификация transient vs логических ошибок, экспоненциальная задержка, пауза 2.5 с между запросами. Объём 1 страница.</w:t>
      </w:r>
    </w:p>
    <w:p>
      <w:pPr>
        <w:spacing w:line="360" w:lineRule="auto" w:after="0" w:before="0"/>
        <w:ind w:firstLine="709"/>
        <w:jc w:val="both"/>
      </w:pPr>
      <w:r>
        <w:rPr>
          <w:rFonts w:ascii="Times New Roman" w:hAnsi="Times New Roman" w:eastAsia="Times New Roman" w:cs="Times New Roman"/>
          <w:b w:val="0"/>
          <w:i w:val="0"/>
          <w:sz w:val="28"/>
        </w:rPr>
        <w:t>Модуль app/services/ai/gigachat/retry.py реализует универсальный механизм повторных вызовов. Функция call_with_retry оборачивает любой вызов GigaChat и обрабатывает «временные» ошибки: TLS / handshake / EOF, обрывы соединений, 429 Too Many Requests, 5xx серверные ошибки.</w:t>
      </w:r>
    </w:p>
    <w:p>
      <w:pPr>
        <w:spacing w:line="360" w:lineRule="auto" w:after="0" w:before="0"/>
        <w:ind w:firstLine="709"/>
        <w:jc w:val="both"/>
      </w:pPr>
      <w:r>
        <w:rPr>
          <w:rFonts w:ascii="Times New Roman" w:hAnsi="Times New Roman" w:eastAsia="Times New Roman" w:cs="Times New Roman"/>
          <w:b w:val="0"/>
          <w:i w:val="0"/>
          <w:sz w:val="28"/>
        </w:rPr>
        <w:t>Используется экспоненциальный backoff: задержки 4, 8, 16, 32 секунды между четырьмя попытками. «Логические» ошибки (некорректный JSON, несоответствие Pydantic-схеме) сознательно НЕ попадают под повтор — они означают проблему в промпте или входных данных и пробрасываются на верхний уровень, где обрабатываются как ошибка разбора конкретной школы. Между последовательными запросами выдерживается пауза 2.5 секунды — профилактика 429 от Сбера, который чувствителен к burst-нагрузке.</w:t>
      </w:r>
    </w:p>
    <w:p>
      <w:pPr>
        <w:spacing w:line="360" w:lineRule="auto" w:after="0" w:before="0"/>
        <w:jc w:val="both"/>
      </w:pPr>
      <w:r>
        <w:rPr>
          <w:rFonts w:ascii="Times New Roman" w:hAnsi="Times New Roman" w:eastAsia="Times New Roman" w:cs="Times New Roman"/>
          <w:b w:val="0"/>
          <w:i/>
          <w:sz w:val="28"/>
        </w:rPr>
        <w:t>Таблица 6.1 — Классификация ошибок и поведение retry</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76" w:lineRule="auto"/>
              <w:ind w:firstLine="0"/>
              <w:jc w:val="left"/>
            </w:pPr>
            <w:r/>
            <w:r>
              <w:rPr>
                <w:rFonts w:ascii="Times New Roman" w:hAnsi="Times New Roman" w:eastAsia="Times New Roman" w:cs="Times New Roman"/>
                <w:b/>
                <w:i w:val="0"/>
                <w:sz w:val="24"/>
              </w:rPr>
              <w:t>Тип ошибки</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Признак</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Поведение</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TLS / handshake / EOF</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Исключения ssl.SSLError, ConnectionResetError</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Retry</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Rate-limit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HTTP 429</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Retry</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Серверная ошибка</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HTTP 5xx</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Retry</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Некорректный JSON</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json.JSONDecodeError</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Без retry</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Несоответствие Pydantic-схеме</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ValidationError</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Без retry</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Аутентификация / лимит</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HTTP 401 / 403</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Без retry (фатально)</w:t>
            </w:r>
          </w:p>
        </w:tc>
      </w:tr>
    </w:tbl>
    <w:p>
      <w:pPr>
        <w:spacing w:line="360" w:lineRule="auto" w:before="360" w:after="240"/>
        <w:ind w:firstLine="0"/>
        <w:jc w:val="center"/>
      </w:pPr>
      <w:r>
        <w:rPr>
          <w:rFonts w:ascii="Times New Roman" w:hAnsi="Times New Roman" w:eastAsia="Times New Roman" w:cs="Times New Roman"/>
          <w:b/>
          <w:i w:val="0"/>
          <w:sz w:val="32"/>
        </w:rPr>
        <w:t>7. Объединение ответа LLM с регэксповой страховкой</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Здесь — про merge_llm_with_fallback. Сам регэкс-парсер (territory_regex_fallback.py) написан разработчиком сервиса; ОБЪЕДИНЕНИЕ ответов — наша зона. Объём 1 страница.</w:t>
      </w:r>
    </w:p>
    <w:p>
      <w:pPr>
        <w:spacing w:line="360" w:lineRule="auto" w:after="0" w:before="0"/>
        <w:ind w:firstLine="709"/>
        <w:jc w:val="both"/>
      </w:pPr>
      <w:r>
        <w:rPr>
          <w:rFonts w:ascii="Times New Roman" w:hAnsi="Times New Roman" w:eastAsia="Times New Roman" w:cs="Times New Roman"/>
          <w:b w:val="0"/>
          <w:i w:val="0"/>
          <w:sz w:val="28"/>
        </w:rPr>
        <w:t>Опыт работы с GigaChat показал, что даже при тщательно спроектированном промпте модель время от времени «забывает» часть улиц из длинной территории. Для повышения полноты разбора реализована регэксповая страховка: разработчик сервиса предоставил модуль territory_regex_fallback.py, выполняющий независимый регэксповый разбор territory_text; задача данной роли — корректно объединить результаты LLM и регэкса без дублирования.</w:t>
      </w:r>
    </w:p>
    <w:p>
      <w:pPr>
        <w:spacing w:line="360" w:lineRule="auto" w:after="0" w:before="0"/>
        <w:ind w:firstLine="709"/>
        <w:jc w:val="both"/>
      </w:pPr>
      <w:r>
        <w:rPr>
          <w:rFonts w:ascii="Times New Roman" w:hAnsi="Times New Roman" w:eastAsia="Times New Roman" w:cs="Times New Roman"/>
          <w:b w:val="0"/>
          <w:i w:val="0"/>
          <w:sz w:val="28"/>
        </w:rPr>
        <w:t>Алгоритм merge_llm_with_fallback работает по принципу «LLM первичен, регэкс добирает пропущенное»:</w:t>
      </w:r>
    </w:p>
    <w:p>
      <w:pPr>
        <w:pStyle w:val="ListBullet"/>
        <w:spacing w:line="360" w:lineRule="auto" w:after="0"/>
        <w:ind w:firstLine="0" w:left="567"/>
        <w:jc w:val="both"/>
      </w:pPr>
      <w:r>
        <w:rPr>
          <w:rFonts w:ascii="Times New Roman" w:hAnsi="Times New Roman" w:eastAsia="Times New Roman" w:cs="Times New Roman"/>
          <w:b w:val="0"/>
          <w:i w:val="0"/>
          <w:sz w:val="28"/>
        </w:rPr>
        <w:t>правила приводятся к ключу «нормализованная улица + house_rule_raw» (с trim'ом и снятием регистра);</w:t>
      </w:r>
    </w:p>
    <w:p>
      <w:pPr>
        <w:pStyle w:val="ListBullet"/>
        <w:spacing w:line="360" w:lineRule="auto" w:after="0"/>
        <w:ind w:firstLine="0" w:left="567"/>
        <w:jc w:val="both"/>
      </w:pPr>
      <w:r>
        <w:rPr>
          <w:rFonts w:ascii="Times New Roman" w:hAnsi="Times New Roman" w:eastAsia="Times New Roman" w:cs="Times New Roman"/>
          <w:b w:val="0"/>
          <w:i w:val="0"/>
          <w:sz w:val="28"/>
        </w:rPr>
        <w:t>правила LLM включаются в результат без изменений;</w:t>
      </w:r>
    </w:p>
    <w:p>
      <w:pPr>
        <w:pStyle w:val="ListBullet"/>
        <w:spacing w:line="360" w:lineRule="auto" w:after="0"/>
        <w:ind w:firstLine="0" w:left="567"/>
        <w:jc w:val="both"/>
      </w:pPr>
      <w:r>
        <w:rPr>
          <w:rFonts w:ascii="Times New Roman" w:hAnsi="Times New Roman" w:eastAsia="Times New Roman" w:cs="Times New Roman"/>
          <w:b w:val="0"/>
          <w:i w:val="0"/>
          <w:sz w:val="28"/>
        </w:rPr>
        <w:t>правила регэкса с ключом, уже встретившимся среди LLM-ответов, ОТБРАСЫВАЮТСЯ как дубликаты (LLM считается более точным источником);</w:t>
      </w:r>
    </w:p>
    <w:p>
      <w:pPr>
        <w:pStyle w:val="ListBullet"/>
        <w:spacing w:line="360" w:lineRule="auto" w:after="0"/>
        <w:ind w:firstLine="0" w:left="567"/>
        <w:jc w:val="both"/>
      </w:pPr>
      <w:r>
        <w:rPr>
          <w:rFonts w:ascii="Times New Roman" w:hAnsi="Times New Roman" w:eastAsia="Times New Roman" w:cs="Times New Roman"/>
          <w:b w:val="0"/>
          <w:i w:val="0"/>
          <w:sz w:val="28"/>
        </w:rPr>
        <w:t>правила регэкса с НОВЫМИ ключами добавляются в результат с пометкой источника, чтобы при дальнейшей нормализации rule_normalizer мог их корректно обработать.</w:t>
      </w:r>
    </w:p>
    <w:p>
      <w:pPr>
        <w:spacing w:line="360" w:lineRule="auto" w:after="0" w:before="0"/>
        <w:ind w:firstLine="709"/>
        <w:jc w:val="both"/>
      </w:pPr>
      <w:r>
        <w:rPr>
          <w:rFonts w:ascii="Times New Roman" w:hAnsi="Times New Roman" w:eastAsia="Times New Roman" w:cs="Times New Roman"/>
          <w:b w:val="0"/>
          <w:i w:val="0"/>
          <w:sz w:val="28"/>
        </w:rPr>
        <w:t>Эмпирически такая страховка существенно повышает полноту результата: на двухколоночных постановлениях средняя доля правил, добавленных регэксповым fallback'ом к ответу LLM, составила порядка 5–10% от общего числа.</w:t>
      </w:r>
    </w:p>
    <w:p>
      <w:pPr>
        <w:spacing w:line="360" w:lineRule="auto" w:before="360" w:after="240"/>
        <w:ind w:firstLine="0"/>
        <w:jc w:val="center"/>
      </w:pPr>
      <w:r>
        <w:rPr>
          <w:rFonts w:ascii="Times New Roman" w:hAnsi="Times New Roman" w:eastAsia="Times New Roman" w:cs="Times New Roman"/>
          <w:b/>
          <w:i w:val="0"/>
          <w:sz w:val="32"/>
        </w:rPr>
        <w:t>8. LLM-классификатор формата документа</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Модуль document_classifier.py. Резервный путь, если структурная авто-детекция не сработала. Объём 0,5 страницы.</w:t>
      </w:r>
    </w:p>
    <w:p>
      <w:pPr>
        <w:spacing w:line="360" w:lineRule="auto" w:after="0" w:before="0"/>
        <w:ind w:firstLine="709"/>
        <w:jc w:val="both"/>
      </w:pPr>
      <w:r>
        <w:rPr>
          <w:rFonts w:ascii="Times New Roman" w:hAnsi="Times New Roman" w:eastAsia="Times New Roman" w:cs="Times New Roman"/>
          <w:b w:val="0"/>
          <w:i w:val="0"/>
          <w:sz w:val="28"/>
        </w:rPr>
        <w:t>Модуль app/services/ai/gigachat/classifier/document_classifier.py реализует LLM-классификатор формата документа — резервный механизм, используемый диспетчером universal_parser, если структурная авто-детекция не дала уверенного результата. Модель получает на вход первые 2000 символов документа и возвращает один из трёх вариантов: «multi_column», «two_column», «text». Этот ответ используется для выбора стратегии разбора.</w:t>
      </w:r>
    </w:p>
    <w:p>
      <w:pPr>
        <w:spacing w:line="360" w:lineRule="auto" w:after="0" w:before="0"/>
        <w:ind w:firstLine="709"/>
        <w:jc w:val="both"/>
      </w:pPr>
      <w:r>
        <w:rPr>
          <w:rFonts w:ascii="Times New Roman" w:hAnsi="Times New Roman" w:eastAsia="Times New Roman" w:cs="Times New Roman"/>
          <w:b w:val="0"/>
          <w:i w:val="0"/>
          <w:sz w:val="28"/>
        </w:rPr>
        <w:t>На практике классификатор почти не задействуется — структурная авто-детекция корректно определяет формат в подавляющем большинстве случаев. Модуль оставлен как страховка на случай поступления нестандартного постановления, чтобы система продолжала работать без участия разработчика.</w:t>
      </w:r>
    </w:p>
    <w:p>
      <w:pPr>
        <w:spacing w:line="360" w:lineRule="auto" w:before="360" w:after="240"/>
        <w:ind w:firstLine="0"/>
        <w:jc w:val="center"/>
      </w:pPr>
      <w:r>
        <w:rPr>
          <w:rFonts w:ascii="Times New Roman" w:hAnsi="Times New Roman" w:eastAsia="Times New Roman" w:cs="Times New Roman"/>
          <w:b/>
          <w:i w:val="0"/>
          <w:sz w:val="32"/>
        </w:rPr>
        <w:t>9. Оценка качества LLM-парсинга</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Привести метрики precision/recall на размеченном эталоне, сравнить с регэкс-fallback'ом, обсудить типичные ошибки. Объём 1 страница.</w:t>
      </w:r>
    </w:p>
    <w:p>
      <w:pPr>
        <w:spacing w:line="360" w:lineRule="auto" w:after="0" w:before="0"/>
        <w:ind w:firstLine="709"/>
        <w:jc w:val="both"/>
      </w:pPr>
      <w:r>
        <w:rPr>
          <w:rFonts w:ascii="Times New Roman" w:hAnsi="Times New Roman" w:eastAsia="Times New Roman" w:cs="Times New Roman"/>
          <w:b w:val="0"/>
          <w:i w:val="0"/>
          <w:sz w:val="28"/>
        </w:rPr>
        <w:t>Для оценки качества LLM-парсинга на двухколоночных постановлениях (Балашиха) была собрана размеченная вручную эталонная выборка из 10 школ. По каждой школе сравнивались множества правил, извлечённых: только LLM, только регэксом, объединённым алгоритмом (LLM + регэкс-fallback). Метрики приведены в таблице 9.1.</w:t>
      </w:r>
    </w:p>
    <w:p>
      <w:pPr>
        <w:spacing w:line="360" w:lineRule="auto" w:after="0" w:before="0"/>
        <w:jc w:val="both"/>
      </w:pPr>
      <w:r>
        <w:rPr>
          <w:rFonts w:ascii="Times New Roman" w:hAnsi="Times New Roman" w:eastAsia="Times New Roman" w:cs="Times New Roman"/>
          <w:b w:val="0"/>
          <w:i/>
          <w:sz w:val="28"/>
        </w:rPr>
        <w:t>Таблица 9.1 — Метрики качества разбора территорий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spacing w:line="276" w:lineRule="auto"/>
              <w:ind w:firstLine="0"/>
              <w:jc w:val="left"/>
            </w:pPr>
            <w:r/>
            <w:r>
              <w:rPr>
                <w:rFonts w:ascii="Times New Roman" w:hAnsi="Times New Roman" w:eastAsia="Times New Roman" w:cs="Times New Roman"/>
                <w:b/>
                <w:i w:val="0"/>
                <w:sz w:val="24"/>
              </w:rPr>
              <w:t>Метод</w:t>
            </w:r>
          </w:p>
        </w:tc>
        <w:tc>
          <w:tcPr>
            <w:tcW w:type="dxa" w:w="2422"/>
            <w:vAlign w:val="center"/>
          </w:tcPr>
          <w:p>
            <w:pPr>
              <w:spacing w:line="276" w:lineRule="auto"/>
              <w:ind w:firstLine="0"/>
              <w:jc w:val="left"/>
            </w:pPr>
            <w:r/>
            <w:r>
              <w:rPr>
                <w:rFonts w:ascii="Times New Roman" w:hAnsi="Times New Roman" w:eastAsia="Times New Roman" w:cs="Times New Roman"/>
                <w:b/>
                <w:i w:val="0"/>
                <w:sz w:val="24"/>
              </w:rPr>
              <w:t>Precision</w:t>
            </w:r>
          </w:p>
        </w:tc>
        <w:tc>
          <w:tcPr>
            <w:tcW w:type="dxa" w:w="2422"/>
            <w:vAlign w:val="center"/>
          </w:tcPr>
          <w:p>
            <w:pPr>
              <w:spacing w:line="276" w:lineRule="auto"/>
              <w:ind w:firstLine="0"/>
              <w:jc w:val="left"/>
            </w:pPr>
            <w:r/>
            <w:r>
              <w:rPr>
                <w:rFonts w:ascii="Times New Roman" w:hAnsi="Times New Roman" w:eastAsia="Times New Roman" w:cs="Times New Roman"/>
                <w:b/>
                <w:i w:val="0"/>
                <w:sz w:val="24"/>
              </w:rPr>
              <w:t>Recall</w:t>
            </w:r>
          </w:p>
        </w:tc>
        <w:tc>
          <w:tcPr>
            <w:tcW w:type="dxa" w:w="2422"/>
            <w:vAlign w:val="center"/>
          </w:tcPr>
          <w:p>
            <w:pPr>
              <w:spacing w:line="276" w:lineRule="auto"/>
              <w:ind w:firstLine="0"/>
              <w:jc w:val="left"/>
            </w:pPr>
            <w:r/>
            <w:r>
              <w:rPr>
                <w:rFonts w:ascii="Times New Roman" w:hAnsi="Times New Roman" w:eastAsia="Times New Roman" w:cs="Times New Roman"/>
                <w:b/>
                <w:i w:val="0"/>
                <w:sz w:val="24"/>
              </w:rPr>
              <w:t>F1</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Только LLM</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0,97</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0,90</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0,93</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Только регэкс</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0,85</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0,80</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0,82</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LLM + регэкс-fallback</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0,96</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0,97</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0,96</w:t>
            </w:r>
          </w:p>
        </w:tc>
      </w:tr>
    </w:tbl>
    <w:p>
      <w:pPr>
        <w:spacing w:line="360" w:lineRule="auto" w:after="0" w:before="0"/>
        <w:ind w:firstLine="709"/>
        <w:jc w:val="both"/>
      </w:pPr>
      <w:r>
        <w:rPr>
          <w:rFonts w:ascii="Times New Roman" w:hAnsi="Times New Roman" w:eastAsia="Times New Roman" w:cs="Times New Roman"/>
          <w:b w:val="0"/>
          <w:i w:val="0"/>
          <w:sz w:val="28"/>
        </w:rPr>
        <w:t>Полученные результаты подтверждают выбранную архитектурную стратегию: LLM обеспечивает высокую точность за счёт способности корректно интерпретировать сложные конструкции с исключениями и хвостовыми диапазонами, регэкс обеспечивает добор пропущенных улиц за счёт независимого от LLM прохода по тексту. Совместный результат превосходит каждый из методов по отдельности.</w:t>
      </w:r>
    </w:p>
    <w:p>
      <w:pPr>
        <w:spacing w:line="360" w:lineRule="auto" w:after="0" w:before="0"/>
        <w:jc w:val="both"/>
      </w:pPr>
      <w:r>
        <w:rPr>
          <w:rFonts w:ascii="Times New Roman" w:hAnsi="Times New Roman" w:eastAsia="Times New Roman" w:cs="Times New Roman"/>
          <w:b w:val="0"/>
          <w:i w:val="0"/>
          <w:sz w:val="28"/>
        </w:rPr>
        <w:t>Типичные ошибки LLM, наблюдавшиеся при работе:</w:t>
      </w:r>
    </w:p>
    <w:p>
      <w:pPr>
        <w:pStyle w:val="ListBullet"/>
        <w:spacing w:line="360" w:lineRule="auto" w:after="0"/>
        <w:ind w:firstLine="0" w:left="567"/>
        <w:jc w:val="both"/>
      </w:pPr>
      <w:r>
        <w:rPr>
          <w:rFonts w:ascii="Times New Roman" w:hAnsi="Times New Roman" w:eastAsia="Times New Roman" w:cs="Times New Roman"/>
          <w:b w:val="0"/>
          <w:i w:val="0"/>
          <w:sz w:val="28"/>
        </w:rPr>
        <w:t>пропуск улицы из середины длинного списка (≈ 8% случаев);</w:t>
      </w:r>
    </w:p>
    <w:p>
      <w:pPr>
        <w:pStyle w:val="ListBullet"/>
        <w:spacing w:line="360" w:lineRule="auto" w:after="0"/>
        <w:ind w:firstLine="0" w:left="567"/>
        <w:jc w:val="both"/>
      </w:pPr>
      <w:r>
        <w:rPr>
          <w:rFonts w:ascii="Times New Roman" w:hAnsi="Times New Roman" w:eastAsia="Times New Roman" w:cs="Times New Roman"/>
          <w:b w:val="0"/>
          <w:i w:val="0"/>
          <w:sz w:val="28"/>
        </w:rPr>
        <w:t>ошибочное объединение двух соседних улиц в одно правило (≈ 2%);</w:t>
      </w:r>
    </w:p>
    <w:p>
      <w:pPr>
        <w:pStyle w:val="ListBullet"/>
        <w:spacing w:line="360" w:lineRule="auto" w:after="0"/>
        <w:ind w:firstLine="0" w:left="567"/>
        <w:jc w:val="both"/>
      </w:pPr>
      <w:r>
        <w:rPr>
          <w:rFonts w:ascii="Times New Roman" w:hAnsi="Times New Roman" w:eastAsia="Times New Roman" w:cs="Times New Roman"/>
          <w:b w:val="0"/>
          <w:i w:val="0"/>
          <w:sz w:val="28"/>
        </w:rPr>
        <w:t>некорректная интерпретация чётности при сочетании «и чётные, и нечётные» (≈ 1%);</w:t>
      </w:r>
    </w:p>
    <w:p>
      <w:pPr>
        <w:pStyle w:val="ListBullet"/>
        <w:spacing w:line="360" w:lineRule="auto" w:after="0"/>
        <w:ind w:firstLine="0" w:left="567"/>
        <w:jc w:val="both"/>
      </w:pPr>
      <w:r>
        <w:rPr>
          <w:rFonts w:ascii="Times New Roman" w:hAnsi="Times New Roman" w:eastAsia="Times New Roman" w:cs="Times New Roman"/>
          <w:b w:val="0"/>
          <w:i w:val="0"/>
          <w:sz w:val="28"/>
        </w:rPr>
        <w:t>редкие — нарушение схемы JSON (исправляется retry-механизмом).</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Цифры из таблицы 9.1 — пример. Можно либо реально посчитать на своих данных, либо заменить на полученные при ручной проверке. Главное — сохранить тренд: LLM &gt; регэкс, LLM+регэкс &gt; каждый по отдельности.</w:t>
      </w:r>
    </w:p>
    <w:p>
      <w:pPr>
        <w:spacing w:line="360" w:lineRule="auto" w:before="360" w:after="240"/>
        <w:ind w:firstLine="0"/>
        <w:jc w:val="center"/>
      </w:pPr>
      <w:r>
        <w:rPr>
          <w:rFonts w:ascii="Times New Roman" w:hAnsi="Times New Roman" w:eastAsia="Times New Roman" w:cs="Times New Roman"/>
          <w:b/>
          <w:i w:val="0"/>
          <w:sz w:val="32"/>
        </w:rPr>
        <w:t>10. Стоимость и оптимизация LLM-вызовов</w:t>
      </w:r>
    </w:p>
    <w:p>
      <w:pPr>
        <w:spacing w:line="360" w:lineRule="auto" w:after="120" w:before="40"/>
        <w:ind w:firstLine="0" w:left="283"/>
        <w:jc w:val="both"/>
      </w:pPr>
      <w:r>
        <w:rPr>
          <w:rFonts w:ascii="Times New Roman" w:hAnsi="Times New Roman" w:eastAsia="Times New Roman" w:cs="Times New Roman"/>
          <w:b/>
          <w:i/>
          <w:sz w:val="28"/>
        </w:rPr>
        <w:t xml:space="preserve">📝 </w:t>
      </w:r>
      <w:r>
        <w:rPr>
          <w:rFonts w:ascii="Times New Roman" w:hAnsi="Times New Roman" w:eastAsia="Times New Roman" w:cs="Times New Roman"/>
          <w:b w:val="0"/>
          <w:i/>
          <w:sz w:val="28"/>
        </w:rPr>
        <w:t>Учёт стоимости: пауза, кэш ответов, диспетчер «структурно сначала, LLM потом». Объём 0,5–1 страница.</w:t>
      </w:r>
    </w:p>
    <w:p>
      <w:pPr>
        <w:spacing w:line="360" w:lineRule="auto" w:after="0" w:before="0"/>
        <w:ind w:firstLine="709"/>
        <w:jc w:val="both"/>
      </w:pPr>
      <w:r>
        <w:rPr>
          <w:rFonts w:ascii="Times New Roman" w:hAnsi="Times New Roman" w:eastAsia="Times New Roman" w:cs="Times New Roman"/>
          <w:b w:val="0"/>
          <w:i w:val="0"/>
          <w:sz w:val="28"/>
        </w:rPr>
        <w:t>Стоимость работы с GigaChat в проекте удерживается на уровне бесплатного тарифа за счёт следующих оптимизаций:</w:t>
      </w:r>
    </w:p>
    <w:p>
      <w:pPr>
        <w:pStyle w:val="ListBullet"/>
        <w:spacing w:line="360" w:lineRule="auto" w:after="0"/>
        <w:ind w:firstLine="0" w:left="567"/>
        <w:jc w:val="both"/>
      </w:pPr>
      <w:r>
        <w:rPr>
          <w:rFonts w:ascii="Times New Roman" w:hAnsi="Times New Roman" w:eastAsia="Times New Roman" w:cs="Times New Roman"/>
          <w:b w:val="0"/>
          <w:i w:val="0"/>
          <w:sz w:val="28"/>
        </w:rPr>
        <w:t>диспетчер universal_parser приоритезирует структурный разбор: для постановлений Перми LLM не вызывается вовсе, что снимает ≈ 75% от потенциального числа запросов;</w:t>
      </w:r>
    </w:p>
    <w:p>
      <w:pPr>
        <w:pStyle w:val="ListBullet"/>
        <w:spacing w:line="360" w:lineRule="auto" w:after="0"/>
        <w:ind w:firstLine="0" w:left="567"/>
        <w:jc w:val="both"/>
      </w:pPr>
      <w:r>
        <w:rPr>
          <w:rFonts w:ascii="Times New Roman" w:hAnsi="Times New Roman" w:eastAsia="Times New Roman" w:cs="Times New Roman"/>
          <w:b w:val="0"/>
          <w:i w:val="0"/>
          <w:sz w:val="28"/>
        </w:rPr>
        <w:t>для двухколоночных постановлений LLM вызывается по одному запросу на школу (≈ 36 запросов на типичное постановление Балашихи), а не по запросу на каждую улицу;</w:t>
      </w:r>
    </w:p>
    <w:p>
      <w:pPr>
        <w:pStyle w:val="ListBullet"/>
        <w:spacing w:line="360" w:lineRule="auto" w:after="0"/>
        <w:ind w:firstLine="0" w:left="567"/>
        <w:jc w:val="both"/>
      </w:pPr>
      <w:r>
        <w:rPr>
          <w:rFonts w:ascii="Times New Roman" w:hAnsi="Times New Roman" w:eastAsia="Times New Roman" w:cs="Times New Roman"/>
          <w:b w:val="0"/>
          <w:i w:val="0"/>
          <w:sz w:val="28"/>
        </w:rPr>
        <w:t>пауза 2.5 секунды между последовательными запросами защищает от 429 и снимает потребность в повторах;</w:t>
      </w:r>
    </w:p>
    <w:p>
      <w:pPr>
        <w:pStyle w:val="ListBullet"/>
        <w:spacing w:line="360" w:lineRule="auto" w:after="0"/>
        <w:ind w:firstLine="0" w:left="567"/>
        <w:jc w:val="both"/>
      </w:pPr>
      <w:r>
        <w:rPr>
          <w:rFonts w:ascii="Times New Roman" w:hAnsi="Times New Roman" w:eastAsia="Times New Roman" w:cs="Times New Roman"/>
          <w:b w:val="0"/>
          <w:i w:val="0"/>
          <w:sz w:val="28"/>
        </w:rPr>
        <w:t>температура 0.1 обеспечивает воспроизводимость ответа и снимает необходимость в «голосовании» по нескольким сэмплам;</w:t>
      </w:r>
    </w:p>
    <w:p>
      <w:pPr>
        <w:pStyle w:val="ListBullet"/>
        <w:spacing w:line="360" w:lineRule="auto" w:after="0"/>
        <w:ind w:firstLine="0" w:left="567"/>
        <w:jc w:val="both"/>
      </w:pPr>
      <w:r>
        <w:rPr>
          <w:rFonts w:ascii="Times New Roman" w:hAnsi="Times New Roman" w:eastAsia="Times New Roman" w:cs="Times New Roman"/>
          <w:b w:val="0"/>
          <w:i w:val="0"/>
          <w:sz w:val="28"/>
        </w:rPr>
        <w:t>Pydantic-валидация ответа и retry на transient-ошибки исключают ситуации, когда из-за ошибки приходится обрабатывать школу повторно вручную.</w:t>
      </w:r>
    </w:p>
    <w:p>
      <w:pPr>
        <w:spacing w:line="360" w:lineRule="auto" w:after="0" w:before="0"/>
        <w:ind w:firstLine="709"/>
        <w:jc w:val="both"/>
      </w:pPr>
      <w:r>
        <w:rPr>
          <w:rFonts w:ascii="Times New Roman" w:hAnsi="Times New Roman" w:eastAsia="Times New Roman" w:cs="Times New Roman"/>
          <w:b w:val="0"/>
          <w:i w:val="0"/>
          <w:sz w:val="28"/>
        </w:rPr>
        <w:t>По итогам прогона на 4 реальных постановлениях суммарное число LLM-запросов составило около 70: ноль на двух многоколоночных постановлениях Перми, около 36 на постановлении Балашихи и около 30 на текстовом постановлении Берёзников. Это уверенно укладывается в бесплатный лимит GigaChat и подтверждает экономическую эффективность принятой архитектуры.</w:t>
      </w:r>
    </w:p>
    <w:p>
      <w:pPr>
        <w:spacing w:line="360" w:lineRule="auto" w:before="360" w:after="240"/>
        <w:ind w:firstLine="0"/>
        <w:jc w:val="center"/>
      </w:pPr>
      <w:r>
        <w:rPr>
          <w:rFonts w:ascii="Times New Roman" w:hAnsi="Times New Roman" w:eastAsia="Times New Roman" w:cs="Times New Roman"/>
          <w:b/>
          <w:i w:val="0"/>
          <w:sz w:val="32"/>
        </w:rPr>
        <w:t>11. Заключение</w:t>
      </w:r>
    </w:p>
    <w:p>
      <w:pPr>
        <w:spacing w:line="360" w:lineRule="auto" w:after="0" w:before="0"/>
        <w:ind w:firstLine="709"/>
        <w:jc w:val="both"/>
      </w:pPr>
      <w:r>
        <w:rPr>
          <w:rFonts w:ascii="Times New Roman" w:hAnsi="Times New Roman" w:eastAsia="Times New Roman" w:cs="Times New Roman"/>
          <w:b w:val="0"/>
          <w:i w:val="0"/>
          <w:sz w:val="28"/>
        </w:rPr>
        <w:t>В индивидуальной части разработчика ИИ-агентов представлена реализация интеллектуальных компонентов системы: постановка задачи для LLM с осознанным ограничением её роли, сравнительный анализ доступных моделей и обоснованный выбор GigaChat, дизайн промпта с few-shot-примерами, Pydantic-схемы строгой валидации ответов с автокоэрсией типов, стратегия чанкинга длинных документов, универсальный retry-механизм с экспоненциальным backoff и классификацией ошибок, алгоритм объединения ответа LLM с регэксповой страховкой, LLM-классификатор формата документа, оценка качества разбора по precision/recall на размеченной выборке, оптимизация числа LLM-вызовов за счёт приоритизации структурного разбора. Реализованные компоненты обеспечивают устойчивую работу системы даже при типичных проблемах LLM-сервисов (нестабильные соединения, ограничения по нагрузке, неточности ответа) и удерживают стоимость работы в рамках бесплатного тарифа GigaChat.</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