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Пермский филиал федерального государственного автономного образовательного учреждения высшего образования</w:t>
        <w:br/>
        <w:t>«Национальный исследовательский университет</w:t>
        <w:br/>
        <w:t>«Высшая школа экономики»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социально-экономических и компьютерных наук</w:t>
      </w:r>
    </w:p>
    <w:p/>
    <w:p/>
    <w:p/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РАЗРАБОТКА ВЕБ-СЕРВИСА ОПРЕДЕЛЕНИЯ ШКОЛЫ ПО АДРЕСУ ПРОЖИВАНИЯ НА ОСНОВЕ МУНИЦИПАЛЬНЫХ ПОСТАНОВЛЕНИЙ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Отчёт о групповом проекте</w:t>
      </w:r>
    </w:p>
    <w:p>
      <w:pPr>
        <w:jc w:val="center"/>
      </w:pPr>
      <w:r>
        <w:rPr>
          <w:rFonts w:ascii="Times New Roman" w:hAnsi="Times New Roman" w:eastAsia="Times New Roman" w:cs="Times New Roman"/>
          <w:b/>
          <w:i/>
          <w:sz w:val="28"/>
        </w:rPr>
        <w:t>Индивидуальная часть.</w:t>
        <w:br/>
        <w:t>Системный аналитик</w:t>
      </w:r>
    </w:p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образовательной программы «Программная инженерия»</w:t>
        <w:br/>
        <w:t>по направлению подготовки 09.03.04 Программная инженерия</w:t>
      </w:r>
    </w:p>
    <w:p/>
    <w:p/>
    <w:p/>
    <w:p/>
    <w:p>
      <w:pPr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________________________</w:t>
      </w:r>
    </w:p>
    <w:p>
      <w:pPr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Руководитель: ________________________</w:t>
      </w:r>
    </w:p>
    <w:p/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Пермь, 2026 год</w:t>
      </w:r>
    </w:p>
    <w:p>
      <w:r>
        <w:br w:type="page"/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Введение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Кратко перечислить, какие задачи решал системный аналитик и какие артефакты будут описаны в индивидуальной части. Объём 0,5–1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Настоящая индивидуальная часть отчёта посвящена работе, выполненной в роли системного аналитика. В обязанности системного аналитика входили: формализация функциональных и нефункциональных требований к программному обеспечению на основе бизнес-требований, построение каталога прецедентов и UML-диаграмм (использования, компонентов, последовательностей, развёртывания), проектирование модели данных (ER-диаграмма), разработка прототипов пользовательского интерфейса, сопровождение глоссария проекта. Все перечисленные артефакты последовательно представлены ниже.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1. Каталог функциональных требований (FR)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Каталог FR с приоритетом по MoSCoW (Must / Should / Could / Won't) и трассировкой к бизнес-требованиям из части бизнес-аналитика. Объём 1–1,5 страницы.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основе бизнес-требований, сформулированных бизнес-аналитиком, разработан каталог из 11 функциональных требований с указанием приоритета по методологии MoSCoW и трассировкой к соответствующему бизнес-требованию. Каталог приведён в таблице 1.1.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1.1 — Каталог функциональных требований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Требование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Приоритет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Связан с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F-01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Принимать постановления в форматах .doc, .docx, .pdf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BR-04, BR-07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F-02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Извлекать текстовое содержимое документа, при необходимости — через OCR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BR-04, BR-07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F-03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Автоматически определять структуру табличной части документа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BR-04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F-04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Извлекать метаданные постановления: номер, дату, муниципалитет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Should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BR-04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F-05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Извлекать перечень школ и для каждой — список правил «улица — дома»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BR-03, BR-04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F-06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Нормализовать правила: тип, чётность, диапазоны, исключения, точные списки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BR-03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F-07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Сохранять извлечённые данные в реляционной базе данных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BR-04, BR-05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F-08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Предоставлять веб-форму поиска школы по адресу с автокомплитом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BR-01, BR-02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F-09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Возвращать пользователю название школы, её адрес и текст правила-основания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BR-01, BR-03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F-10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Предоставлять административную панель: загрузка, парсинг, сохранение, CRUD правил, отчёт валидатора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Should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BR-05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F-11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Автоматически выявлять пересечения правил между разными школами на одной улице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Should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BR-06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2. Каталог нефункциональных требований (NFR)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NFR с критериями приёмки: как именно будет проверяться выполнение. Объём 0,5–1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 программному обеспечению предъявлены следующие нефункциональные требования с измеримыми критериями приёмки.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2.1 — Каталог нефункциональных требований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Требование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Критерий приёмки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NF-01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отклика на поиск школы — не более 1 с при ≤ 1000 правил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Замер на тестовой БД с 700 правилами: P95 ≤ 1 с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NF-02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Устойчивость к недоступности DaData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При отключённом DaData поиск возвращает корректный ответ через локальный regex-парсер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NF-03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Устойчивость к недоступности GigaChat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При transient-ошибках выполняется ретрай с экспоненциальным backoff; всего до 4 попыток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NF-04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Открытый стек технологий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Только Python, FastAPI, SQLAlchemy, SQLite и Open Source-библиотеки; без проприетарных зависимостей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NF-05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Модульность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Каждый сервис изолирован в отдельный пакет app/services/&lt;domain&gt;/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NF-06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Покрытие тестами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Ключевая «чистая» логика покрыта модульными тестами; основные сценарии — интеграционными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3. Диаграмма прецедентов (Use Case Diagram)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В этом разделе ожидается UML Use Case Diagram. Лучше нарисовать в PlantUML / draw.io и вставить картинкой. Здесь приведено текстовое описание актёров и связей. Объём 0,5 страницы.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Идентифицированы 2 актёра системы: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«Родитель» — анонимный пользователь, обращающийся к публичной части сервиса для определения «своей» школы;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«Администратор УО» — авторизованный пользователь (в будущем; в прототипе авторизация отсутствует), управляющий загрузкой постановлений и редактированием правил.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Прецеденты «Поиск школы по адресу» и «Автодополнение адреса» доступны актёру «Родитель»; прецеденты «Загрузка постановления», «Запуск парсинга», «Сохранение в БД», «Просмотр и редактирование правил», «Просмотр отчёта валидатора» — актёру «Администратор УО». Прецедент «Автодополнение адреса» расширяет (extend) прецедент «Поиск школы по адресу»; прецедент «Запуск парсинга» включает (include) обращение к внешним системам DaData (для нормализации) и GigaChat (для разбора нестандартных документов).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4. Развёрнутые описания прецедентов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Привести подробные описания 7 прецедентов по стандартному шаблону: название, актёр, предусловия, основной сценарий, альтернативные сценарии, постусловия. Объём 2–2,5 страницы. Ниже — два полностью проработанных прецедента (UC-1, UC-3) как образец; остальные оформить по той же структуре.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UC-1. Поиск школы по адресу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Атрибут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Актёр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Родитель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Сервис запущен; в БД сохранён хотя бы один decree с правилами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Триггер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Пользователь открыл главную страницу и нажал «Найти школу»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Основной сценарий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Пользователь вводит адрес в текстовое поле формы.</w:t>
              <w:br/>
              <w:t>2) Система отправляет адрес на эндпоинт POST /search.</w:t>
              <w:br/>
              <w:t>3) Сервис нормализует адрес через DaData (clean).</w:t>
              <w:br/>
              <w:t>4) Сервис извлекает населённый пункт, улицу и номер дома.</w:t>
              <w:br/>
              <w:t>5) Сервис обходит правила и применяет три проверки (улица, локалити, дом).</w:t>
              <w:br/>
              <w:t>6) Сервис возвращает первое совпавшее правило и связанную школу.</w:t>
              <w:br/>
              <w:t>7) Шаблон выводит пользователю название школы, её адрес и текст правила.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Альтернативные сценарии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3а) DaData недоступна — выполняется парсинг локальным regex-парсером.</w:t>
              <w:br/>
              <w:t>5а) Совпадений не найдено — пользователю показывается сообщение «Школа не найдена».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Постусловия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Состояние БД не изменяется</w:t>
            </w:r>
          </w:p>
        </w:tc>
      </w:tr>
    </w:tbl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UC-3. Загрузка постановления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Атрибут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Актёр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Администратор УО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Доступна административная панель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Триггер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Администратор открыл /admin/upload и выбрал файл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Основной сценарий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Администратор выбирает файл (.doc/.docx/.pdf) и отправляет форму.</w:t>
              <w:br/>
              <w:t>2) Сервис сохраняет файл в storage/decrees/.</w:t>
              <w:br/>
              <w:t>3) Модуль text_extractor извлекает текст с диспетчеризацией по расширению.</w:t>
              <w:br/>
              <w:t>4) Для .pdf с малым объёмом текстового слоя (&lt; 500 симв.) применяется OCR.</w:t>
              <w:br/>
              <w:t>5) Извлечённый текст возвращается администратору вместе с путём к файлу.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Альтернативные сценарии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3а) Файл .doc — конвертация через LibreOffice (на macOS — fallback на textutil).</w:t>
              <w:br/>
              <w:t>4а) Ошибка OCR — пользователю выводится сообщение, файл сохранён без текста.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Постусловия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Файл сохранён в storage/decrees/; текст в storage/extracted/</w:t>
            </w:r>
          </w:p>
        </w:tc>
      </w:tr>
    </w:tbl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По аналогии оформить UC-2 (Автодополнение адреса), UC-4 (Запуск парсинга), UC-5 (Сохранение в БД), UC-6 (Просмотр и редактирование правил), UC-7 (Просмотр отчёта валидатора).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5. Модель данных (ER-диаграмма)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ER-диаграмму желательно нарисовать (draw.io / dbdiagram.io) и вставить картинкой. Здесь приведено текстовое описание сущностей и связей. Объём 1–1,5 страницы.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Модель данных проектировалась с учётом необходимости поддержки трёх различных форматов постановлений и сохранения исходного текста правила как страховки на случай ошибок парсинга. Состав сущностей приведён в таблице 5.1.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5.1 — Сущности модели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Сущность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Тип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Municipality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Integer (PK)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Уникальный идентификатор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Название муниципалитета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region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Регион (опционально)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School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Integer (PK)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Уникальный идентификатор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municipality_id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FK → Municipality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Связь с муниципалитетом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Наименование школы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address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Юридический адрес школы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Decree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Integer (PK)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Уникальный идентификатор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municipality_id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FK → Municipality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Связь с муниципалитетом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number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Номер постановления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date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Дата постановления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file_path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Путь к исходному файлу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AddressRule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Integer (PK)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Уникальный идентификатор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school_id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FK → School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Связь со школой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decree_id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FK → Decree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Связь с постановлением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locality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Населённый пункт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street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Название улицы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normalized_street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Нормализованное название улицы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house_rule_raw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Исходный текст правила (страховка)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rule_type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Тип: range / exact_list / up_to / from_to_end / all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parity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Чётность: all / even / odd / mixed / unknown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house_from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Integer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Нижняя граница диапазона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house_to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Integer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Верхняя граница диапазона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house_number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Единственный номер (для одиночных правил)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house_numbers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Точный список номеров через запятую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exceptions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Список номеров-исключений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comment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Произвольный комментарий</w:t>
            </w:r>
          </w:p>
        </w:tc>
      </w:tr>
    </w:tbl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Связи между сущностями: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Municipality 1 — N School;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Municipality 1 — N Decree;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School 1 — N AddressRule;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Decree 1 — N AddressRule.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Особенностью модели является наличие поля house_rule_raw — это исходный текст правила из постановления. Даже если структурный парсер не смог корректно заполнить поля rule_type, parity и диапазоны, оператор сможет вручную восстановить правило по сырому тексту через CRUD-таблицу в админ-панели.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6. Диаграмма компонентов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UML Component Diagram. Желательно нарисовать в PlantUML. Здесь — текстовое описание компонентов и связей. Объём 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состоит из 8 основных компонентов, изолированных в отдельные пакеты внутри app/services/. Описание компонентов приведено в таблице 6.1; в общей части отчёта (раздел 3.2) представлена верхнеуровневая схема взаимодействия.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6.1 — Компоненты приложения и их связи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Зависит от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app/main.py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Точка входа FastAPI, определение эндпоинтов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Все services/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services/parser/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Извлечение текста, диспетчер парсинга, стратегии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ai/, dadata/, ocr/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services/ai/gigachat/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Клиент GigaChat, промпты, схемы, retry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services/dadata/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Клиент DaData, сверка улиц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services/ocr/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OCR через ocr.space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services/address/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Нормализация адреса, локальный парсер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services/search/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Поиск школы по адресу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address/, dadata/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services/validation/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Валидатор правил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models/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db/, models/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ORM и доступ к БД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7. Диаграммы последовательностей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UML Sequence Diagram для ключевых сценариев. Желательно нарисовать 3–4 sequence-диаграммы (PlantUML / draw.io) и вставить картинками. Здесь приведено текстовое описание шагов взаимодействия. Объём 1,5 страницы.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Сценарий 7.1. Поиск школы по адресу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Пользователь (Browser) → FastAPI: POST /search { address }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FastAPI → DaData.clean(address)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DaData → FastAPI: нормализованный адрес { city, street, house }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FastAPI → AddressRule (БД): SELECT всех правил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5) FastAPI → find_school: применить три фильтра (улица, локалити, дом)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6) find_school → FastAPI: первое совпавшее правило + School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7) FastAPI → Browser: HTML с названием школы и текстом правила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Сценарий 7.2. Загрузка и парсинг постановления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Browser → FastAPI: POST /admin/upload (multipart, file)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FastAPI → text_extractor.extract_text(path)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text_extractor → pdfplumber/python-docx/LibreOffice: получение текста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text_extractor → ocr.space (если |текст| &lt; 500 симв.)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5) FastAPI → Browser: страница с извлечённым текстом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6) Browser → FastAPI: POST /admin/parse-with-ai { text, file_path }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7) FastAPI → universal_parser: структурная детекция формата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8) universal_parser → MultiColumnParser/TwoColumnParser (по результату)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9) Стратегия → GigaChat (только для two-column, для каждой школы)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10) GigaChat → Стратегия: JSON с правилами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11) Стратегия → Pydantic-валидация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12) FastAPI → Browser: JSON распарсенных правил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13) Browser → FastAPI: POST /admin/save-parsed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14) FastAPI → БД: INSERT Municipality/School/Decree/AddressRule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8. Диаграмма развёртывания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UML Deployment Diagram. Здесь — текстовое описание узлов развёртывания и связей; нарисованный вариант рекомендуется вставить картинкой. Объём 0,5 страницы.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прототипе развёртывание выполняется на одном узле (локальная машина разработчика); файловая база SQLite располагается рядом с приложением. Для производственного развёртывания узлы разнесены: «Веб-сервер», «БД-сервер», «Файловое хранилище» (storage/decrees, storage/extracted). Внешние API (DaData, GigaChat, ocr.space) находятся за пределами контура развёртывания и доступны через HTTPS.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9. Прототипы пользовательского интерфейса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Wireframes 4 экранов: главная (поиск), админ-загрузка, админ-правила (CRUD), отчёт валидатора. Лучше нарисовать в Figma / Balsamiq и вставить картинками. Здесь — описание элементов интерфейса. Объём 1,5 страницы.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Экран 9.1. Главная страница (/)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заголовок «Найти школу по адресу»;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текстовое поле ввода адреса с подсказками DaData (выпадающий список ниже поля при наборе);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кнопка «Найти»;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блок результата (отображается после поиска): название школы, адрес школы, текст правила-основания.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Экран 9.2. Загрузка постановления (/admin/upload)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поле выбора файла (input type=file, accept=.doc,.docx,.pdf);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кнопка «Загрузить и извлечь текст»;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загрузки — превью извлечённого текста с прокруткой;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кнопка «Распарсить через GigaChat»;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парсинга — JSON-просмотр распарсенных правил с возможностью редактировать перед сохранением;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кнопка «Сохранить в БД».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Экран 9.3. CRUD правил (/admin/rules)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всех правил с колонками: школа, локалити, улица, house_rule_raw, тип, чётность, диапазон;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 редактирования каждой строки (inline или модальное окно);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кнопка «Удалить» на строке;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фильтр по школе и по улице в шапке таблицы.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Экран 9.4. Отчёт валидатора (/admin/validation)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сводка по числу нарушений по типам (5 типов проверок);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детальная таблица нарушений с указанием правила, школы, типа нарушения и комментария;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цветовая маркировка по уровню (error / warning).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10. Глоссарий проекта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Глоссарий — словарь предметных и технических терминов. Объём 1 страница.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10.1 — Глоссарий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Термин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Определение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Постановление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Муниципальный нормативный правовой акт «О закреплении территорий за общеобразовательными организациями»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Закреплённая территория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Совокупность улиц и номеров домов, обслуживаемых конкретной школой согласно муниципальному постановлению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Атомарное закрепление вида «улица + описание домов → школа»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Чётность (parity)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Признак правила: применяется ко всем домам / только чётным / только нечётным / смешанный / неизвестно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Континуация-строка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Строка таблицы, продолжающая описание правил той же школы, что и предыдущая (имя школы в ячейке пустое или повторяется)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Алиас улицы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Альтернативное (часто историческое) название улицы, указанное в скобках при основном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LLM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Большая языковая модель (large language model); в проекте — GigaChat от Сбера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OCR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Optical Character Recognition; распознавание текста из изображения. В проекте — облачный сервис ocr.space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DaData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Российский сервис нормализации и обогащения адресов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Pydantic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Python-библиотека валидации данных на основе типизированных моделей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Толерантный матч локалити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Алгоритм сопоставления названий населённых пунктов, устойчивый к падежным окончаниям и букве «ё»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11. 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индивидуальной части системного аналитика разработан полный комплект проектной документации: каталог 11 функциональных и 6 нефункциональных требований с критериями приёмки, диаграмма прецедентов и развёрнутые описания 7 use-кейсов, модель данных из 4 сущностей с детальным описанием полей, диаграммы компонентов, последовательностей и развёртывания, прототипы 4 экранов пользовательского интерфейса, глоссарий проекта. Разработанная документация послужила основой для реализации сервисной и интеллектуальной частей системы и для проектирования стратегии тестирования.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