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Пермский филиал федерального государственного автономного образовательного учреждения высшего образования</w:t>
        <w:br/>
        <w:t>«Национальный исследовательский университет</w:t>
        <w:br/>
        <w:t>«Высшая школа экономики»</w:t>
      </w:r>
    </w:p>
    <w:p/>
    <w:p/>
    <w:p>
      <w:pPr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Факультет социально-экономических и компьютерных наук</w:t>
      </w:r>
    </w:p>
    <w:p/>
    <w:p/>
    <w:p/>
    <w:p>
      <w:pPr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РАЗРАБОТКА ВЕБ-СЕРВИСА ОПРЕДЕЛЕНИЯ ШКОЛЫ ПО АДРЕСУ ПРОЖИВАНИЯ НА ОСНОВЕ МУНИЦИПАЛЬНЫХ ПОСТАНОВЛЕНИЙ</w:t>
      </w:r>
    </w:p>
    <w:p/>
    <w:p/>
    <w:p>
      <w:pPr>
        <w:jc w:val="center"/>
      </w:pPr>
      <w:r>
        <w:rPr>
          <w:rFonts w:ascii="Times New Roman" w:hAnsi="Times New Roman" w:eastAsia="Times New Roman" w:cs="Times New Roman"/>
          <w:b w:val="0"/>
          <w:i/>
          <w:sz w:val="28"/>
        </w:rPr>
        <w:t>Отчёт о групповом проекте</w:t>
      </w:r>
    </w:p>
    <w:p>
      <w:pPr>
        <w:jc w:val="center"/>
      </w:pPr>
      <w:r>
        <w:rPr>
          <w:rFonts w:ascii="Times New Roman" w:hAnsi="Times New Roman" w:eastAsia="Times New Roman" w:cs="Times New Roman"/>
          <w:b/>
          <w:i/>
          <w:sz w:val="28"/>
        </w:rPr>
        <w:t>Общая часть отчёта</w:t>
      </w:r>
    </w:p>
    <w:p/>
    <w:p>
      <w:pPr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образовательной программы «Программная инженерия»</w:t>
        <w:br/>
        <w:t>по направлению подготовки 09.03.04 Программная инженерия</w:t>
      </w:r>
    </w:p>
    <w:p/>
    <w:p/>
    <w:p/>
    <w:p/>
    <w:p>
      <w:pPr>
        <w:jc w:val="righ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Выполнил: ________________________</w:t>
      </w:r>
    </w:p>
    <w:p>
      <w:pPr>
        <w:jc w:val="righ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Руководитель: ________________________</w:t>
      </w:r>
    </w:p>
    <w:p/>
    <w:p/>
    <w:p/>
    <w:p>
      <w:pPr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Пермь, 2026 год</w:t>
      </w:r>
    </w:p>
    <w:p>
      <w:r>
        <w:br w:type="page"/>
      </w:r>
    </w:p>
    <w:p>
      <w:pPr>
        <w:spacing w:line="360" w:lineRule="auto" w:before="360" w:after="24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32"/>
        </w:rPr>
        <w:t>Аннотация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 настоящем отчёте представлены результаты группового проекта по разработке веб-сервиса определения общеобразовательной организации, к территории которой прикреплён указанный адрес проживания. Сервис решает задачу автоматизации работы с муниципальными постановлениями «О закреплении территорий за общеобразовательными организациями» и обеспечивает приём документа в форматах .doc, .docx и .pdf, автоматическое извлечение и структурный анализ закреплённых правил, сохранение результата в базе данных и поиск школы по адресу с нормализацией через сервис DaData.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Отчёт состоит из общей части, единой для всех участников команды, и индивидуальных частей, посвящённых вкладу каждого члена группы в соответствии с возложенной ролью. В общей части описаны актуальность и цели проекта, состав команды и распределение ответственности, проведён анализ предметной области, изложена верхнеуровневая архитектура решения, обоснован выбор стека технологий, описан ход выполнения проекта и подведены общие итоги. Детальные результаты работы каждой роли — анализ требований, проектирование, разработка сервисной и интеллектуальной частей, тестирование, управление проектом — раскрыты в соответствующих индивидуальных частях.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Разработанный прототип реализует полный цикл обработки муниципального постановления и пригоден для использования в работе муниципальных управлений образования. Архитектурное решение, при котором структурный анализ табличных документов имеет приоритет перед обращением к большой языковой модели, позволяет существенно сократить стоимость и время обработки массовых документов и снизить зависимость от внешних платных сервисов.</w:t>
      </w:r>
    </w:p>
    <w:p>
      <w:r>
        <w:br w:type="page"/>
      </w:r>
    </w:p>
    <w:p>
      <w:pPr>
        <w:spacing w:line="360" w:lineRule="auto" w:before="360" w:after="24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32"/>
        </w:rPr>
        <w:t>Глава 1. Описание проекта</w:t>
      </w:r>
    </w:p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1.1. Актуальность работы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Согласно Федеральному закону «Об образовании в Российской Федерации» органы местного самоуправления обязаны ежегодно закреплять общеобразовательные организации за конкретными территориями обслуживания. Документально это закрепление оформляется муниципальным постановлением, в табличной части которого для каждой школы указываются перечни улиц и номеров домов либо диапазонов, входящих в её зону приёма. Тысячи правил вида «улица — диапазон домов — школа» хранятся в неструктурированных файлах форматов .doc, .docx и скан-PDF, а определение «своей» школы по конкретному адресу — ручная работа сотрудника управления образования.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Семья, выбирающая школу для ребёнка, не может за разумное время определить закреплённую за её домом школу самостоятельно: соответствующий документ муниципалитета представляет собой многостраничную таблицу, в которой улицы записаны в нескольких вариантах (например, «ул. Ленина», «улица Ленина», «Ленина, ул.»), номера домов задаются то списком, то диапазоном, то с указанием чётности, нередко с явными исключениями. Сотрудник управления образования при приёме заявления также вынужден сверять каждый адрес с многостраничной таблицей вручную, что увеличивает время обслуживания заявителя и не исключает ошибок.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Таким образом, существует устойчивая практическая потребность в программном продукте, который автоматически извлекает структурированные данные из муниципальных постановлений и предоставляет пользовательский интерфейс для поиска школы по адресу. Это и определило тему настоящего группового проекта.</w:t>
      </w:r>
    </w:p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1.2. Цель и задачи проекта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Целью группового проекта являлась разработка веб-сервиса, обеспечивающего загрузку и автоматический разбор муниципальных постановлений о закреплении территорий за школами, хранение извлечённых правил в структурированном виде и поиск общеобразовательной организации по адресу проживания пользователя.</w:t>
      </w:r>
    </w:p>
    <w:p>
      <w:pPr>
        <w:spacing w:line="360" w:lineRule="auto" w:after="0" w:before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Для достижения этой цели командой решены следующие задачи:</w:t>
      </w:r>
    </w:p>
    <w:p>
      <w:pPr>
        <w:pStyle w:val="ListBullet"/>
        <w:spacing w:line="360" w:lineRule="auto" w:after="0"/>
        <w:ind w:firstLine="0" w:left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проведён анализ предметной области и формализованы требования к сервису;</w:t>
      </w:r>
    </w:p>
    <w:p>
      <w:pPr>
        <w:pStyle w:val="ListBullet"/>
        <w:spacing w:line="360" w:lineRule="auto" w:after="0"/>
        <w:ind w:firstLine="0" w:left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изучены форматы реальных муниципальных постановлений и выработаны стратегии их разбора;</w:t>
      </w:r>
    </w:p>
    <w:p>
      <w:pPr>
        <w:pStyle w:val="ListBullet"/>
        <w:spacing w:line="360" w:lineRule="auto" w:after="0"/>
        <w:ind w:firstLine="0" w:left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спроектирована модель данных и слоистая архитектура приложения;</w:t>
      </w:r>
    </w:p>
    <w:p>
      <w:pPr>
        <w:pStyle w:val="ListBullet"/>
        <w:spacing w:line="360" w:lineRule="auto" w:after="0"/>
        <w:ind w:firstLine="0" w:left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реализован конвейер обработки постановления: извлечение текста, структурный парсинг таблиц, валидация и сохранение в базе данных;</w:t>
      </w:r>
    </w:p>
    <w:p>
      <w:pPr>
        <w:pStyle w:val="ListBullet"/>
        <w:spacing w:line="360" w:lineRule="auto" w:after="0"/>
        <w:ind w:firstLine="0" w:left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реализованы интеграции с внешними сервисами (DaData, GigaChat, ocr.space) с устойчивостью к их временной недоступности;</w:t>
      </w:r>
    </w:p>
    <w:p>
      <w:pPr>
        <w:pStyle w:val="ListBullet"/>
        <w:spacing w:line="360" w:lineRule="auto" w:after="0"/>
        <w:ind w:firstLine="0" w:left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разработан модуль поиска школы по адресу с устойчивым сопоставлением улиц и населённых пунктов;</w:t>
      </w:r>
    </w:p>
    <w:p>
      <w:pPr>
        <w:pStyle w:val="ListBullet"/>
        <w:spacing w:line="360" w:lineRule="auto" w:after="0"/>
        <w:ind w:firstLine="0" w:left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разработана административная панель для управления правилами и контроля качества данных;</w:t>
      </w:r>
    </w:p>
    <w:p>
      <w:pPr>
        <w:pStyle w:val="ListBullet"/>
        <w:spacing w:line="360" w:lineRule="auto" w:after="0"/>
        <w:ind w:firstLine="0" w:left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ключевая логика покрыта автоматическими тестами;</w:t>
      </w:r>
    </w:p>
    <w:p>
      <w:pPr>
        <w:pStyle w:val="ListBullet"/>
        <w:spacing w:line="360" w:lineRule="auto" w:after="0"/>
        <w:ind w:firstLine="0" w:left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выполнено ручное функциональное тестирование на реальных постановлениях трёх муниципалитетов.</w:t>
      </w:r>
    </w:p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1.3. Состав команды и распределение ролей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Работа над проектом велась командой из шести человек. Распределение ролей выполнено в соответствии с типовой структурой команды разработки программного продукта и с учётом профессиональных интересов участников.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Роль</w:t>
            </w:r>
          </w:p>
        </w:tc>
        <w:tc>
          <w:tcPr>
            <w:tcW w:type="dxa" w:w="4844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Зона ответственности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Руководитель проекта</w:t>
            </w:r>
          </w:p>
        </w:tc>
        <w:tc>
          <w:tcPr>
            <w:tcW w:type="dxa" w:w="4844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Планирование работ, постановка задач, контроль сроков и качества, управление рисками, координация коммуникаций между участниками.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Бизнес-аналитик</w:t>
            </w:r>
          </w:p>
        </w:tc>
        <w:tc>
          <w:tcPr>
            <w:tcW w:type="dxa" w:w="4844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Анализ предметной области и нормативной базы, выявление и формализация бизнес-требований, описание процессов AS-IS и TO-BE, анализ заинтересованных сторон, обоснование экономической целесообразности.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Системный аналитик</w:t>
            </w:r>
          </w:p>
        </w:tc>
        <w:tc>
          <w:tcPr>
            <w:tcW w:type="dxa" w:w="4844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Формализация функциональных и нефункциональных требований к программному обеспечению, проектирование архитектуры, построение UML-диаграмм, проектирование модели данных, разработка прототипов пользовательского интерфейса.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Разработчик сервиса</w:t>
            </w:r>
          </w:p>
        </w:tc>
        <w:tc>
          <w:tcPr>
            <w:tcW w:type="dxa" w:w="4844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Реализация серверной части на FastAPI: модель данных и доступ к БД, конвейер обработки документов, структурные парсеры таблиц, модуль поиска школы по адресу, валидатор правил, административная панель.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Разработчик ИИ-агентов</w:t>
            </w:r>
          </w:p>
        </w:tc>
        <w:tc>
          <w:tcPr>
            <w:tcW w:type="dxa" w:w="4844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Интеграция с большой языковой моделью GigaChat, инжиниринг промптов, разработка Pydantic-схем валидации ответов, реализация retry/backoff, регэксповой страховки и LLM-классификатора формата документа.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Тестировщик</w:t>
            </w:r>
          </w:p>
        </w:tc>
        <w:tc>
          <w:tcPr>
            <w:tcW w:type="dxa" w:w="4844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Разработка тест-плана и тест-кейсов, реализация автоматизированных модульных и интеграционных тестов, ручное функциональное тестирование на реальных постановлениях, ведение журнала найденных дефектов.</w:t>
            </w:r>
          </w:p>
        </w:tc>
      </w:tr>
    </w:tbl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/>
          <w:sz w:val="28"/>
        </w:rPr>
        <w:t>Подробное описание выполненной каждой ролью работы приведено в соответствующих индивидуальных частях отчёта.</w:t>
      </w:r>
    </w:p>
    <w:p>
      <w:r>
        <w:br w:type="page"/>
      </w:r>
    </w:p>
    <w:p>
      <w:pPr>
        <w:spacing w:line="360" w:lineRule="auto" w:before="360" w:after="24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32"/>
        </w:rPr>
        <w:t>Глава 2. Анализ предметной области</w:t>
      </w:r>
    </w:p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2.1. Муниципальные постановления о закреплении территорий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 соответствии с частью 6 статьи 9 Федерального закона от 29.12.2012 № 273-ФЗ «Об образовании в Российской Федерации» к полномочиям органов местного самоуправления относится закрепление муниципальных образовательных организаций за конкретными территориями городского округа (муниципального района). Это закрепление ежегодно оформляется постановлением администрации, основная содержательная часть которого представляет собой табличное приложение: для каждой школы перечисляются улицы и номера домов либо их диапазоны, формирующие зону приёма.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Изучение реальных постановлений (городов Перми, Берёзников и городского округа Балашиха) показало, что они существенно различаются как по формату файла, так и по структуре табличной части:</w:t>
      </w:r>
    </w:p>
    <w:p>
      <w:pPr>
        <w:pStyle w:val="ListBullet"/>
        <w:spacing w:line="360" w:lineRule="auto" w:after="0"/>
        <w:ind w:firstLine="0" w:left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постановления городов Перми и Перми (приложения в .pdf и .docx) оформлены многоколоночной таблицей вида «№ | Школа | Улица | Дома», при этом каждая строка таблицы соответствует одному правилу;</w:t>
      </w:r>
    </w:p>
    <w:p>
      <w:pPr>
        <w:pStyle w:val="ListBullet"/>
        <w:spacing w:line="360" w:lineRule="auto" w:after="0"/>
        <w:ind w:firstLine="0" w:left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постановления городского округа Балашиха (в .pdf) построены на двухколоночной таблице «Школа | Территория», в которой во второй колонке списком записаны улицы и описания домов одной школы;</w:t>
      </w:r>
    </w:p>
    <w:p>
      <w:pPr>
        <w:pStyle w:val="ListBullet"/>
        <w:spacing w:line="360" w:lineRule="auto" w:after="0"/>
        <w:ind w:firstLine="0" w:left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постановления города Берёзники (в .doc) не имеют табличной структуры — школы и территории описаны нумерованным сплошным текстом;</w:t>
      </w:r>
    </w:p>
    <w:p>
      <w:pPr>
        <w:pStyle w:val="ListBullet"/>
        <w:spacing w:line="360" w:lineRule="auto" w:after="0"/>
        <w:ind w:firstLine="0" w:left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часть документов представлена в виде скан-PDF без текстового слоя, что требует применения оптического распознавания (OCR).</w:t>
      </w:r>
    </w:p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2.2. Особенности входных данных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Помимо разнородности форматов сами правила, описывающие зоны приёма школы, обладают рядом характерных особенностей, существенно усложняющих их машинную обработку:</w:t>
      </w:r>
    </w:p>
    <w:p>
      <w:pPr>
        <w:pStyle w:val="ListBullet"/>
        <w:spacing w:line="360" w:lineRule="auto" w:after="0"/>
        <w:ind w:firstLine="0" w:left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название улицы записано в нескольких вариантах: со словом «улица» впереди или позади, в сокращённой или полной форме; одна и та же улица в разных постановлениях может называться по-разному;</w:t>
      </w:r>
    </w:p>
    <w:p>
      <w:pPr>
        <w:pStyle w:val="ListBullet"/>
        <w:spacing w:line="360" w:lineRule="auto" w:after="0"/>
        <w:ind w:firstLine="0" w:left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номера домов задаются разнообразными способами: единственный номер, перечень номеров, диапазон «с N по M», диапазон с ограничением чётности, обобщённые конструкции «весь дом», «начиная с дома N», «до дома N»;</w:t>
      </w:r>
    </w:p>
    <w:p>
      <w:pPr>
        <w:pStyle w:val="ListBullet"/>
        <w:spacing w:line="360" w:lineRule="auto" w:after="0"/>
        <w:ind w:firstLine="0" w:left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присутствуют исключения вида «все дома по улице за исключением N, M, K», которые корректно интерпретируются только как сочетание общего правила и набора исключаемых номеров;</w:t>
      </w:r>
    </w:p>
    <w:p>
      <w:pPr>
        <w:pStyle w:val="ListBullet"/>
        <w:spacing w:line="360" w:lineRule="auto" w:after="0"/>
        <w:ind w:firstLine="0" w:left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присутствуют алиасы улиц вида «Монастырская (Орджоникидзе)» — одна и та же территория описана старым и новым названиями;</w:t>
      </w:r>
    </w:p>
    <w:p>
      <w:pPr>
        <w:pStyle w:val="ListBullet"/>
        <w:spacing w:line="360" w:lineRule="auto" w:after="0"/>
        <w:ind w:firstLine="0" w:left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одно постановление может содержать многостраничную таблицу, в которой имя школы указано только в первой строке группы — continuation-строки в таблице приходится связывать со школой по контексту, в том числе через границу страниц.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Совокупность перечисленных особенностей формирует запрос на систему, которая способна автоматически извлекать текст и таблицы из документов произвольных форматов, корректно интерпретировать различные структуры табличного представления правил, восстанавливать недостающие данные из сырого текста и сохранять результат в нормализованном виде, удобном для поиска по адресу.</w:t>
      </w:r>
    </w:p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2.3. Краткий обзор существующих решений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Задача поиска закреплённой школы по адресу частично решается рядом существующих сервисов, ни один из которых, однако, не закрывает её целиком. Краткое сопоставление приведено в таблице 2.1; развёрнутый конкурентный анализ выполнен в индивидуальной части бизнес-аналитика.</w:t>
      </w:r>
    </w:p>
    <w:p>
      <w:pPr>
        <w:spacing w:line="360" w:lineRule="auto" w:after="0" w:before="0"/>
        <w:jc w:val="both"/>
      </w:pPr>
      <w:r>
        <w:rPr>
          <w:rFonts w:ascii="Times New Roman" w:hAnsi="Times New Roman" w:eastAsia="Times New Roman" w:cs="Times New Roman"/>
          <w:b w:val="0"/>
          <w:i/>
          <w:sz w:val="28"/>
        </w:rPr>
        <w:t>Таблица 2.1 — Сравнительная характеристика существующих решений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Решение</w:t>
            </w:r>
          </w:p>
        </w:tc>
        <w:tc>
          <w:tcPr>
            <w:tcW w:type="dxa" w:w="193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Поддержка форматов</w:t>
            </w:r>
          </w:p>
        </w:tc>
        <w:tc>
          <w:tcPr>
            <w:tcW w:type="dxa" w:w="193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Структурный разбор</w:t>
            </w:r>
          </w:p>
        </w:tc>
        <w:tc>
          <w:tcPr>
            <w:tcW w:type="dxa" w:w="193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Поиск по адресу</w:t>
            </w:r>
          </w:p>
        </w:tc>
        <w:tc>
          <w:tcPr>
            <w:tcW w:type="dxa" w:w="193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Ограничения</w:t>
            </w:r>
          </w:p>
        </w:tc>
      </w:tr>
      <w:tr>
        <w:tc>
          <w:tcPr>
            <w:tcW w:type="dxa" w:w="193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Региональные ГИС-порталы</w:t>
            </w:r>
          </w:p>
        </w:tc>
        <w:tc>
          <w:tcPr>
            <w:tcW w:type="dxa" w:w="193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93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Ручное наполнение</w:t>
            </w:r>
          </w:p>
        </w:tc>
        <w:tc>
          <w:tcPr>
            <w:tcW w:type="dxa" w:w="193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Есть (по карте)</w:t>
            </w:r>
          </w:p>
        </w:tc>
        <w:tc>
          <w:tcPr>
            <w:tcW w:type="dxa" w:w="193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Закрытый код, ручной ввод, отсутствует в большинстве регионов</w:t>
            </w:r>
          </w:p>
        </w:tc>
      </w:tr>
      <w:tr>
        <w:tc>
          <w:tcPr>
            <w:tcW w:type="dxa" w:w="193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Сервис «Найди свою школу» на Госуслугах</w:t>
            </w:r>
          </w:p>
        </w:tc>
        <w:tc>
          <w:tcPr>
            <w:tcW w:type="dxa" w:w="193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93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Закрытый алгоритм</w:t>
            </w:r>
          </w:p>
        </w:tc>
        <w:tc>
          <w:tcPr>
            <w:tcW w:type="dxa" w:w="193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Есть</w:t>
            </w:r>
          </w:p>
        </w:tc>
        <w:tc>
          <w:tcPr>
            <w:tcW w:type="dxa" w:w="193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Нет доступа для специалистов УО, нет открытого API</w:t>
            </w:r>
          </w:p>
        </w:tc>
      </w:tr>
      <w:tr>
        <w:tc>
          <w:tcPr>
            <w:tcW w:type="dxa" w:w="193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OCR-системы (ABBYY, Tesseract)</w:t>
            </w:r>
          </w:p>
        </w:tc>
        <w:tc>
          <w:tcPr>
            <w:tcW w:type="dxa" w:w="193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PDF, скан</w:t>
            </w:r>
          </w:p>
        </w:tc>
        <w:tc>
          <w:tcPr>
            <w:tcW w:type="dxa" w:w="193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Только OCR</w:t>
            </w:r>
          </w:p>
        </w:tc>
        <w:tc>
          <w:tcPr>
            <w:tcW w:type="dxa" w:w="193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Нет</w:t>
            </w:r>
          </w:p>
        </w:tc>
        <w:tc>
          <w:tcPr>
            <w:tcW w:type="dxa" w:w="193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Структурный разбор и поиск остаются на пользователе</w:t>
            </w:r>
          </w:p>
        </w:tc>
      </w:tr>
      <w:tr>
        <w:tc>
          <w:tcPr>
            <w:tcW w:type="dxa" w:w="193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Большие языковые модели как самостоятельное решение</w:t>
            </w:r>
          </w:p>
        </w:tc>
        <w:tc>
          <w:tcPr>
            <w:tcW w:type="dxa" w:w="193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Любые форматы (текст)</w:t>
            </w:r>
          </w:p>
        </w:tc>
        <w:tc>
          <w:tcPr>
            <w:tcW w:type="dxa" w:w="193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Полный, но нестабильный</w:t>
            </w:r>
          </w:p>
        </w:tc>
        <w:tc>
          <w:tcPr>
            <w:tcW w:type="dxa" w:w="193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Нет</w:t>
            </w:r>
          </w:p>
        </w:tc>
        <w:tc>
          <w:tcPr>
            <w:tcW w:type="dxa" w:w="193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Высокая стоимость, пропуски, нарушения схемы JSON</w:t>
            </w:r>
          </w:p>
        </w:tc>
      </w:tr>
      <w:tr>
        <w:tc>
          <w:tcPr>
            <w:tcW w:type="dxa" w:w="193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Разрабатываемая система</w:t>
            </w:r>
          </w:p>
        </w:tc>
        <w:tc>
          <w:tcPr>
            <w:tcW w:type="dxa" w:w="193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.doc, .docx, .pdf, скан</w:t>
            </w:r>
          </w:p>
        </w:tc>
        <w:tc>
          <w:tcPr>
            <w:tcW w:type="dxa" w:w="193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Структурный + LLM-страховка</w:t>
            </w:r>
          </w:p>
        </w:tc>
        <w:tc>
          <w:tcPr>
            <w:tcW w:type="dxa" w:w="193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Есть, с DaData-нормализацией</w:t>
            </w:r>
          </w:p>
        </w:tc>
        <w:tc>
          <w:tcPr>
            <w:tcW w:type="dxa" w:w="193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Учебный прототип, требует доработки авторизации и миграций</w:t>
            </w:r>
          </w:p>
        </w:tc>
      </w:tr>
    </w:tbl>
    <w:p>
      <w:r>
        <w:br w:type="page"/>
      </w:r>
    </w:p>
    <w:p>
      <w:pPr>
        <w:spacing w:line="360" w:lineRule="auto" w:before="360" w:after="24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32"/>
        </w:rPr>
        <w:t>Глава 3. Архитектура и стек технологий решения</w:t>
      </w:r>
    </w:p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3.1. Общее описание системы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Разработанное приложение представляет собой монолитный веб-сервис на базе фреймворка FastAPI с серверным рендерингом пользовательского интерфейса (шаблонизатор Jinja2). Принципиальное архитектурное решение — изоляция каждой предметной подсистемы в отдельный пакет в директории `app/services/&lt;domain&gt;/`. Это обеспечивает независимое развитие парсеров, поиска, интеграций и валидации без взаимного влияния и упрощает командную разработку: разные участники могут работать в разных пакетах без конфликтов.</w:t>
      </w:r>
    </w:p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3.2. Верхнеуровневая архитектура</w:t>
      </w:r>
    </w:p>
    <w:p>
      <w:pPr>
        <w:spacing w:line="360" w:lineRule="auto" w:after="0" w:before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Архитектура приложения схематично представлена на рисунке 3.1.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Уровень представления реализован эндпоинтами FastAPI и набором HTML-шаблонов Jinja2. Уровень доменных сервисов содержит изолированные пакеты parser, search, address, dadata, ai, ocr, validation, каждый из которых отвечает за свою предметную задачу. Уровень доступа к данным реализован средствами SQLAlchemy 2.x поверх СУБД SQLite. Конфигурация вынесена в отдельный пакет на основе pydantic-settings и переменных окружения. Внешние интеграции: DaData (нормализация адреса и подсказки), GigaChat (большая языковая модель для разбора нестандартных документов), ocr.space (распознавание сканированных PDF).</w:t>
      </w:r>
    </w:p>
    <w:p>
      <w:pPr>
        <w:spacing w:line="360" w:lineRule="auto" w:after="0" w:before="0"/>
        <w:jc w:val="both"/>
      </w:pPr>
      <w:r>
        <w:rPr>
          <w:rFonts w:ascii="Times New Roman" w:hAnsi="Times New Roman" w:eastAsia="Times New Roman" w:cs="Times New Roman"/>
          <w:b w:val="0"/>
          <w:i/>
          <w:sz w:val="28"/>
        </w:rPr>
        <w:t>Рисунок 3.1 — Верхнеуровневая архитектура веб-сервиса</w:t>
      </w:r>
    </w:p>
    <w:p>
      <w:pPr>
        <w:spacing w:line="360" w:lineRule="auto" w:after="0" w:before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┌──────────────────────────────────────────────────────────┐</w:t>
      </w:r>
    </w:p>
    <w:p>
      <w:pPr>
        <w:spacing w:line="360" w:lineRule="auto" w:after="0" w:before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│  Браузер пользователя (родитель / администратор УО)      │</w:t>
      </w:r>
    </w:p>
    <w:p>
      <w:pPr>
        <w:spacing w:line="360" w:lineRule="auto" w:after="0" w:before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└─────────────────────────────┬────────────────────────────┘</w:t>
      </w:r>
    </w:p>
    <w:p>
      <w:pPr>
        <w:spacing w:line="360" w:lineRule="auto" w:after="0" w:before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                              │ HTTP/HTML/JSON</w:t>
      </w:r>
    </w:p>
    <w:p>
      <w:pPr>
        <w:spacing w:line="360" w:lineRule="auto" w:after="0" w:before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┌─────────────────────────────▼────────────────────────────┐</w:t>
      </w:r>
    </w:p>
    <w:p>
      <w:pPr>
        <w:spacing w:line="360" w:lineRule="auto" w:after="0" w:before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│            FastAPI · уровень представления               │</w:t>
      </w:r>
    </w:p>
    <w:p>
      <w:pPr>
        <w:spacing w:line="360" w:lineRule="auto" w:after="0" w:before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│         (эндпоинты / шаблоны Jinja2 / формы)             │</w:t>
      </w:r>
    </w:p>
    <w:p>
      <w:pPr>
        <w:spacing w:line="360" w:lineRule="auto" w:after="0" w:before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└─────────────────────────────┬────────────────────────────┘</w:t>
      </w:r>
    </w:p>
    <w:p>
      <w:pPr>
        <w:spacing w:line="360" w:lineRule="auto" w:after="0" w:before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┌─────────────────────────────▼────────────────────────────┐</w:t>
      </w:r>
    </w:p>
    <w:p>
      <w:pPr>
        <w:spacing w:line="360" w:lineRule="auto" w:after="0" w:before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│  Доменные сервисы (app/services/&lt;domain&gt;/):              │</w:t>
      </w:r>
    </w:p>
    <w:p>
      <w:pPr>
        <w:spacing w:line="360" w:lineRule="auto" w:after="0" w:before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│  parser · search · address · dadata · ai · ocr · validation │</w:t>
      </w:r>
    </w:p>
    <w:p>
      <w:pPr>
        <w:spacing w:line="360" w:lineRule="auto" w:after="0" w:before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└──────┬─────────────┬──────────────┬──────────────┬──────┘</w:t>
      </w:r>
    </w:p>
    <w:p>
      <w:pPr>
        <w:spacing w:line="360" w:lineRule="auto" w:after="0" w:before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       │             │              │              │</w:t>
      </w:r>
    </w:p>
    <w:p>
      <w:pPr>
        <w:spacing w:line="360" w:lineRule="auto" w:after="0" w:before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       ▼             ▼              ▼              ▼</w:t>
      </w:r>
    </w:p>
    <w:p>
      <w:pPr>
        <w:spacing w:line="360" w:lineRule="auto" w:after="0" w:before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┌──────────┐   ┌──────────┐   ┌──────────┐   ┌──────────┐</w:t>
      </w:r>
    </w:p>
    <w:p>
      <w:pPr>
        <w:spacing w:line="360" w:lineRule="auto" w:after="0" w:before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│ SQLite   │   │ DaData   │   │ GigaChat │   │ ocr.space│</w:t>
      </w:r>
    </w:p>
    <w:p>
      <w:pPr>
        <w:spacing w:line="360" w:lineRule="auto" w:after="0" w:before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│ (БД)     │   │ (адреса) │   │ (LLM)    │   │ (OCR)    │</w:t>
      </w:r>
    </w:p>
    <w:p>
      <w:pPr>
        <w:spacing w:line="360" w:lineRule="auto" w:after="0" w:before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└──────────┘   └──────────┘   └──────────┘   └──────────┘</w:t>
      </w:r>
    </w:p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3.3. Стек технологий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При выборе инструментов команда исходила из требований к языку (Python 3.11+ как наиболее удобный для задач NLP и парсинга), необходимости использования бесплатных и открытых компонентов и ориентации на типовой стек российских веб-сервисов. Состав технологий приведён в таблице 3.1.</w:t>
      </w:r>
    </w:p>
    <w:p>
      <w:pPr>
        <w:spacing w:line="360" w:lineRule="auto" w:after="0" w:before="0"/>
        <w:jc w:val="both"/>
      </w:pPr>
      <w:r>
        <w:rPr>
          <w:rFonts w:ascii="Times New Roman" w:hAnsi="Times New Roman" w:eastAsia="Times New Roman" w:cs="Times New Roman"/>
          <w:b w:val="0"/>
          <w:i/>
          <w:sz w:val="28"/>
        </w:rPr>
        <w:t>Таблица 3.1 — Стек технологий проекта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Слой</w:t>
            </w:r>
          </w:p>
        </w:tc>
        <w:tc>
          <w:tcPr>
            <w:tcW w:type="dxa" w:w="4844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Технологии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Backend</w:t>
            </w:r>
          </w:p>
        </w:tc>
        <w:tc>
          <w:tcPr>
            <w:tcW w:type="dxa" w:w="4844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Python 3.11+, FastAPI, Uvicorn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ORM и СУБД</w:t>
            </w:r>
          </w:p>
        </w:tc>
        <w:tc>
          <w:tcPr>
            <w:tcW w:type="dxa" w:w="4844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SQLAlchemy 2.x, SQLite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Шаблоны</w:t>
            </w:r>
          </w:p>
        </w:tc>
        <w:tc>
          <w:tcPr>
            <w:tcW w:type="dxa" w:w="4844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Jinja2 (server-side rendering)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Конфигурация</w:t>
            </w:r>
          </w:p>
        </w:tc>
        <w:tc>
          <w:tcPr>
            <w:tcW w:type="dxa" w:w="4844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pydantic-settings, .env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Адресный сервис</w:t>
            </w:r>
          </w:p>
        </w:tc>
        <w:tc>
          <w:tcPr>
            <w:tcW w:type="dxa" w:w="4844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DaData (методы suggest, clean)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Большая языковая модель</w:t>
            </w:r>
          </w:p>
        </w:tc>
        <w:tc>
          <w:tcPr>
            <w:tcW w:type="dxa" w:w="4844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GigaChat (Сбер) с retry/backoff на SSL/429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Валидация ответов LLM</w:t>
            </w:r>
          </w:p>
        </w:tc>
        <w:tc>
          <w:tcPr>
            <w:tcW w:type="dxa" w:w="4844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Pydantic v2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Таблицы из PDF</w:t>
            </w:r>
          </w:p>
        </w:tc>
        <w:tc>
          <w:tcPr>
            <w:tcW w:type="dxa" w:w="4844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pdfplumber (4 стратегии) + PyMuPDF fallback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Таблицы из DOCX</w:t>
            </w:r>
          </w:p>
        </w:tc>
        <w:tc>
          <w:tcPr>
            <w:tcW w:type="dxa" w:w="4844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python-docx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.doc → .docx</w:t>
            </w:r>
          </w:p>
        </w:tc>
        <w:tc>
          <w:tcPr>
            <w:tcW w:type="dxa" w:w="4844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LibreOffice headless / macOS textutil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OCR для сканов</w:t>
            </w:r>
          </w:p>
        </w:tc>
        <w:tc>
          <w:tcPr>
            <w:tcW w:type="dxa" w:w="4844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ocr.space API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Автотесты</w:t>
            </w:r>
          </w:p>
        </w:tc>
        <w:tc>
          <w:tcPr>
            <w:tcW w:type="dxa" w:w="4844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pytest, FastAPI TestClient</w:t>
            </w:r>
          </w:p>
        </w:tc>
      </w:tr>
    </w:tbl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3.4. Модель данных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Модель данных реализована средствами SQLAlchemy 2.x и описывается четырьмя сущностями: муниципалитет (Municipality), школа (School), постановление (Decree) и правило закрепления адреса за школой (AddressRule). Между сущностями установлены связи «один-ко-многим»: одно муниципальное образование содержит много школ и издаёт много постановлений; за одной школой закреплено множество правил; одно постановление содержит множество правил. Детальное описание модели данных приведено в индивидуальной части системного аналитика.</w:t>
      </w:r>
    </w:p>
    <w:p>
      <w:pPr>
        <w:spacing w:line="360" w:lineRule="auto" w:after="0" w:before="0"/>
        <w:jc w:val="both"/>
      </w:pPr>
      <w:r>
        <w:rPr>
          <w:rFonts w:ascii="Times New Roman" w:hAnsi="Times New Roman" w:eastAsia="Times New Roman" w:cs="Times New Roman"/>
          <w:b w:val="0"/>
          <w:i/>
          <w:sz w:val="28"/>
        </w:rPr>
        <w:t>Таблица 3.2 — Сущности модели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Сущность</w:t>
            </w:r>
          </w:p>
        </w:tc>
        <w:tc>
          <w:tcPr>
            <w:tcW w:type="dxa" w:w="4844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Municipality</w:t>
            </w:r>
          </w:p>
        </w:tc>
        <w:tc>
          <w:tcPr>
            <w:tcW w:type="dxa" w:w="4844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Муниципальные образования (Пермь, Берёзники, Балашиха)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School</w:t>
            </w:r>
          </w:p>
        </w:tc>
        <w:tc>
          <w:tcPr>
            <w:tcW w:type="dxa" w:w="4844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Общеобразовательные организации, входящие в муниципалитет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Decree</w:t>
            </w:r>
          </w:p>
        </w:tc>
        <w:tc>
          <w:tcPr>
            <w:tcW w:type="dxa" w:w="4844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Постановление-источник, из которого извлечены правила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AddressRule</w:t>
            </w:r>
          </w:p>
        </w:tc>
        <w:tc>
          <w:tcPr>
            <w:tcW w:type="dxa" w:w="4844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Правило закрепления: улица + описание домов → школа; содержит как структурные поля (тип правила, чётность, диапазоны, исключения), так и исходный текст правила</w:t>
            </w:r>
          </w:p>
        </w:tc>
      </w:tr>
    </w:tbl>
    <w:p>
      <w:r>
        <w:br w:type="page"/>
      </w:r>
    </w:p>
    <w:p>
      <w:pPr>
        <w:spacing w:line="360" w:lineRule="auto" w:before="360" w:after="24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32"/>
        </w:rPr>
        <w:t>Глава 4. Ход выполнения проекта</w:t>
      </w:r>
    </w:p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4.1. Этапы работы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Работа над проектом велась по последовательно-итеративной схеме: после первичного формирования требований и архитектуры команда переходила к параллельной реализации, периодически возвращаясь к уточнению ранее принятых решений по мере поступления новых наблюдений. Основные этапы выполнения проекта приведены в таблице 4.1.</w:t>
      </w:r>
    </w:p>
    <w:p>
      <w:pPr>
        <w:spacing w:line="360" w:lineRule="auto" w:after="0" w:before="0"/>
        <w:jc w:val="both"/>
      </w:pPr>
      <w:r>
        <w:rPr>
          <w:rFonts w:ascii="Times New Roman" w:hAnsi="Times New Roman" w:eastAsia="Times New Roman" w:cs="Times New Roman"/>
          <w:b w:val="0"/>
          <w:i/>
          <w:sz w:val="28"/>
        </w:rPr>
        <w:t>Таблица 4.1 — Этапы выполнения проекта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№</w:t>
            </w:r>
          </w:p>
        </w:tc>
        <w:tc>
          <w:tcPr>
            <w:tcW w:type="dxa" w:w="2422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Этап</w:t>
            </w:r>
          </w:p>
        </w:tc>
        <w:tc>
          <w:tcPr>
            <w:tcW w:type="dxa" w:w="2422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Ключевые активности</w:t>
            </w:r>
          </w:p>
        </w:tc>
        <w:tc>
          <w:tcPr>
            <w:tcW w:type="dxa" w:w="2422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Ответственные роли</w:t>
            </w:r>
          </w:p>
        </w:tc>
      </w:tr>
      <w:tr>
        <w:tc>
          <w:tcPr>
            <w:tcW w:type="dxa" w:w="2422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2422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Анализ предметной области</w:t>
            </w:r>
          </w:p>
        </w:tc>
        <w:tc>
          <w:tcPr>
            <w:tcW w:type="dxa" w:w="2422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Изучение нормативной базы, сбор реальных постановлений, анализ заинтересованных сторон, формирование бизнес-требований</w:t>
            </w:r>
          </w:p>
        </w:tc>
        <w:tc>
          <w:tcPr>
            <w:tcW w:type="dxa" w:w="2422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Бизнес-аналитик, руководитель</w:t>
            </w:r>
          </w:p>
        </w:tc>
      </w:tr>
      <w:tr>
        <w:tc>
          <w:tcPr>
            <w:tcW w:type="dxa" w:w="2422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2</w:t>
            </w:r>
          </w:p>
        </w:tc>
        <w:tc>
          <w:tcPr>
            <w:tcW w:type="dxa" w:w="2422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Формализация требований</w:t>
            </w:r>
          </w:p>
        </w:tc>
        <w:tc>
          <w:tcPr>
            <w:tcW w:type="dxa" w:w="2422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Каталог функциональных и нефункциональных требований, use case-диаграмма, прецеденты, ER-модель, прототипы интерфейса</w:t>
            </w:r>
          </w:p>
        </w:tc>
        <w:tc>
          <w:tcPr>
            <w:tcW w:type="dxa" w:w="2422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Системный аналитик</w:t>
            </w:r>
          </w:p>
        </w:tc>
      </w:tr>
      <w:tr>
        <w:tc>
          <w:tcPr>
            <w:tcW w:type="dxa" w:w="2422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3</w:t>
            </w:r>
          </w:p>
        </w:tc>
        <w:tc>
          <w:tcPr>
            <w:tcW w:type="dxa" w:w="2422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Проектирование архитектуры</w:t>
            </w:r>
          </w:p>
        </w:tc>
        <w:tc>
          <w:tcPr>
            <w:tcW w:type="dxa" w:w="2422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Разбиение на слои и сервисы, проектирование конвейера обработки документов, выбор стека технологий</w:t>
            </w:r>
          </w:p>
        </w:tc>
        <w:tc>
          <w:tcPr>
            <w:tcW w:type="dxa" w:w="2422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Системный аналитик, разработчики</w:t>
            </w:r>
          </w:p>
        </w:tc>
      </w:tr>
      <w:tr>
        <w:tc>
          <w:tcPr>
            <w:tcW w:type="dxa" w:w="2422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4</w:t>
            </w:r>
          </w:p>
        </w:tc>
        <w:tc>
          <w:tcPr>
            <w:tcW w:type="dxa" w:w="2422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Разработка сервисной части</w:t>
            </w:r>
          </w:p>
        </w:tc>
        <w:tc>
          <w:tcPr>
            <w:tcW w:type="dxa" w:w="2422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Каркас FastAPI, модель данных, конвейер парсинга, интеграция с DaData, поиск школы по адресу, валидатор, административная панель</w:t>
            </w:r>
          </w:p>
        </w:tc>
        <w:tc>
          <w:tcPr>
            <w:tcW w:type="dxa" w:w="2422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Разработчик сервиса</w:t>
            </w:r>
          </w:p>
        </w:tc>
      </w:tr>
      <w:tr>
        <w:tc>
          <w:tcPr>
            <w:tcW w:type="dxa" w:w="2422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5</w:t>
            </w:r>
          </w:p>
        </w:tc>
        <w:tc>
          <w:tcPr>
            <w:tcW w:type="dxa" w:w="2422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Разработка интеллектуальной части</w:t>
            </w:r>
          </w:p>
        </w:tc>
        <w:tc>
          <w:tcPr>
            <w:tcW w:type="dxa" w:w="2422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Интеграция с GigaChat, инжиниринг промптов, Pydantic-схемы, retry/backoff, регэксповая страховка, классификатор формата</w:t>
            </w:r>
          </w:p>
        </w:tc>
        <w:tc>
          <w:tcPr>
            <w:tcW w:type="dxa" w:w="2422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Разработчик ИИ-агентов</w:t>
            </w:r>
          </w:p>
        </w:tc>
      </w:tr>
      <w:tr>
        <w:tc>
          <w:tcPr>
            <w:tcW w:type="dxa" w:w="2422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6</w:t>
            </w:r>
          </w:p>
        </w:tc>
        <w:tc>
          <w:tcPr>
            <w:tcW w:type="dxa" w:w="2422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Тестирование</w:t>
            </w:r>
          </w:p>
        </w:tc>
        <w:tc>
          <w:tcPr>
            <w:tcW w:type="dxa" w:w="2422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Модульные и интеграционные автотесты, ручное функциональное тестирование на реальных постановлениях, ведение журнала дефектов</w:t>
            </w:r>
          </w:p>
        </w:tc>
        <w:tc>
          <w:tcPr>
            <w:tcW w:type="dxa" w:w="2422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Тестировщик</w:t>
            </w:r>
          </w:p>
        </w:tc>
      </w:tr>
      <w:tr>
        <w:tc>
          <w:tcPr>
            <w:tcW w:type="dxa" w:w="2422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7</w:t>
            </w:r>
          </w:p>
        </w:tc>
        <w:tc>
          <w:tcPr>
            <w:tcW w:type="dxa" w:w="2422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Подготовка отчётности</w:t>
            </w:r>
          </w:p>
        </w:tc>
        <w:tc>
          <w:tcPr>
            <w:tcW w:type="dxa" w:w="2422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Сборка отчёта, оформление общей и индивидуальных частей, защита</w:t>
            </w:r>
          </w:p>
        </w:tc>
        <w:tc>
          <w:tcPr>
            <w:tcW w:type="dxa" w:w="2422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Все участники</w:t>
            </w:r>
          </w:p>
        </w:tc>
      </w:tr>
    </w:tbl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4.2. Распределение ответственности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 соответствии с принятыми ролями ответственность за результаты распределена следующим образом. Руководитель проекта обеспечил планирование работ, контроль сроков и качества, управление рисками. Бизнес-аналитик отвечал за анализ нормативной базы и стейкхолдеров, формулирование бизнес-требований и обоснование экономической целесообразности. Системный аналитик отвечал за формализацию требований к программному обеспечению, проектирование архитектуры и построение UML-диаграмм. Разработчик сервиса реализовал серверную часть приложения и интеграцию с DaData. Разработчик ИИ-агентов реализовал интеграцию с большой языковой моделью и сопровождающие её механизмы устойчивости. Тестировщик разработал стратегию тестирования и выполнил автоматизированное и ручное тестирование.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Граница между ответственностью разработчика сервиса и разработчика ИИ-агентов проходит по интерфейсу диспетчера парсинга (`universal_parser`): структурные стратегии разбора (multi-column и two-column) и весь backend относятся к зоне разработчика сервиса; всё, что касается обращений к LLM, обработки её ответов и регэксповой страховки, — к зоне разработчика ИИ-агентов. Эта граница позволила обеим ролям работать параллельно с минимальной координацией.</w:t>
      </w:r>
    </w:p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4.3. Коммуникация в команде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Координация работы команды строилась на следующих принципах. Регулярные созвоны команды проводились еженедельно для обсуждения статуса задач, выявления блокирующих зависимостей и согласования архитектурных решений. Текущее общение и обмен артефактами велись в общем чате. Исходный код, отчётность и сопутствующие материалы размещались в общем git-репозитории; для каждой роли выделена отдельная ветка разработки, с регулярными merge'ами в основную ветку после согласования. Промежуточные сборки приложения регулярно демонстрировались внутри команды на встречах для получения обратной связи.</w:t>
      </w:r>
    </w:p>
    <w:p>
      <w:r>
        <w:br w:type="page"/>
      </w:r>
    </w:p>
    <w:p>
      <w:pPr>
        <w:spacing w:line="360" w:lineRule="auto" w:before="360" w:after="24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32"/>
        </w:rPr>
        <w:t>Глава 5. Итоги работы и перспективы развития</w:t>
      </w:r>
    </w:p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5.1. Достигнутые результаты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 рамках группового проекта разработан и протестирован прототип веб-сервиса определения школы по адресу проживания на основе муниципальных постановлений. Основные достигнутые результаты:</w:t>
      </w:r>
    </w:p>
    <w:p>
      <w:pPr>
        <w:pStyle w:val="ListBullet"/>
        <w:spacing w:line="360" w:lineRule="auto" w:after="0"/>
        <w:ind w:firstLine="0" w:left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проведён анализ предметной области и изучены реальные постановления трёх муниципалитетов (городов Перми, Берёзников и городского округа Балашиха), выявлены три различные формы табличного представления правил;</w:t>
      </w:r>
    </w:p>
    <w:p>
      <w:pPr>
        <w:pStyle w:val="ListBullet"/>
        <w:spacing w:line="360" w:lineRule="auto" w:after="0"/>
        <w:ind w:firstLine="0" w:left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сформулированы и формализованы 11 функциональных и 6 нефункциональных требований, разработаны UML-диаграммы прецедентов и компонентов, построена ER-модель из четырёх сущностей;</w:t>
      </w:r>
    </w:p>
    <w:p>
      <w:pPr>
        <w:pStyle w:val="ListBullet"/>
        <w:spacing w:line="360" w:lineRule="auto" w:after="0"/>
        <w:ind w:firstLine="0" w:left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реализована послойная архитектура приложения с изоляцией каждой доменной подсистемы (parser, search, address, dadata, ai, ocr, validation) в отдельный пакет;</w:t>
      </w:r>
    </w:p>
    <w:p>
      <w:pPr>
        <w:pStyle w:val="ListBullet"/>
        <w:spacing w:line="360" w:lineRule="auto" w:after="0"/>
        <w:ind w:firstLine="0" w:left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реализован многоступенчатый конвейер обработки постановления, выполняющий структурный анализ табличной части документа до обращения к большой языковой модели; для постановлений Пермского края LLM не вызывается вовсе, что обеспечивает мгновенную и бесплатную обработку;</w:t>
      </w:r>
    </w:p>
    <w:p>
      <w:pPr>
        <w:pStyle w:val="ListBullet"/>
        <w:spacing w:line="360" w:lineRule="auto" w:after="0"/>
        <w:ind w:firstLine="0" w:left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реализованы две стратегии структурного разбора таблиц (MultiColumnParserStrategy и TwoColumnParserStrategy) и LLM-fallback для нестандартных документов, что покрыло все встретившиеся в реальных данных форматы;</w:t>
      </w:r>
    </w:p>
    <w:p>
      <w:pPr>
        <w:pStyle w:val="ListBullet"/>
        <w:spacing w:line="360" w:lineRule="auto" w:after="0"/>
        <w:ind w:firstLine="0" w:left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разработаны механизмы устойчивости к нестабильности внешних сервисов: универсальный retry с экспоненциальным backoff для GigaChat, локальный regex-парсер адреса как fallback к DaData, параллельный регэксповый fallback на территорию школы для подстраховки LLM;</w:t>
      </w:r>
    </w:p>
    <w:p>
      <w:pPr>
        <w:pStyle w:val="ListBullet"/>
        <w:spacing w:line="360" w:lineRule="auto" w:after="0"/>
        <w:ind w:firstLine="0" w:left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реализован модуль поиска школы по адресу с авторской техникой толерантного матча населённого пункта, учитывающей падежные окончания и букву «ё»;</w:t>
      </w:r>
    </w:p>
    <w:p>
      <w:pPr>
        <w:pStyle w:val="ListBullet"/>
        <w:spacing w:line="360" w:lineRule="auto" w:after="0"/>
        <w:ind w:firstLine="0" w:left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реализован валидатор правил, автоматически выявляющий пять типов проблем целостности данных, включая пересечения правил между школами;</w:t>
      </w:r>
    </w:p>
    <w:p>
      <w:pPr>
        <w:pStyle w:val="ListBullet"/>
        <w:spacing w:line="360" w:lineRule="auto" w:after="0"/>
        <w:ind w:firstLine="0" w:left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разработана и применена автоматизированная стратегия тестирования: модульные и интеграционные тесты покрывают ключевую логику парсеров, нормализации, поиска и валидации; выполнено ручное функциональное тестирование на четырёх реальных постановлениях.</w:t>
      </w:r>
    </w:p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5.2. Практическая значимость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Разработанный прототип применим в работе муниципальных управлений образования: загрузка нового постановления требует от сотрудника лишь выбора файла и подтверждения результата парсинга, после чего сервис готов обслуживать запросы родителей о закреплённой школе. Двухступенчатая архитектура парсинга (структурный анализ до LLM) делает решение экономически эффективным даже при большом объёме постановлений и снижает зависимость от внешних платных сервисов.</w:t>
      </w:r>
    </w:p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5.3. Направления дальнейшего развития</w:t>
      </w:r>
    </w:p>
    <w:p>
      <w:pPr>
        <w:spacing w:line="360" w:lineRule="auto" w:after="0" w:before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На основе анализа реализованного прототипа выделены следующие направления дальнейшего развития системы:</w:t>
      </w:r>
    </w:p>
    <w:p>
      <w:pPr>
        <w:pStyle w:val="ListBullet"/>
        <w:spacing w:line="360" w:lineRule="auto" w:after="0"/>
        <w:ind w:firstLine="0" w:left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внедрение аутентификации административной панели и защиты от path traversal в эндпоинте загрузки постановления — закрытие критических уязвимостей текущего прототипа;</w:t>
      </w:r>
    </w:p>
    <w:p>
      <w:pPr>
        <w:pStyle w:val="ListBullet"/>
        <w:spacing w:line="360" w:lineRule="auto" w:after="0"/>
        <w:ind w:firstLine="0" w:left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перевод тяжёлых операций (OCR, цепочки LLM-вызовов) в асинхронные фоновые задачи;</w:t>
      </w:r>
    </w:p>
    <w:p>
      <w:pPr>
        <w:pStyle w:val="ListBullet"/>
        <w:spacing w:line="360" w:lineRule="auto" w:after="0"/>
        <w:ind w:firstLine="0" w:left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внедрение Alembic для управляемой эволюции схемы базы данных;</w:t>
      </w:r>
    </w:p>
    <w:p>
      <w:pPr>
        <w:pStyle w:val="ListBullet"/>
        <w:spacing w:line="360" w:lineRule="auto" w:after="0"/>
        <w:ind w:firstLine="0" w:left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переход с SQLite на PostgreSQL для многопользовательской эксплуатации;</w:t>
      </w:r>
    </w:p>
    <w:p>
      <w:pPr>
        <w:pStyle w:val="ListBullet"/>
        <w:spacing w:line="360" w:lineRule="auto" w:after="0"/>
        <w:ind w:firstLine="0" w:left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построение SQL-индекса по нормализованной улице и фильтрация правил на стороне базы данных вместо линейного обхода в памяти;</w:t>
      </w:r>
    </w:p>
    <w:p>
      <w:pPr>
        <w:pStyle w:val="ListBullet"/>
        <w:spacing w:line="360" w:lineRule="auto" w:after="0"/>
        <w:ind w:firstLine="0" w:left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внедрение структурного логирования (JSON-логи) и метрик;</w:t>
      </w:r>
    </w:p>
    <w:p>
      <w:pPr>
        <w:pStyle w:val="ListBullet"/>
        <w:spacing w:line="360" w:lineRule="auto" w:after="0"/>
        <w:ind w:firstLine="0" w:left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разработка REST-API для использования внешними клиентами (мобильные приложения, региональные ГИС-порталы);</w:t>
      </w:r>
    </w:p>
    <w:p>
      <w:pPr>
        <w:pStyle w:val="ListBullet"/>
        <w:spacing w:line="360" w:lineRule="auto" w:after="0"/>
        <w:ind w:firstLine="0" w:left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интеграция с региональной системой государственных услуг для автоматического заполнения заявления на приём в школу.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Перечисленные направления составляют практический бэклог развития сервиса до уровня производственного продукта, который может быть развёрнут в работе муниципального управления образования.</w:t>
      </w:r>
    </w:p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5.4. Заключение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Поставленная перед командой цель — разработка веб-сервиса, обеспечивающего загрузку и автоматический разбор муниципальных постановлений и поиск школы по адресу — достигнута в полном объёме. Все запланированные функциональные и нефункциональные требования реализованы и проверены тестированием. Командная работа в составе шести ролей (руководитель, бизнес-аналитик, системный аналитик, разработчик сервиса, разработчик ИИ-агентов, тестировщик) продемонстрировала эффективность типовой структуры проектной команды и позволила охватить полный жизненный цикл разработки программного продукта — от анализа предметной области до тестирования и оформления отчётности. Детальные результаты работы каждой роли изложены в соответствующих индивидуальных частях отчёта.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  <w:rFonts w:ascii="Times New Roman" w:hAnsi="Times New Roman" w:eastAsia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