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Style0"/>
        <w:tblW w:w="5000" w:type="pct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6"/>
        <w:gridCol w:w="2366"/>
        <w:gridCol w:w="1784"/>
        <w:gridCol w:w="1085"/>
        <w:gridCol w:w="1414"/>
        <w:gridCol w:w="1136"/>
        <w:gridCol w:w="634"/>
        <w:gridCol w:w="319"/>
        <w:gridCol w:w="316"/>
        <w:gridCol w:w="1"/>
        <w:gridCol w:w="1069"/>
      </w:tblGrid>
      <w:tr>
        <w:trPr>
          <w:trHeight w:val="60" w:hRule="atLeast"/>
        </w:trPr>
        <w:tc>
          <w:tcPr>
            <w:tcW w:w="10770" w:type="dxa"/>
            <w:gridSpan w:val="11"/>
            <w:vMerge w:val="restart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</w:t>
              <w:br/>
              <w:br/>
              <w:t xml:space="preserve">учреждение высшего образования </w:t>
              <w:br/>
              <w:br/>
              <w:t xml:space="preserve">«Московский физико-технический институт </w:t>
              <w:br/>
              <w:br/>
              <w:t>(государственный университет)»</w:t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vMerge w:val="continue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vMerge w:val="continue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vMerge w:val="continue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9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6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406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«УТВЕРЖДАЮ»      </w:t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819" w:type="dxa"/>
            <w:gridSpan w:val="5"/>
            <w:vMerge w:val="restart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Директор физтех-школы радиотехники и компьютерных технологий</w:t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819" w:type="dxa"/>
            <w:gridSpan w:val="5"/>
            <w:vMerge w:val="continue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503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_________________ А.В. Дворкович</w:t>
            </w:r>
          </w:p>
        </w:tc>
        <w:tc>
          <w:tcPr>
            <w:tcW w:w="31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7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Рабочая программа дисциплины (модуля)</w:t>
            </w:r>
          </w:p>
        </w:tc>
      </w:tr>
      <w:tr>
        <w:trPr/>
        <w:tc>
          <w:tcPr>
            <w:tcW w:w="3012" w:type="dxa"/>
            <w:gridSpan w:val="2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дисциплине: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Основы построения защищенных баз данных</w:t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Компьютерная безопасность (специалитет)</w:t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Безопасность распредел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ё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нных компьютерных систем</w:t>
            </w:r>
          </w:p>
        </w:tc>
      </w:tr>
      <w:tr>
        <w:trPr>
          <w:trHeight w:val="3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факультет радиотехники и кибернетики</w:t>
            </w:r>
          </w:p>
        </w:tc>
      </w:tr>
      <w:tr>
        <w:trPr>
          <w:trHeight w:val="3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кафедра защиты информации</w:t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специалист</w:t>
            </w:r>
          </w:p>
        </w:tc>
      </w:tr>
      <w:tr>
        <w:trPr>
          <w:trHeight w:val="21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Семестр, формы промежуточной аттестации: 10(Весенний) - Экзамен</w:t>
            </w:r>
          </w:p>
        </w:tc>
      </w:tr>
      <w:tr>
        <w:trPr>
          <w:trHeight w:val="19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Аудиторных часов: 45 всего, в том числе: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7785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лекции: 30 час.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7785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и семинарские занятия: 0 час.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7785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занятия: 15 час.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9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работа: 69 час.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экзамену: 30 час.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часов: 144, всего зач. ед.: 4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Программу составили: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/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А.А. Алтухов, ассистент</w:t>
            </w:r>
          </w:p>
        </w:tc>
      </w:tr>
      <w:tr>
        <w:trPr/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В.А. Конявский, д-р техн. наук</w:t>
            </w:r>
          </w:p>
        </w:tc>
      </w:tr>
      <w:tr>
        <w:trPr>
          <w:trHeight w:val="18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Программа обсуждена на заседании кафедры 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 мая 2017 г.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5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СОГЛАСОВАНО: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664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Заведующий кафедрой</w:t>
            </w:r>
          </w:p>
        </w:tc>
        <w:tc>
          <w:tcPr>
            <w:tcW w:w="2406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В.А. Конявский</w:t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664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Начальник учебного управления</w:t>
            </w:r>
          </w:p>
        </w:tc>
        <w:tc>
          <w:tcPr>
            <w:tcW w:w="2406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И.Р. Гарайшина</w:t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664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Декан факультета</w:t>
            </w:r>
          </w:p>
        </w:tc>
        <w:tc>
          <w:tcPr>
            <w:tcW w:w="2406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С.Н. Гаричев</w:t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15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 Цели и задачи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Цель дисциплины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Цель освоения дисциплины – формирование базовых знаний по использованию и проектированию защищенных баз данных. 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6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Задачи дисциплины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Задачи освоения дисциплины студентами – приобретение основных теоретических сведений, практических навыков по разделам: основные сведения о хранении данных, реляционная модель данных,  система управления базами данных (СУБД) Microsoft Access, сохранение точности информации и защита баз данных, языки баз данных, реляционные СУБД, проектирование реляционных баз данных на основе принципов нормализации, концептуальное и даталогическое проектирование баз данных, СУБД Microsoft SQL Server.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 изучении дисциплины укрепляются теоретические и практические навыки работы с современными СУБД и приобретается опыт проектирования реляционных баз данных. Полученные знания лежат в основе профессионального образования и найдут самое широкое применение в будущей профессиональной деятельности учащихся.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 Место дисциплины (модуля) в структуре образовательной программы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Настоящая учебная дисциплина является базовой дисциплиной в учебной программе подготовки специалистов  направления «Компьютерная безопасность».</w:t>
              <w:br/>
              <w:br/>
              <w:t>Курс основывается на дисциплинах «Базы данных», «Основы информационной безопасности».</w:t>
              <w:br/>
              <w:br/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Дисциплина «Основы построения защищенных баз данных» базируется на дисциплинах: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Базы данных;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Основы информационной безопасности.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/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Дисциплина «Основы построения защищенных баз данных» предшествует изучению дисциплин: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Модели безопасности компьютерных систем;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Теория управления информационной безопасностью распределенных компьютерных систем;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Научно-исследовательская работа.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Освоение дисциплины направлено на формирование следующих общекультурных, общепрофессиональных и профессиональных компетенций: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к самоорганизации и самообразованию (ОК-8);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производить установку, наладку, тестирование и обслуживание современного общего и специального программного обеспечения, включая операционные системы, системы управления базами данных, сетевое программное обеспечение (ПК-17);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производить установку, наладку, тестирование и обслуживание современных программно-аппаратных средств обеспечения информационной безопасности компьютерных систем, включая защищенные операционные системы, системы управления базами данных, компьютерные сети, системы антивирусной защиты, средства криптографической защиты информации (ПК-18);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использовать языки и системы программирования, инструментальные средства для решения профессиональных, исследовательских и прикладных задач (ОПК-8);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понимать значение информации в развитии современного общества, применять достижения информационных технологий для поиска и обработки информации по профилю деятельности в глобальных компьютерных сетях, библиотечных фондах и иных источниках информации (ОПК-3).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15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результате освоения дисциплины обучающиеся должны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3012" w:type="dxa"/>
            <w:gridSpan w:val="2"/>
            <w:tcBorders/>
            <w:shd w:color="FFFFFF"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особенности математических моделей и их влияние на разработку системы БД;</w:t>
              <w:br/>
              <w:br/>
              <w:t>•</w:t>
              <w:tab/>
              <w:t>изобразительные средства, используемые в моделировании БД;</w:t>
              <w:br/>
              <w:br/>
              <w:t>•</w:t>
              <w:tab/>
              <w:t>языки описания и манипулирования данными разных классов (QBE, SQL, элементы 4GL);</w:t>
              <w:br/>
              <w:br/>
              <w:t>•</w:t>
              <w:tab/>
              <w:t>технологии организации БД.</w:t>
              <w:br/>
              <w:br/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определить предметную область;</w:t>
              <w:br/>
              <w:br/>
              <w:t>•</w:t>
              <w:tab/>
              <w:t>спроектировать реляционную базу данных (определить состав каждой таблицы, типы полей, ключ для каждой таблицы);</w:t>
              <w:br/>
              <w:br/>
              <w:t>•</w:t>
              <w:tab/>
              <w:t>работать с современными программными средствами (Case);</w:t>
              <w:br/>
              <w:br/>
              <w:t>•</w:t>
              <w:tab/>
              <w:t>определить ограничения целостности, получать результатные данные в виде различном виде (ответов на запросы, экранных форм, отчетов).</w:t>
              <w:br/>
              <w:br/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владеть: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навыками работы в среде современных СУБД;</w:t>
              <w:br/>
              <w:br/>
              <w:t>•</w:t>
              <w:tab/>
              <w:t>способностью к саморазвитию, самореализации, приобретению новых знаний, повышению своей квалификации и мастерства;</w:t>
              <w:br/>
              <w:br/>
              <w:t>•</w:t>
              <w:tab/>
              <w:t>способностью оценивать свои достоинства и недостатки, определять пути и выбирать средства развития достоинств и устранения недостатков;</w:t>
              <w:br/>
              <w:br/>
              <w:t>•</w:t>
              <w:tab/>
              <w:t>способностью проводить анализ, предлагать и обосновывать выбор решений по обеспечения требуемого уровня эффективности применения автоматизированных систем.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15" w:hRule="atLeast"/>
        </w:trPr>
        <w:tc>
          <w:tcPr>
            <w:tcW w:w="646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>
              <w:bottom w:val="single" w:sz="10" w:space="0" w:color="00000A"/>
              <w:insideH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30" w:hRule="atLeast"/>
        </w:trPr>
        <w:tc>
          <w:tcPr>
            <w:tcW w:w="6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(раздел) дисциплины</w:t>
            </w:r>
          </w:p>
        </w:tc>
        <w:tc>
          <w:tcPr>
            <w:tcW w:w="5974" w:type="dxa"/>
            <w:gridSpan w:val="8"/>
            <w:tcBorders>
              <w:top w:val="single" w:sz="10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Виды учебных занятий, включая самостоятельную работу </w:t>
            </w:r>
          </w:p>
        </w:tc>
      </w:tr>
      <w:tr>
        <w:trPr>
          <w:trHeight w:val="630" w:hRule="atLeast"/>
        </w:trPr>
        <w:tc>
          <w:tcPr>
            <w:tcW w:w="6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Практичес- кие и семинарские занятия</w:t>
            </w:r>
          </w:p>
        </w:tc>
        <w:tc>
          <w:tcPr>
            <w:tcW w:w="11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Лаборат. работы</w:t>
            </w:r>
          </w:p>
        </w:tc>
        <w:tc>
          <w:tcPr>
            <w:tcW w:w="1269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Задания, курсовые работы</w:t>
            </w:r>
          </w:p>
        </w:tc>
        <w:tc>
          <w:tcPr>
            <w:tcW w:w="107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Самост. работа</w:t>
            </w:r>
          </w:p>
        </w:tc>
      </w:tr>
      <w:tr>
        <w:trPr>
          <w:trHeight w:val="570" w:hRule="atLeast"/>
        </w:trPr>
        <w:tc>
          <w:tcPr>
            <w:tcW w:w="6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Концепция безопасности БД.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Теоретические основы безопасности в СУБД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Механизмы обеспечения целостности СУБД.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Механизмы обеспечения конфиденциальности в СУБД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Механизмы, поддерживающие высокую готовность.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данных в распределенных системах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Безопасность в статистических БД.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Распознавание вторжений в БД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60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Проектирование безопасности БД.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420" w:hRule="atLeast"/>
        </w:trPr>
        <w:tc>
          <w:tcPr>
            <w:tcW w:w="47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</w:tr>
      <w:tr>
        <w:trPr>
          <w:trHeight w:val="375" w:hRule="atLeast"/>
        </w:trPr>
        <w:tc>
          <w:tcPr>
            <w:tcW w:w="4796" w:type="dxa"/>
            <w:gridSpan w:val="3"/>
            <w:tcBorders>
              <w:top w:val="single" w:sz="4" w:space="0" w:color="00000A"/>
              <w:left w:val="single" w:sz="4" w:space="0" w:color="00000A"/>
              <w:bottom w:val="single" w:sz="10" w:space="0" w:color="00000A"/>
              <w:insideH w:val="single" w:sz="10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экзамену</w:t>
            </w:r>
          </w:p>
        </w:tc>
        <w:tc>
          <w:tcPr>
            <w:tcW w:w="5974" w:type="dxa"/>
            <w:gridSpan w:val="8"/>
            <w:tcBorders>
              <w:top w:val="single" w:sz="4" w:space="0" w:color="00000A"/>
              <w:left w:val="single" w:sz="4" w:space="0" w:color="00000A"/>
              <w:bottom w:val="single" w:sz="10" w:space="0" w:color="00000A"/>
              <w:right w:val="single" w:sz="4" w:space="0" w:color="00000A"/>
              <w:insideH w:val="single" w:sz="10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 час.</w:t>
            </w:r>
          </w:p>
        </w:tc>
      </w:tr>
      <w:tr>
        <w:trPr>
          <w:trHeight w:val="945" w:hRule="atLeast"/>
        </w:trPr>
        <w:tc>
          <w:tcPr>
            <w:tcW w:w="4796" w:type="dxa"/>
            <w:gridSpan w:val="3"/>
            <w:tcBorders>
              <w:top w:val="single" w:sz="4" w:space="0" w:color="00000A"/>
              <w:left w:val="single" w:sz="4" w:space="0" w:color="00000A"/>
              <w:bottom w:val="single" w:sz="10" w:space="0" w:color="00000A"/>
              <w:insideH w:val="single" w:sz="10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Общая трудоёмкость</w:t>
            </w:r>
          </w:p>
        </w:tc>
        <w:tc>
          <w:tcPr>
            <w:tcW w:w="5974" w:type="dxa"/>
            <w:gridSpan w:val="8"/>
            <w:tcBorders>
              <w:top w:val="single" w:sz="4" w:space="0" w:color="00000A"/>
              <w:left w:val="single" w:sz="4" w:space="0" w:color="00000A"/>
              <w:bottom w:val="single" w:sz="10" w:space="0" w:color="00000A"/>
              <w:right w:val="single" w:sz="4" w:space="0" w:color="00000A"/>
              <w:insideH w:val="single" w:sz="10" w:space="0" w:color="00000A"/>
              <w:insideV w:val="single" w:sz="4" w:space="0" w:color="00000A"/>
            </w:tcBorders>
            <w:shd w:color="FFFFFF" w:fill="auto" w:val="clear"/>
            <w:tcMar>
              <w:left w:w="10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144 час., 4 зач.ед.</w:t>
            </w:r>
          </w:p>
        </w:tc>
      </w:tr>
      <w:tr>
        <w:trPr>
          <w:trHeight w:val="300" w:hRule="atLeast"/>
        </w:trPr>
        <w:tc>
          <w:tcPr>
            <w:tcW w:w="646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>
              <w:top w:val="single" w:sz="10" w:space="0" w:color="00000A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4.2. </w:t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дисциплины (модуля), структурированное по темам (разделам)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Семестр: 10 (Весенний)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Концепция безопасности БД.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Понятие безопасности БД. Угрозы безопасности БД: общие и специфичные. Требования безопасности БД. Защита от несанкционированного доступа. Защита от вывода. Целостность БД. Аудит. Многоуровневая защита. Типы контрол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безопасности: потоковый, контроль вы-вода, контроль доступа.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Теоретические основы безопасности в СУБД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2.1. Критерии защищенности 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Критерии оценки надежных компьютерных систем (TCSEC). Понятие политики безопасности. Совместное применение различных политик безопасности в рамках единой модели. Интерпретация TCSEC для надежных СУБД (TDI). Оценка надежности СУБД как компоненты вычислительной системы. Монитор ссылок. Применение TCSEC к СУБД непосредственно. Элементы СУБД, к которым применяются TDI: метки, аудит, архитектура системы, спецификация, верификация, проектная документация. Критерии безопасности ГТК.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2.2. Модели безопасности в СУБД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Дискреционная (избирательная) и мандатная (полномочная) модели безопасности. Класси-фикация моделей. Аспекты исследования моделей безопасности. Особенности применения мо-делей безопасности в СУБД. Дискреционные модели: HRU, Take-Grant, Action-Entity, Wood. Мандатные модели: Bell-LaPadula, Biba, Dion, Sea View, Jajodia&amp;Sandhu, Smith&amp;Winslett, реше-точная. БД с многоуровневой секретностью (MLS). Многозначность.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Механизмы обеспечения целостности СУБД.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3.1. Угрозы целостности СУБД.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виды и причины возникновения угроз целостности. Способы противодействия.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3.2. Метаданные и словарь данных.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Назначение словаря данных. Доступ к словарю данных. Состав словаря. Представления словаря.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3.3. Понятие транзакции.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Фиксация транзакции. Прокрутки вперед и назад. Контрольная точка. Откат. Транзакции как средство изолированности пользователей. Сериализация транзакций. Методы сериализации транзакций.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3.4. Блокировки.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Режимы блокировок. Правила согласования блокировок. Двухфазный протокол синхрони-зационных блокировок. Тупиковые ситуации, их распознавание и разрушение.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3.5. Ссылочная целостность.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Декларативная и процедурная ссылочные целостности. Внешний ключ. Способы поддер-жания ссылочной целостности.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3.6. Правила(триггеры).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Цели использования правил. Способы задания, моменты выполнения.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3.7. События.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Назначение механизма событий. Сигнализаторы событий. Типы уведомлений о происхож-дении события. Компоненты механизма событий.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Механизмы обеспечения конфиденциальности в СУБД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4.1 Классификация угроз конфиденциальности СУБД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Причины, виды, основные методы нарушения конфиденциальности. Типы утечки конфи-денциальной информации из СУБД, частичное разглашение. Соотношение защищенности и доступности данных. Получение несанкционированного доступа к конфиденциальной инфор-мации путем логических выводов. Методы противодействия. Особенности применения криптографических методов.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4.2 Средства идентификации и аутентификации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Общие сведения. Совместное применение средств идентификации и аутентификации, встроенных в СУБД и  в ОС.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4.3 Средства управления доступом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понятия: субъекты и объекты, группы пользователей, привилегии, роли и пред-ставления. Виды привилегий: привилегии безопасности и доступа. Использование ролей и привилегий пользователей. Соотношение прав доступа, определяемых ОС и СУБД. Метки безопасности. Использование представлений для обеспечения конфиденциальности информации в СУБД.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4.4 Обеспечение конфиденциальности путем тиражирования БД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Формальная модель для обеспечения конфиденциальности БД с помощью тиражирования. Архитектура и политика безопасности в модели SINTRA.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4.5 Аудит и подотчетность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Подотчетность действий пользователя и аудит связанных с безопасностью событий. Реги-страция действий пользователя. Управление набором регистрируемых событий. Анализ регистрационной информации. 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Механизмы, поддерживающие высокую готовность.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 Средства, поддерживающие высокую готовность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Аппаратная и программная поддержки. Кластерная организация серверов баз данных. Па-раметры настройки СУБД. Сохранение и восстановление 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5.2. Оперативное администрирование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Задачи, средства и режимы администрирования. Мониторинг серверов СУБД.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5.3. Функциональная насыщенность СУБД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Формы избыточности. Аппаратная избыточность. Избыточность данных. Программное зер-калирование. Тиражирование данных.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5.4. Системы, обладающие свойством высокой готовности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Описание, назначение, примеры.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 Защита данных в распределенных системах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6.1 Распределенные вычислительные среды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Распределенная обработка информации в среде клиент-сервер. Концепция распределенной вычислительной среды Distributed Computing Environment (DCE). Распределенные базы данных в сетях ЭВМ.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6.2 Угрозы безопасности распределенных СУБД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Угрозы доступности, целостности и конфиденциальности данных. Механизмы противодействия.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6.3 Распределенная обработка данных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распределенной транзакции. Модель обработки транзакций. Мониторы обработки транзакций. Корпоративная среда обработки транзакций.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6.4 Протоколы фиксации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Протоколы фиксации. Защищенные протоколы фиксации. Обработка распределенных транзакций в базах данных с многоуровневой секретностью (MLS).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6.5 Тиражирование данных</w:t>
              <w:tab/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Обзор средств тиражирования данных. Эффективные алгоритмы тиражирования. Сравне-ние подходов к тиражированию 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6.6 Интеграция БД и Internet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Современные тенденции. Обзор существующих технологий. Вопросы безопасности: угрозы и методы противодействия. Перспективы развития.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 Безопасность в статистических БД.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7.1. Общие сведения.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Определение статистической БД. Классификация статистических БД. Характеристики статистических 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7.2. Угрозы статистических 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Статистический вывод. Виды компрометации статистических БД.. Методы получения информации из статистических 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7.3. Защита в статистических БД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Методы защиты от вывода. Статистические фильтры. Статистические функции. Чувствительные статистики. Критерии сравнения методов защиты.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 Распознавание вторжений в БД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8.1. Основные понятия.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Определение понятия распознавания вторжений. Цели выявления злоупотреблений. Место процедуры распознавания вторжений в общей системе защиты.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8.2. Системы распознавания вторжений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Типы моделей систем распознавания вторжений (ID-систем). Общая структура ID-систем. Шаблоны классов пользователей. Модели известных атак.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8.3. Экспертные ID-системы.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Метрики. Статистические модели. Профили. Примеры ID-систем.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8.4. Развитие систем распознавания вторжений.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тенденции.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 Проектирование безопасности БД.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9.1. Основные понятия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Безопасное программное обеспечение. Правила безопасности.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9.2. Методология проектирования.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Отличия в проектировании безопасных ОС и СУБД. Основные требования к безопасности СУБД. Независимые принципы целостности данных. Модель авторизации в System R. Архитектура безопасной СУБД. Архитектура SeaView и ASD.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9.3. Проектирование безопасных БД.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Фазы проектирования безопасных БД (по DoD). Предварительный анализ. Требования и политики  безопасности. Концептуальное проектирование. Логическое  проектирование. Физическое проектирование.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9.4. Формальные верификации и спецификации.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класс, мультимедийные проектор, аудиторная доска.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6. Перечень основной и дополнительной литературы, необходимой для освоения дисциплины (модуля)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9700" w:type="dxa"/>
            <w:gridSpan w:val="9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Основная литература</w:t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  <w:tab/>
              <w:t>Девянин П.Н. Модели безопасности компьютерных систем. – М.: "Academia", 2005 – 144 с. ISBN: 5-7695-2053-1</w:t>
              <w:br/>
              <w:br/>
              <w:t>2.</w:t>
              <w:tab/>
              <w:t>Терью М., Ньюмен А. Руководство по безопасности Oracle. Пер. с англ. – М.: Лори, 2004. – 560 с. ISBN 5-85582-220-6</w:t>
              <w:br/>
              <w:br/>
              <w:t>3.</w:t>
              <w:tab/>
              <w:t>Поляков А.М. Безопасность Oracle глазами аудитора: нападение и защита. М.: “ДМК Пресс” 2010. – 336 с. ISBN: 978-5-94074-517-4</w:t>
              <w:br/>
              <w:br/>
              <w:t>4.</w:t>
              <w:tab/>
              <w:t xml:space="preserve">Эриксон Д. Хакинг: искусство эксплойта. Пер. с англ. – М.: Символ-Плюс, 2005. – 240 с. ISBN 5-93286-076-6 </w:t>
              <w:br/>
              <w:br/>
              <w:t>5.</w:t>
              <w:tab/>
              <w:t>К. Дж. Дейт Введение в системы баз данных = Introduction to Database Systems. — 8-е изд. — М.: «Вильямс», 2006. — С. 1328. — ISBN 0-321-19784-4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9700" w:type="dxa"/>
            <w:gridSpan w:val="9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Дополнительная литература</w:t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  <w:tab/>
              <w:t>Тоу Д. Настройка SQL для профессионалов: Пер. с англ. – СПб.: Питер, 2004. ISBN: 5-94723-959-0</w:t>
              <w:br/>
              <w:br/>
              <w:t>2.</w:t>
              <w:tab/>
              <w:t xml:space="preserve">Домарев В. Безопасность информационных технологий. Системный подход. – М.: Диа-Софт, 2004. – 992 с. ISBN 966-7992-36-5  </w:t>
              <w:br/>
              <w:br/>
              <w:t>3.</w:t>
              <w:tab/>
              <w:t xml:space="preserve">Бармен С. Разработка правил информационной безопасности. – М.: Вильямс, 2002. – 208 с. ISBN 5-8459-0323-8 </w:t>
              <w:br/>
              <w:br/>
              <w:t>4.</w:t>
              <w:tab/>
              <w:t>Мандиа К. Защита от вторжений. Расследование компьютерных преступлений. – М.:  Лори, 2005. – 496 с. ISBN 5-85582-229-X</w:t>
              <w:br/>
              <w:br/>
              <w:t>5.</w:t>
              <w:tab/>
              <w:t xml:space="preserve">Миллсап К., Хольт Д. Oracle. Оптимизация производительности. – М.:  Символ-Плюс, 2005. – 464 с. ISBN 5-93286-078-2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 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лекционных занятиях используются мультимедийные технологии, включая демонстрацию презентаций. Также ПО Microsoft Access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Используется Case - средство разработки баз данных.</w:t>
            </w:r>
          </w:p>
        </w:tc>
      </w:tr>
      <w:tr>
        <w:trPr>
          <w:trHeight w:val="33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 Методические указания для обучающихся по освоению дисциплины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tcMar>
              <w:left w:w="63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Успешное освоение курса «Основы построения защищенных баз данных» требует большой самостоятельной работы студента. В программе курса приведено минимально необходимое время для работы студента над темой.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включает в себя: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чтение и конспектирование рекомендованной литературы,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проработку учебного материала (по конспектам лекций, учебной и научной литературе);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задач, предлагаемых студентам на лекциях,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подготовку к контрольным, самостоятельным работам и тестам.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 и контроль за самостоятельной работой студента осуществляется в результате анализа итогов контрольных, самостоятельных работ, а также индивидуальных консультаций.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Показателем владения материалом служит умение ставить и решать задачи. Для формирования умения применять теоретические знания на практике студенту необходимо решать как можно больше задач.</w:t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9. Фонд оценочных средств для проведения промежуточной аттестации по итогам обучения 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Приложение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124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ПРИЛОЖЕНИЕ</w:t>
            </w:r>
          </w:p>
        </w:tc>
      </w:tr>
      <w:tr>
        <w:trPr>
          <w:trHeight w:val="19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541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39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63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1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6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05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ФОНД ОЦЕНОЧНЫХ СРЕДСТВ</w:t>
            </w:r>
          </w:p>
        </w:tc>
      </w:tr>
      <w:tr>
        <w:trPr>
          <w:trHeight w:val="33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ДЛЯ ПРОВЕДЕНИЯ ПРОМЕЖУТОЧНОЙ АТТЕСТАЦИИ ОБУЧАЮЩИХСЯ</w:t>
            </w:r>
          </w:p>
        </w:tc>
      </w:tr>
      <w:tr>
        <w:trPr>
          <w:trHeight w:val="375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ДИСЦИПЛИНЕ</w:t>
            </w:r>
          </w:p>
        </w:tc>
      </w:tr>
      <w:tr>
        <w:trPr>
          <w:trHeight w:val="27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6688" w:type="dxa"/>
            <w:gridSpan w:val="7"/>
            <w:tcBorders/>
            <w:shd w:color="FFFFFF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Компьютерная безопасность (специалитет)</w:t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7758" w:type="dxa"/>
            <w:gridSpan w:val="9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Безопасность распределенных компьютерных систем</w:t>
            </w:r>
          </w:p>
        </w:tc>
      </w:tr>
      <w:tr>
        <w:trPr>
          <w:trHeight w:val="3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541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Факультет радиотехники и кибернетики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541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кафедра защиты информации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541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5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5419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специалист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1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Семестр, формы промежуточной аттестации: 10(Весенний) - Экзамен</w:t>
            </w:r>
          </w:p>
        </w:tc>
      </w:tr>
      <w:tr>
        <w:trPr>
          <w:trHeight w:val="2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Разработчики: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А.А. Алтухов , ассистент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tcMar>
              <w:left w:w="52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В.А. Конявский , д-р техн. наук, ассистент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 Компетенции, формируемые в процессе изучения дисциплины</w:t>
              <w:br/>
              <w:br/>
              <w:br/>
              <w:br/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Освоение дисциплины направлено на формирование у обучающегося следующих общекультурных (ОК), общепрофессиональных (ОПК) и профессиональных (ПК) компетенций: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к самоорганизации и самообразованию (ОК-8);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производить установку, наладку, тестирование и обслуживание современного общего и специального программного обеспечения, включая операционные системы, системы управления базами данных, сетевое программное обеспечение (ПК-17);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производить установку, наладку, тестирование и обслуживание современных программно-аппаратных средств обеспечения информационной безопасности компьютерных систем, включая защищенные операционные системы, системы управления базами данных, компьютерные сети, системы антивирусной защиты, средства криптографической защиты информации (ПК-18);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использовать языки и системы программирования, инструментальные средства для решения профессиональных, исследовательских и прикладных задач (ОПК-8);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понимать значение информации в развитии современного общества, применять достижения информационных технологий для поиска и обработки информации по профилю деятельности в глобальных компьютерных сетях, библиотечных фондах и иных источниках информации (ОПК-3).</w:t>
            </w:r>
          </w:p>
        </w:tc>
      </w:tr>
      <w:tr>
        <w:trPr>
          <w:trHeight w:val="315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15" w:hRule="atLeast"/>
        </w:trPr>
        <w:tc>
          <w:tcPr>
            <w:tcW w:w="8431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 Показатели оценивания компетенций</w:t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результате изучения дисциплины «Основы построения защищенных баз данных» обучающийся должен: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особенности математических моделей и их влияние на разработку системы БД;</w:t>
              <w:br/>
              <w:br/>
              <w:t>•</w:t>
              <w:tab/>
              <w:t>изобразительные средства, используемые в моделировании БД;</w:t>
              <w:br/>
              <w:br/>
              <w:t>•</w:t>
              <w:tab/>
              <w:t>языки описания и манипулирования данными разных классов (QBE, SQL, элементы 4GL);</w:t>
              <w:br/>
              <w:br/>
              <w:t>•</w:t>
              <w:tab/>
              <w:t>технологии организации БД.</w:t>
              <w:br/>
              <w:br/>
            </w:r>
          </w:p>
        </w:tc>
      </w:tr>
      <w:tr>
        <w:trPr>
          <w:trHeight w:val="30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определить предметную область;</w:t>
              <w:br/>
              <w:br/>
              <w:t>•</w:t>
              <w:tab/>
              <w:t>спроектировать реляционную базу данных (определить состав каждой таблицы, типы полей, ключ для каждой таблицы);</w:t>
              <w:br/>
              <w:br/>
              <w:t>•</w:t>
              <w:tab/>
              <w:t>работать с современными программными средствами (Case);</w:t>
              <w:br/>
              <w:br/>
              <w:t>•</w:t>
              <w:tab/>
              <w:t>определить ограничения целостности, получать результатные данные в виде различном виде (ответов на запросы, экранных форм, отчетов).</w:t>
              <w:br/>
              <w:br/>
            </w:r>
          </w:p>
        </w:tc>
      </w:tr>
      <w:tr>
        <w:trPr>
          <w:trHeight w:val="300" w:hRule="atLeast"/>
        </w:trPr>
        <w:tc>
          <w:tcPr>
            <w:tcW w:w="3012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владеть:</w:t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навыками работы в среде современных СУБД;</w:t>
              <w:br/>
              <w:br/>
              <w:t>•</w:t>
              <w:tab/>
              <w:t>способностью к саморазвитию, самореализации, приобретению новых знаний, повышению своей квалификации и мастерства;</w:t>
              <w:br/>
              <w:br/>
              <w:t>•</w:t>
              <w:tab/>
              <w:t>способностью оценивать свои достоинства и недостатки, определять пути и выбирать средства развития достоинств и устранения недостатков;</w:t>
              <w:br/>
              <w:br/>
              <w:t>•</w:t>
              <w:tab/>
              <w:t>способностью проводить анализ, предлагать и обосновывать выбор решений по обеспечения требуемого уровня эффективности применения автоматизированных систем.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 Перечень типовых контрольных заданий, используемых для оценки знаний, умений, навыков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Дать определение угрозы. Виды «нарушителей».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Назвать основные угрозы информации в автоматизированных системах.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Назвать основные элементы системы лицензирования и сертификации средств защиты информационных процессов.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Составить порядок аттестация защищенных систем.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Структуры в РФ, обеспечивающие лицензирование и сертификацию.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Основные компоненты нормативной базы по защите информационных процессов в автоматизиро-ванных системах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7. Основные положения Руководящего документа Гостехкомиссии по оценке защищенности автоматизированных систем.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 Основные стандарты по защите информации и информационных процессов.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 Автоматизированные информационные системы. Состав подсистем.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 Роль и место баз данных в автоматизированных информационных системах.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 Основные определения и понятия безопасности информационных систем и баз данных.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 Назвать основные аспекты защиты данных и приведите примеры.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13. Угрозы безопасности информационных систем.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14. Базовые концепции безопасности информационных процессов в автоматизированных системах.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15. Требования к подсистемам аудита информационных процессов.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16. Чем определяются гарантии безопасности ИП в автоматизированных системах. Уровни гарантий. Основные положения методологии анализа гарантий.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 Принципы управление конфигурацией.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18. Принципы безопасной установки систем защиты информационных процессов.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 Принципы безопасной модернизации информационных процессов в автоматизированных системах.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 Основные принципы обеспечения информационной безопасности в автоматизированной системе.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 Назвать основные методы построения защищенных автоматизированных систем.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22. Дать определение политики безопасности. Основные типы политики безопасности.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 Назвать основные модели безопасности.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 Дать определение монитора безопасности обращений.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 Привести примеры скрытых каналы передачи информации.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26. Назвать основные методы идентификации и аутентификации.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27. Как можно разграничить доступ?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 Основные процедуры настройки параметров безопасности в ОС Windows.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29. Основные функции средств защиты от копирования.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 Принцип защиты программ от исследования.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Критерии оценивания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отлично</w:t>
              <w:tab/>
              <w:t>(10) выставляется студенту, показавшему всесторонние, систематизированные, глубокие знания учебной программы дисциплины, проявляющему интерес к данной предметной области, продемонстрировавшему умение уверенно и творчески применять их на практике при решении конкретных задач, свободное и правильное обоснование принятых решений.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отлично (9) выставляется студенту, показавшему всесторонние, систематизированные, глубокие знания учебной программы дисциплины и умение уверенно применять их на практике при решении конкретных задач, свободное и правильное обоснование принятых решений.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отлично (8) выставляется студенту, показавшему систематизированные, глубокие знания учебной программы дисциплины и умение уверенно применять их на практике при решении конкретных задач, правильное обоснование принятых решений, с некоторыми недочетами.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хорошо (7) выставляется студенту, если он твердо знает материал, грамотно и по существу излагает его, умеет применять полученные знания на практике, но недостаточно грамотно обосновывает полученные результаты.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хорошо (6) выставляется студенту, если он твердо знает материал, грамотно и по существу излагает его, умеет применять полученные знания на практике, но допускает в ответе или в решении задач некоторые неточности.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 хорошо (5) выставляется студенту, если он в основном знает материал, грамотно  и по существу излагает его, умеет применять полученные знания на практике, но допускает в ответе или в решении задач достаточно большое количество неточностей. 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удовлетворительно (4) выставляется студенту,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он освоил основные разделы учебной программы, необходимые для дальнейшего обучения, и может применять полученные знания по образцу в стандартной ситуации.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удовлетворительно (3) выставляется студенту, показавшему фрагментарный, разрозненный характер знаний, допускающему ошибки в формулировках базовых понятий, нарушения логической последовательности в изложении программного материала, слабо владеет основными разделами учебной программы, необходимыми для дальнейшего обучения и с трудом применяет полученные знания даже в стандартной ситуации.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неудовлетворительно (2) выставляется студенту, который не знает большей части основного содержания учебной программы дисциплины, допускает грубые ошибки в формулировках основных принципов и не умеет использовать полученные знания при решении типовых задач.</w:t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Оценка неудовлетворительно (1) выставляется студенту, который не знает основного содержания учебной программы дисциплины, допускает грубейшие ошибки в формулировках базовых понятий дисциплины и вообще не имеет навыков решения типовых практических задач.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</w:tr>
      <w:tr>
        <w:trPr>
          <w:trHeight w:val="60" w:hRule="atLeast"/>
        </w:trPr>
        <w:tc>
          <w:tcPr>
            <w:tcW w:w="64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36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78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85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414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3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26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7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077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Экзамен проводится в виде опроса в устной форме. При проведении экзамена  обучающемуся предоставляется 60 минут на подготовку. Во время проведения зачета обучающиеся могут пользоваться программой дисциплины.</w:t>
            </w:r>
          </w:p>
        </w:tc>
      </w:tr>
    </w:tbl>
    <w:sectPr>
      <w:type w:val="nextPage"/>
      <w:pgSz w:w="11906" w:h="16838"/>
      <w:pgMar w:left="567" w:right="567" w:header="0" w:top="283" w:footer="0" w:bottom="2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table" w:styleId="TableStyle0">
    <w:name w:val="TableStyle0"/>
    <w:pPr>
      <w:spacing w:after="0" w:line="240" w:lineRule="auto"/>
    </w:pPr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LibreOffice/5.3.6.1$Linux_X86_64 LibreOffice_project/30$Build-1</Application>
  <Pages>10</Pages>
  <Words>2837</Words>
  <Characters>21632</Characters>
  <CharactersWithSpaces>24284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2019-02-16T12:36:23Z</dcterms:modified>
  <cp:revision>3</cp:revision>
  <dc:subject/>
  <dc:title/>
</cp:coreProperties>
</file>