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EE6" w:rsidRPr="00775EE6" w:rsidRDefault="00775EE6" w:rsidP="00775EE6">
      <w:pPr>
        <w:jc w:val="center"/>
        <w:rPr>
          <w:rFonts w:ascii="Times New Roman" w:hAnsi="Times New Roman" w:cs="Times New Roman"/>
          <w:b/>
          <w:sz w:val="28"/>
        </w:rPr>
      </w:pPr>
      <w:r w:rsidRPr="00775EE6">
        <w:rPr>
          <w:rFonts w:ascii="Times New Roman" w:hAnsi="Times New Roman" w:cs="Times New Roman"/>
          <w:b/>
          <w:sz w:val="28"/>
        </w:rPr>
        <w:t>Часть 1.</w:t>
      </w:r>
    </w:p>
    <w:tbl>
      <w:tblPr>
        <w:tblStyle w:val="a3"/>
        <w:tblW w:w="11081" w:type="dxa"/>
        <w:tblInd w:w="-1139" w:type="dxa"/>
        <w:tblLook w:val="04A0" w:firstRow="1" w:lastRow="0" w:firstColumn="1" w:lastColumn="0" w:noHBand="0" w:noVBand="1"/>
      </w:tblPr>
      <w:tblGrid>
        <w:gridCol w:w="3969"/>
        <w:gridCol w:w="3512"/>
        <w:gridCol w:w="3600"/>
      </w:tblGrid>
      <w:tr w:rsidR="00775EE6" w:rsidRPr="00775EE6" w:rsidTr="00775EE6">
        <w:trPr>
          <w:trHeight w:val="374"/>
        </w:trPr>
        <w:tc>
          <w:tcPr>
            <w:tcW w:w="3969" w:type="dxa"/>
          </w:tcPr>
          <w:p w:rsidR="00775EE6" w:rsidRPr="00775EE6" w:rsidRDefault="00775EE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Функциональные возможности</w:t>
            </w:r>
          </w:p>
        </w:tc>
        <w:tc>
          <w:tcPr>
            <w:tcW w:w="3512" w:type="dxa"/>
          </w:tcPr>
          <w:p w:rsidR="00775EE6" w:rsidRPr="00775EE6" w:rsidRDefault="00775EE6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5EE6">
              <w:rPr>
                <w:rFonts w:ascii="Times New Roman" w:hAnsi="Times New Roman" w:cs="Times New Roman"/>
                <w:sz w:val="28"/>
              </w:rPr>
              <w:t>1С: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5EE6">
              <w:rPr>
                <w:rFonts w:ascii="Times New Roman" w:hAnsi="Times New Roman" w:cs="Times New Roman"/>
                <w:sz w:val="28"/>
              </w:rPr>
              <w:t>Зарплата и управление персоналом ПРОФ</w:t>
            </w:r>
          </w:p>
        </w:tc>
        <w:tc>
          <w:tcPr>
            <w:tcW w:w="3600" w:type="dxa"/>
          </w:tcPr>
          <w:p w:rsidR="00775EE6" w:rsidRPr="00775EE6" w:rsidRDefault="00775EE6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5EE6">
              <w:rPr>
                <w:rFonts w:ascii="Times New Roman" w:hAnsi="Times New Roman" w:cs="Times New Roman"/>
                <w:sz w:val="28"/>
              </w:rPr>
              <w:t>1С: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75EE6">
              <w:rPr>
                <w:rFonts w:ascii="Times New Roman" w:hAnsi="Times New Roman" w:cs="Times New Roman"/>
                <w:sz w:val="28"/>
              </w:rPr>
              <w:t>Зарплата и управление персоналом КОРП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775EE6">
              <w:rPr>
                <w:rFonts w:ascii="Times New Roman" w:hAnsi="Times New Roman" w:cs="Times New Roman"/>
                <w:sz w:val="28"/>
              </w:rPr>
              <w:t>Учет кадров и анализ кадрового состава, воинский учет, персонифицированный учет ПФР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Расчет и учет заработной платы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Управление денежными расчетами, включая депонирование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 xml:space="preserve">Исчисление налогов и страховых взносов (в </w:t>
            </w:r>
            <w:proofErr w:type="spellStart"/>
            <w:r w:rsidRPr="0057639B">
              <w:rPr>
                <w:rFonts w:ascii="Times New Roman" w:hAnsi="Times New Roman" w:cs="Times New Roman"/>
                <w:sz w:val="28"/>
              </w:rPr>
              <w:t>т.ч</w:t>
            </w:r>
            <w:proofErr w:type="spellEnd"/>
            <w:r w:rsidRPr="0057639B">
              <w:rPr>
                <w:rFonts w:ascii="Times New Roman" w:hAnsi="Times New Roman" w:cs="Times New Roman"/>
                <w:sz w:val="28"/>
              </w:rPr>
              <w:t>. для УСН и ЕНВД)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Подготовка регламентированной отчетности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Финансовая мотивация с использованием показателей эффективности (KPI)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Импорт значений показателей из 1С: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7639B">
              <w:rPr>
                <w:rFonts w:ascii="Times New Roman" w:hAnsi="Times New Roman" w:cs="Times New Roman"/>
                <w:sz w:val="28"/>
              </w:rPr>
              <w:t>Управление торговлей и 1С: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57639B">
              <w:rPr>
                <w:rFonts w:ascii="Times New Roman" w:hAnsi="Times New Roman" w:cs="Times New Roman"/>
                <w:sz w:val="28"/>
              </w:rPr>
              <w:t>Розница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Учет деятельности нескольких организаций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Возможность изменения (конфигурирования) прикладного решения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Многопользовательский режим работы, в том числе поддержка клиент-серверного варианта работы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446FBE" w:rsidRPr="00775EE6" w:rsidTr="00775EE6">
        <w:trPr>
          <w:trHeight w:val="354"/>
        </w:trPr>
        <w:tc>
          <w:tcPr>
            <w:tcW w:w="3969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Работа территориально распределенных информационных баз</w:t>
            </w:r>
          </w:p>
        </w:tc>
        <w:tc>
          <w:tcPr>
            <w:tcW w:w="3512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3600" w:type="dxa"/>
          </w:tcPr>
          <w:p w:rsidR="00446FBE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Набор персонала с использованием поиска кандидатов на популярных кадровых сайтах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 xml:space="preserve">Поддержка </w:t>
            </w:r>
            <w:proofErr w:type="spellStart"/>
            <w:r w:rsidRPr="0057639B">
              <w:rPr>
                <w:rFonts w:ascii="Times New Roman" w:hAnsi="Times New Roman" w:cs="Times New Roman"/>
                <w:sz w:val="28"/>
              </w:rPr>
              <w:t>грейдов</w:t>
            </w:r>
            <w:proofErr w:type="spellEnd"/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Социальные льготы и компенсации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lastRenderedPageBreak/>
              <w:t>Адаптация, обучение и развитие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Кадровый резерв и управление талантами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Анализ расходов на персонал по проектам и направлениям деятельности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Охрана труда: допуски к работам, медосмотры, инструктажи, учет несчастных случаев на производстве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  <w:tr w:rsidR="00775EE6" w:rsidRPr="00775EE6" w:rsidTr="00775EE6">
        <w:trPr>
          <w:trHeight w:val="354"/>
        </w:trPr>
        <w:tc>
          <w:tcPr>
            <w:tcW w:w="3969" w:type="dxa"/>
          </w:tcPr>
          <w:p w:rsidR="00775EE6" w:rsidRPr="00775EE6" w:rsidRDefault="0057639B" w:rsidP="00356FF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7639B">
              <w:rPr>
                <w:rFonts w:ascii="Times New Roman" w:hAnsi="Times New Roman" w:cs="Times New Roman"/>
                <w:sz w:val="28"/>
              </w:rPr>
              <w:t>Удаленный доступ для линейных руководителей и сотрудников</w:t>
            </w:r>
          </w:p>
        </w:tc>
        <w:tc>
          <w:tcPr>
            <w:tcW w:w="3512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3600" w:type="dxa"/>
          </w:tcPr>
          <w:p w:rsidR="00775EE6" w:rsidRPr="00775EE6" w:rsidRDefault="00446FBE" w:rsidP="00446FB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</w:tr>
    </w:tbl>
    <w:p w:rsidR="00B729AA" w:rsidRDefault="00B729AA"/>
    <w:p w:rsidR="00446FBE" w:rsidRDefault="00832E7A" w:rsidP="00832E7A">
      <w:pPr>
        <w:jc w:val="center"/>
        <w:rPr>
          <w:rFonts w:ascii="Times New Roman" w:hAnsi="Times New Roman" w:cs="Times New Roman"/>
          <w:b/>
          <w:sz w:val="28"/>
        </w:rPr>
      </w:pPr>
      <w:r w:rsidRPr="00832E7A">
        <w:rPr>
          <w:rFonts w:ascii="Times New Roman" w:hAnsi="Times New Roman" w:cs="Times New Roman"/>
          <w:b/>
          <w:sz w:val="28"/>
        </w:rPr>
        <w:t>Часть 2.</w:t>
      </w:r>
    </w:p>
    <w:p w:rsidR="00832E7A" w:rsidRDefault="00832E7A" w:rsidP="00832E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DF95017" wp14:editId="0AFBF0D2">
            <wp:extent cx="5940425" cy="3366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7A" w:rsidRDefault="00832E7A" w:rsidP="00832E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8414987" wp14:editId="3D2C4562">
            <wp:extent cx="5940425" cy="1254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E7A" w:rsidRPr="00832E7A" w:rsidRDefault="001D29F7" w:rsidP="00832E7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FE4BD4" wp14:editId="3DB8804A">
            <wp:extent cx="5940425" cy="42329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E7A" w:rsidRPr="00832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118"/>
    <w:rsid w:val="001D29F7"/>
    <w:rsid w:val="00446FBE"/>
    <w:rsid w:val="0057639B"/>
    <w:rsid w:val="00722118"/>
    <w:rsid w:val="00775EE6"/>
    <w:rsid w:val="00832E7A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D3CA8-4D79-4AB1-AB7D-FAC9545E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2023-03-22T05:50:00Z</dcterms:created>
  <dcterms:modified xsi:type="dcterms:W3CDTF">2023-03-22T10:51:00Z</dcterms:modified>
</cp:coreProperties>
</file>