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9AA" w:rsidRPr="00AC4DD3" w:rsidRDefault="00AC4DD3" w:rsidP="00AC4DD3">
      <w:pPr>
        <w:pBdr>
          <w:bottom w:val="single" w:sz="12" w:space="1" w:color="auto"/>
        </w:pBdr>
        <w:jc w:val="center"/>
        <w:rPr>
          <w:rFonts w:ascii="Times New Roman" w:hAnsi="Times New Roman" w:cs="Times New Roman"/>
          <w:b/>
          <w:i/>
          <w:sz w:val="32"/>
          <w:szCs w:val="32"/>
        </w:rPr>
      </w:pPr>
      <w:r w:rsidRPr="00AC4DD3">
        <w:rPr>
          <w:rFonts w:ascii="Times New Roman" w:hAnsi="Times New Roman" w:cs="Times New Roman"/>
          <w:b/>
          <w:i/>
          <w:sz w:val="32"/>
          <w:szCs w:val="32"/>
        </w:rPr>
        <w:t>2011</w:t>
      </w:r>
    </w:p>
    <w:p w:rsidR="00AC4DD3" w:rsidRPr="00AC4DD3" w:rsidRDefault="00AC4DD3" w:rsidP="00AC4DD3">
      <w:pPr>
        <w:rPr>
          <w:rFonts w:ascii="Times New Roman" w:hAnsi="Times New Roman" w:cs="Times New Roman"/>
          <w:b/>
          <w:sz w:val="28"/>
          <w:szCs w:val="28"/>
        </w:rPr>
      </w:pPr>
      <w:r w:rsidRPr="00AC4DD3">
        <w:rPr>
          <w:rFonts w:ascii="Times New Roman" w:hAnsi="Times New Roman" w:cs="Times New Roman"/>
          <w:b/>
          <w:sz w:val="28"/>
          <w:szCs w:val="28"/>
        </w:rPr>
        <w:t>Второй квартал</w:t>
      </w:r>
    </w:p>
    <w:p w:rsidR="00AC4DD3" w:rsidRPr="00AC4DD3" w:rsidRDefault="00AC4DD3" w:rsidP="00AC4DD3">
      <w:pPr>
        <w:rPr>
          <w:rFonts w:ascii="Times New Roman" w:hAnsi="Times New Roman" w:cs="Times New Roman"/>
          <w:sz w:val="28"/>
          <w:szCs w:val="28"/>
        </w:rPr>
      </w:pPr>
      <w:r w:rsidRPr="00AC4DD3">
        <w:rPr>
          <w:rFonts w:ascii="Times New Roman" w:hAnsi="Times New Roman" w:cs="Times New Roman"/>
          <w:sz w:val="28"/>
          <w:szCs w:val="28"/>
        </w:rPr>
        <w:t xml:space="preserve">Согласно </w:t>
      </w:r>
      <w:proofErr w:type="spellStart"/>
      <w:r w:rsidRPr="00AC4DD3">
        <w:rPr>
          <w:rFonts w:ascii="Times New Roman" w:hAnsi="Times New Roman" w:cs="Times New Roman"/>
          <w:b/>
          <w:sz w:val="28"/>
          <w:szCs w:val="28"/>
        </w:rPr>
        <w:t>Ovum</w:t>
      </w:r>
      <w:proofErr w:type="spellEnd"/>
      <w:r w:rsidRPr="00AC4DD3">
        <w:rPr>
          <w:rFonts w:ascii="Times New Roman" w:hAnsi="Times New Roman" w:cs="Times New Roman"/>
          <w:sz w:val="28"/>
          <w:szCs w:val="28"/>
        </w:rPr>
        <w:t xml:space="preserve">, сумма всех заключенных во II квартале 2011 г. контрактов на оказание ИТ-услуг достигла $19 млрд - наименьшего значения с I квартала 2003 г. При этом не было зафиксировано не одной крупной сделки, размер которой составил бы $1 млрд и выше. Среди наиболее крупных сделок тогда </w:t>
      </w:r>
      <w:proofErr w:type="gramStart"/>
      <w:r w:rsidRPr="00AC4DD3">
        <w:rPr>
          <w:rFonts w:ascii="Times New Roman" w:hAnsi="Times New Roman" w:cs="Times New Roman"/>
          <w:sz w:val="28"/>
          <w:szCs w:val="28"/>
        </w:rPr>
        <w:t>отмечались :</w:t>
      </w:r>
      <w:proofErr w:type="gramEnd"/>
      <w:r w:rsidRPr="00AC4DD3">
        <w:rPr>
          <w:rFonts w:ascii="Times New Roman" w:hAnsi="Times New Roman" w:cs="Times New Roman"/>
          <w:sz w:val="28"/>
          <w:szCs w:val="28"/>
        </w:rPr>
        <w:t xml:space="preserve"> 5-летний контракт на поставку компьютерного оборудования налоговой инспекции в Австралии, подписанный с HP ($500 млн), и две сделки стоимостью более $100 млн, включая 5-летний контракт между индийской </w:t>
      </w:r>
      <w:proofErr w:type="spellStart"/>
      <w:r w:rsidRPr="00AC4DD3">
        <w:rPr>
          <w:rFonts w:ascii="Times New Roman" w:hAnsi="Times New Roman" w:cs="Times New Roman"/>
          <w:sz w:val="28"/>
          <w:szCs w:val="28"/>
        </w:rPr>
        <w:t>Tech</w:t>
      </w:r>
      <w:proofErr w:type="spellEnd"/>
      <w:r w:rsidRPr="00AC4DD3">
        <w:rPr>
          <w:rFonts w:ascii="Times New Roman" w:hAnsi="Times New Roman" w:cs="Times New Roman"/>
          <w:sz w:val="28"/>
          <w:szCs w:val="28"/>
        </w:rPr>
        <w:t xml:space="preserve"> </w:t>
      </w:r>
      <w:proofErr w:type="spellStart"/>
      <w:r w:rsidRPr="00AC4DD3">
        <w:rPr>
          <w:rFonts w:ascii="Times New Roman" w:hAnsi="Times New Roman" w:cs="Times New Roman"/>
          <w:sz w:val="28"/>
          <w:szCs w:val="28"/>
        </w:rPr>
        <w:t>Mahindra</w:t>
      </w:r>
      <w:proofErr w:type="spellEnd"/>
      <w:r w:rsidRPr="00AC4DD3">
        <w:rPr>
          <w:rFonts w:ascii="Times New Roman" w:hAnsi="Times New Roman" w:cs="Times New Roman"/>
          <w:sz w:val="28"/>
          <w:szCs w:val="28"/>
        </w:rPr>
        <w:t xml:space="preserve"> и а</w:t>
      </w:r>
      <w:r>
        <w:rPr>
          <w:rFonts w:ascii="Times New Roman" w:hAnsi="Times New Roman" w:cs="Times New Roman"/>
          <w:sz w:val="28"/>
          <w:szCs w:val="28"/>
        </w:rPr>
        <w:t xml:space="preserve">встралийским филиалом </w:t>
      </w:r>
      <w:proofErr w:type="spellStart"/>
      <w:r>
        <w:rPr>
          <w:rFonts w:ascii="Times New Roman" w:hAnsi="Times New Roman" w:cs="Times New Roman"/>
          <w:sz w:val="28"/>
          <w:szCs w:val="28"/>
        </w:rPr>
        <w:t>Vodafone</w:t>
      </w:r>
      <w:proofErr w:type="spellEnd"/>
      <w:r>
        <w:rPr>
          <w:rFonts w:ascii="Times New Roman" w:hAnsi="Times New Roman" w:cs="Times New Roman"/>
          <w:sz w:val="28"/>
          <w:szCs w:val="28"/>
        </w:rPr>
        <w:t>.</w:t>
      </w:r>
    </w:p>
    <w:p w:rsidR="00AC4DD3" w:rsidRPr="00AC4DD3" w:rsidRDefault="00AC4DD3" w:rsidP="00AC4DD3">
      <w:pPr>
        <w:rPr>
          <w:rFonts w:ascii="Times New Roman" w:hAnsi="Times New Roman" w:cs="Times New Roman"/>
          <w:sz w:val="28"/>
          <w:szCs w:val="28"/>
        </w:rPr>
      </w:pPr>
      <w:r w:rsidRPr="00AC4DD3">
        <w:rPr>
          <w:rFonts w:ascii="Times New Roman" w:hAnsi="Times New Roman" w:cs="Times New Roman"/>
          <w:sz w:val="28"/>
          <w:szCs w:val="28"/>
        </w:rPr>
        <w:t>Во II квартале 2011 г. сумма всех заключенных в мире контрактов на оказание ИТ-услуг и поставку оборудования сократилась на 40% по сравнению с аналогичным периодом 2010 года до минимального значения за последние 8 лет, сообщает</w:t>
      </w:r>
      <w:r>
        <w:rPr>
          <w:rFonts w:ascii="Times New Roman" w:hAnsi="Times New Roman" w:cs="Times New Roman"/>
          <w:sz w:val="28"/>
          <w:szCs w:val="28"/>
        </w:rPr>
        <w:t xml:space="preserve"> консалтинговое агентство </w:t>
      </w:r>
      <w:proofErr w:type="spellStart"/>
      <w:r>
        <w:rPr>
          <w:rFonts w:ascii="Times New Roman" w:hAnsi="Times New Roman" w:cs="Times New Roman"/>
          <w:sz w:val="28"/>
          <w:szCs w:val="28"/>
        </w:rPr>
        <w:t>Ovum</w:t>
      </w:r>
      <w:proofErr w:type="spellEnd"/>
      <w:r>
        <w:rPr>
          <w:rFonts w:ascii="Times New Roman" w:hAnsi="Times New Roman" w:cs="Times New Roman"/>
          <w:sz w:val="28"/>
          <w:szCs w:val="28"/>
        </w:rPr>
        <w:t>.</w:t>
      </w:r>
    </w:p>
    <w:p w:rsidR="00AC4DD3" w:rsidRPr="00AC4DD3" w:rsidRDefault="00AC4DD3" w:rsidP="00AC4DD3">
      <w:pPr>
        <w:rPr>
          <w:rFonts w:ascii="Times New Roman" w:hAnsi="Times New Roman" w:cs="Times New Roman"/>
          <w:sz w:val="28"/>
          <w:szCs w:val="28"/>
        </w:rPr>
      </w:pPr>
      <w:r w:rsidRPr="00AC4DD3">
        <w:rPr>
          <w:rFonts w:ascii="Times New Roman" w:hAnsi="Times New Roman" w:cs="Times New Roman"/>
          <w:sz w:val="28"/>
          <w:szCs w:val="28"/>
        </w:rPr>
        <w:t xml:space="preserve">Кроме того, аналитики </w:t>
      </w:r>
      <w:proofErr w:type="spellStart"/>
      <w:r w:rsidRPr="00AC4DD3">
        <w:rPr>
          <w:rFonts w:ascii="Times New Roman" w:hAnsi="Times New Roman" w:cs="Times New Roman"/>
          <w:sz w:val="28"/>
          <w:szCs w:val="28"/>
        </w:rPr>
        <w:t>Ovum</w:t>
      </w:r>
      <w:proofErr w:type="spellEnd"/>
      <w:r w:rsidRPr="00AC4DD3">
        <w:rPr>
          <w:rFonts w:ascii="Times New Roman" w:hAnsi="Times New Roman" w:cs="Times New Roman"/>
          <w:sz w:val="28"/>
          <w:szCs w:val="28"/>
        </w:rPr>
        <w:t xml:space="preserve"> в четвертый раз отметили сокращение числа контрактов: во II квартале 2011 года их количество составило 384, что на 20% меньше по сравнению с аналогичным периодом 2010 года. Таким образом, сделок становится меньше, и они сами становятс</w:t>
      </w:r>
      <w:r>
        <w:rPr>
          <w:rFonts w:ascii="Times New Roman" w:hAnsi="Times New Roman" w:cs="Times New Roman"/>
          <w:sz w:val="28"/>
          <w:szCs w:val="28"/>
        </w:rPr>
        <w:t>я дешевле, резюмируют эксперты.</w:t>
      </w:r>
    </w:p>
    <w:p w:rsidR="00AC4DD3" w:rsidRDefault="00AC4DD3" w:rsidP="00AC4DD3">
      <w:pPr>
        <w:rPr>
          <w:rFonts w:ascii="Times New Roman" w:hAnsi="Times New Roman" w:cs="Times New Roman"/>
          <w:sz w:val="28"/>
          <w:szCs w:val="28"/>
        </w:rPr>
      </w:pPr>
      <w:r w:rsidRPr="00AC4DD3">
        <w:rPr>
          <w:rFonts w:ascii="Times New Roman" w:hAnsi="Times New Roman" w:cs="Times New Roman"/>
          <w:sz w:val="28"/>
          <w:szCs w:val="28"/>
        </w:rPr>
        <w:t>На Европу во II квартале пришлось 58% объема частного сегмента мирового рынка ИТ-услуг. Главным образом это было связано с активностью заказчиков в Дании, Финляндии, Норвегии и Швеции. Для сравнения, на Северную Америку, которая традиционно считалась одним из основных рынков, в указанный период пришлось лишь 15,5% объема частного сектора против 39% годом ранее.</w:t>
      </w:r>
    </w:p>
    <w:p w:rsidR="00AC4DD3" w:rsidRPr="00AC4DD3" w:rsidRDefault="00AC4DD3" w:rsidP="00AC4DD3">
      <w:pPr>
        <w:rPr>
          <w:rFonts w:ascii="Times New Roman" w:hAnsi="Times New Roman" w:cs="Times New Roman"/>
          <w:b/>
          <w:sz w:val="28"/>
          <w:szCs w:val="28"/>
        </w:rPr>
      </w:pPr>
      <w:r w:rsidRPr="00AC4DD3">
        <w:rPr>
          <w:rFonts w:ascii="Times New Roman" w:hAnsi="Times New Roman" w:cs="Times New Roman"/>
          <w:b/>
          <w:sz w:val="28"/>
          <w:szCs w:val="28"/>
        </w:rPr>
        <w:t>Третий квартал</w:t>
      </w:r>
    </w:p>
    <w:p w:rsidR="00AC4DD3" w:rsidRPr="00AC4DD3" w:rsidRDefault="00AC4DD3" w:rsidP="00AC4DD3">
      <w:pPr>
        <w:rPr>
          <w:rFonts w:ascii="Times New Roman" w:hAnsi="Times New Roman" w:cs="Times New Roman"/>
          <w:sz w:val="28"/>
          <w:szCs w:val="28"/>
        </w:rPr>
      </w:pPr>
      <w:r w:rsidRPr="00AC4DD3">
        <w:rPr>
          <w:rFonts w:ascii="Times New Roman" w:hAnsi="Times New Roman" w:cs="Times New Roman"/>
          <w:sz w:val="28"/>
          <w:szCs w:val="28"/>
        </w:rPr>
        <w:t xml:space="preserve">В третьем квартале 2011 года мировой рынок ИТ-сервисов показывал умеренный рост квартал к кварталу в разрезе подписания новых контрактов, заявила исследовательская компания </w:t>
      </w:r>
      <w:proofErr w:type="spellStart"/>
      <w:r w:rsidRPr="00AC4DD3">
        <w:rPr>
          <w:rFonts w:ascii="Times New Roman" w:hAnsi="Times New Roman" w:cs="Times New Roman"/>
          <w:b/>
          <w:sz w:val="28"/>
          <w:szCs w:val="28"/>
        </w:rPr>
        <w:t>Ovum</w:t>
      </w:r>
      <w:proofErr w:type="spellEnd"/>
      <w:r w:rsidRPr="00AC4DD3">
        <w:rPr>
          <w:rFonts w:ascii="Times New Roman" w:hAnsi="Times New Roman" w:cs="Times New Roman"/>
          <w:sz w:val="28"/>
          <w:szCs w:val="28"/>
        </w:rPr>
        <w:t>. Однако общее число заключенных сделок и совокупная стоимость контрактов (</w:t>
      </w:r>
      <w:proofErr w:type="spellStart"/>
      <w:r w:rsidRPr="00AC4DD3">
        <w:rPr>
          <w:rFonts w:ascii="Times New Roman" w:hAnsi="Times New Roman" w:cs="Times New Roman"/>
          <w:sz w:val="28"/>
          <w:szCs w:val="28"/>
        </w:rPr>
        <w:t>total</w:t>
      </w:r>
      <w:proofErr w:type="spellEnd"/>
      <w:r w:rsidRPr="00AC4DD3">
        <w:rPr>
          <w:rFonts w:ascii="Times New Roman" w:hAnsi="Times New Roman" w:cs="Times New Roman"/>
          <w:sz w:val="28"/>
          <w:szCs w:val="28"/>
        </w:rPr>
        <w:t xml:space="preserve"> </w:t>
      </w:r>
      <w:proofErr w:type="spellStart"/>
      <w:r w:rsidRPr="00AC4DD3">
        <w:rPr>
          <w:rFonts w:ascii="Times New Roman" w:hAnsi="Times New Roman" w:cs="Times New Roman"/>
          <w:sz w:val="28"/>
          <w:szCs w:val="28"/>
        </w:rPr>
        <w:t>contract</w:t>
      </w:r>
      <w:proofErr w:type="spellEnd"/>
      <w:r w:rsidRPr="00AC4DD3">
        <w:rPr>
          <w:rFonts w:ascii="Times New Roman" w:hAnsi="Times New Roman" w:cs="Times New Roman"/>
          <w:sz w:val="28"/>
          <w:szCs w:val="28"/>
        </w:rPr>
        <w:t xml:space="preserve"> </w:t>
      </w:r>
      <w:proofErr w:type="spellStart"/>
      <w:r w:rsidRPr="00AC4DD3">
        <w:rPr>
          <w:rFonts w:ascii="Times New Roman" w:hAnsi="Times New Roman" w:cs="Times New Roman"/>
          <w:sz w:val="28"/>
          <w:szCs w:val="28"/>
        </w:rPr>
        <w:t>value</w:t>
      </w:r>
      <w:proofErr w:type="spellEnd"/>
      <w:r w:rsidRPr="00AC4DD3">
        <w:rPr>
          <w:rFonts w:ascii="Times New Roman" w:hAnsi="Times New Roman" w:cs="Times New Roman"/>
          <w:sz w:val="28"/>
          <w:szCs w:val="28"/>
        </w:rPr>
        <w:t xml:space="preserve">, TCV) оказались ниже, чем в </w:t>
      </w:r>
      <w:r>
        <w:rPr>
          <w:rFonts w:ascii="Times New Roman" w:hAnsi="Times New Roman" w:cs="Times New Roman"/>
          <w:sz w:val="28"/>
          <w:szCs w:val="28"/>
        </w:rPr>
        <w:t>аналогичном квартале 2010 года.</w:t>
      </w:r>
    </w:p>
    <w:p w:rsidR="00AC4DD3" w:rsidRPr="00AC4DD3" w:rsidRDefault="00AC4DD3" w:rsidP="00AC4DD3">
      <w:pPr>
        <w:rPr>
          <w:rFonts w:ascii="Times New Roman" w:hAnsi="Times New Roman" w:cs="Times New Roman"/>
          <w:sz w:val="28"/>
          <w:szCs w:val="28"/>
        </w:rPr>
      </w:pPr>
      <w:r w:rsidRPr="00AC4DD3">
        <w:rPr>
          <w:rFonts w:ascii="Times New Roman" w:hAnsi="Times New Roman" w:cs="Times New Roman"/>
          <w:sz w:val="28"/>
          <w:szCs w:val="28"/>
        </w:rPr>
        <w:t xml:space="preserve">Показатель TVC достиг 20,3 млрд евро в третьем квартале 2011 года, что на 43% больше в квартальном выражении и на 9% меньше – в годовом. Что же касается количества контрактов, то оно увеличилось тогда с 384 до 416 квартал к кварталу 2011 года, но показатель третьего квартала на 12% ниже </w:t>
      </w:r>
      <w:r>
        <w:rPr>
          <w:rFonts w:ascii="Times New Roman" w:hAnsi="Times New Roman" w:cs="Times New Roman"/>
          <w:sz w:val="28"/>
          <w:szCs w:val="28"/>
        </w:rPr>
        <w:t>аналогичного периода 2010 года.</w:t>
      </w:r>
    </w:p>
    <w:p w:rsidR="00AC4DD3" w:rsidRPr="00AC4DD3" w:rsidRDefault="00AC4DD3" w:rsidP="00AC4DD3">
      <w:pPr>
        <w:rPr>
          <w:rFonts w:ascii="Times New Roman" w:hAnsi="Times New Roman" w:cs="Times New Roman"/>
          <w:sz w:val="28"/>
          <w:szCs w:val="28"/>
        </w:rPr>
      </w:pPr>
      <w:r w:rsidRPr="00AC4DD3">
        <w:rPr>
          <w:rFonts w:ascii="Times New Roman" w:hAnsi="Times New Roman" w:cs="Times New Roman"/>
          <w:sz w:val="28"/>
          <w:szCs w:val="28"/>
        </w:rPr>
        <w:lastRenderedPageBreak/>
        <w:t xml:space="preserve">По данным </w:t>
      </w:r>
      <w:proofErr w:type="spellStart"/>
      <w:r w:rsidRPr="00AC4DD3">
        <w:rPr>
          <w:rFonts w:ascii="Times New Roman" w:hAnsi="Times New Roman" w:cs="Times New Roman"/>
          <w:sz w:val="28"/>
          <w:szCs w:val="28"/>
        </w:rPr>
        <w:t>Ovum</w:t>
      </w:r>
      <w:proofErr w:type="spellEnd"/>
      <w:r w:rsidRPr="00AC4DD3">
        <w:rPr>
          <w:rFonts w:ascii="Times New Roman" w:hAnsi="Times New Roman" w:cs="Times New Roman"/>
          <w:sz w:val="28"/>
          <w:szCs w:val="28"/>
        </w:rPr>
        <w:t>, рост показателя TVC в частном секторе вернулся к росту в третьем квартале, но все же он еще ниже, чем был в 2010 году. В Европе показатель TVC в частном секторе достиг 2,2 млрд евро в третьем квартале 2011 года, более чем треть этой сумм</w:t>
      </w:r>
      <w:r>
        <w:rPr>
          <w:rFonts w:ascii="Times New Roman" w:hAnsi="Times New Roman" w:cs="Times New Roman"/>
          <w:sz w:val="28"/>
          <w:szCs w:val="28"/>
        </w:rPr>
        <w:t>ы приходится на Великобританию.</w:t>
      </w:r>
    </w:p>
    <w:p w:rsidR="00AC4DD3" w:rsidRDefault="00AC4DD3" w:rsidP="00AC4DD3">
      <w:pPr>
        <w:rPr>
          <w:rFonts w:ascii="Times New Roman" w:hAnsi="Times New Roman" w:cs="Times New Roman"/>
          <w:sz w:val="28"/>
          <w:szCs w:val="28"/>
        </w:rPr>
      </w:pPr>
      <w:r w:rsidRPr="00AC4DD3">
        <w:rPr>
          <w:rFonts w:ascii="Times New Roman" w:hAnsi="Times New Roman" w:cs="Times New Roman"/>
          <w:sz w:val="28"/>
          <w:szCs w:val="28"/>
        </w:rPr>
        <w:t xml:space="preserve">По словам автора исследования и аналитика </w:t>
      </w:r>
      <w:proofErr w:type="spellStart"/>
      <w:r w:rsidRPr="00AC4DD3">
        <w:rPr>
          <w:rFonts w:ascii="Times New Roman" w:hAnsi="Times New Roman" w:cs="Times New Roman"/>
          <w:sz w:val="28"/>
          <w:szCs w:val="28"/>
        </w:rPr>
        <w:t>Ovum</w:t>
      </w:r>
      <w:proofErr w:type="spellEnd"/>
      <w:r w:rsidRPr="00AC4DD3">
        <w:rPr>
          <w:rFonts w:ascii="Times New Roman" w:hAnsi="Times New Roman" w:cs="Times New Roman"/>
          <w:sz w:val="28"/>
          <w:szCs w:val="28"/>
        </w:rPr>
        <w:t xml:space="preserve"> Эда Томаса (</w:t>
      </w:r>
      <w:proofErr w:type="spellStart"/>
      <w:r w:rsidRPr="00AC4DD3">
        <w:rPr>
          <w:rFonts w:ascii="Times New Roman" w:hAnsi="Times New Roman" w:cs="Times New Roman"/>
          <w:sz w:val="28"/>
          <w:szCs w:val="28"/>
        </w:rPr>
        <w:t>Ed</w:t>
      </w:r>
      <w:proofErr w:type="spellEnd"/>
      <w:r w:rsidRPr="00AC4DD3">
        <w:rPr>
          <w:rFonts w:ascii="Times New Roman" w:hAnsi="Times New Roman" w:cs="Times New Roman"/>
          <w:sz w:val="28"/>
          <w:szCs w:val="28"/>
        </w:rPr>
        <w:t xml:space="preserve"> </w:t>
      </w:r>
      <w:proofErr w:type="spellStart"/>
      <w:r w:rsidRPr="00AC4DD3">
        <w:rPr>
          <w:rFonts w:ascii="Times New Roman" w:hAnsi="Times New Roman" w:cs="Times New Roman"/>
          <w:sz w:val="28"/>
          <w:szCs w:val="28"/>
        </w:rPr>
        <w:t>Thomas</w:t>
      </w:r>
      <w:proofErr w:type="spellEnd"/>
      <w:r w:rsidRPr="00AC4DD3">
        <w:rPr>
          <w:rFonts w:ascii="Times New Roman" w:hAnsi="Times New Roman" w:cs="Times New Roman"/>
          <w:sz w:val="28"/>
          <w:szCs w:val="28"/>
        </w:rPr>
        <w:t xml:space="preserve">), после очередного неутешительного квартала вполне может оказаться, что показатель TVC 2011 года будет самым низким за последние 8 лет. «Теперь </w:t>
      </w:r>
      <w:proofErr w:type="spellStart"/>
      <w:r w:rsidRPr="00AC4DD3">
        <w:rPr>
          <w:rFonts w:ascii="Times New Roman" w:hAnsi="Times New Roman" w:cs="Times New Roman"/>
          <w:sz w:val="28"/>
          <w:szCs w:val="28"/>
        </w:rPr>
        <w:t>вендорам</w:t>
      </w:r>
      <w:proofErr w:type="spellEnd"/>
      <w:r w:rsidRPr="00AC4DD3">
        <w:rPr>
          <w:rFonts w:ascii="Times New Roman" w:hAnsi="Times New Roman" w:cs="Times New Roman"/>
          <w:sz w:val="28"/>
          <w:szCs w:val="28"/>
        </w:rPr>
        <w:t xml:space="preserve"> остается только надеется, что четвертый квартал исправит ситуацию как в прошлом году: тогда небывалое количество заключенных мега-сделок подняло TVC за три месяца до 37,1 млрд евро», - отметил он.</w:t>
      </w:r>
    </w:p>
    <w:p w:rsidR="00AC4DD3" w:rsidRDefault="00AC4DD3" w:rsidP="00AC4DD3">
      <w:pPr>
        <w:pBdr>
          <w:bottom w:val="single" w:sz="12" w:space="1" w:color="auto"/>
        </w:pBdr>
        <w:jc w:val="center"/>
        <w:rPr>
          <w:rFonts w:ascii="Times New Roman" w:hAnsi="Times New Roman" w:cs="Times New Roman"/>
          <w:b/>
          <w:i/>
          <w:sz w:val="32"/>
          <w:szCs w:val="28"/>
        </w:rPr>
      </w:pPr>
      <w:r w:rsidRPr="00AC4DD3">
        <w:rPr>
          <w:rFonts w:ascii="Times New Roman" w:hAnsi="Times New Roman" w:cs="Times New Roman"/>
          <w:b/>
          <w:i/>
          <w:sz w:val="32"/>
          <w:szCs w:val="28"/>
        </w:rPr>
        <w:t>2012</w:t>
      </w:r>
    </w:p>
    <w:p w:rsidR="00AC4DD3" w:rsidRPr="00AC4DD3" w:rsidRDefault="00AC4DD3" w:rsidP="00AC4DD3">
      <w:pPr>
        <w:rPr>
          <w:rFonts w:ascii="Times New Roman" w:hAnsi="Times New Roman" w:cs="Times New Roman"/>
          <w:b/>
          <w:sz w:val="28"/>
          <w:szCs w:val="28"/>
        </w:rPr>
      </w:pPr>
      <w:r w:rsidRPr="00AC4DD3">
        <w:rPr>
          <w:rFonts w:ascii="Times New Roman" w:hAnsi="Times New Roman" w:cs="Times New Roman"/>
          <w:b/>
          <w:sz w:val="28"/>
          <w:szCs w:val="28"/>
        </w:rPr>
        <w:t>Регион EMEA</w:t>
      </w:r>
    </w:p>
    <w:p w:rsidR="00AC4DD3" w:rsidRPr="00AC4DD3" w:rsidRDefault="00AC4DD3" w:rsidP="00AC4DD3">
      <w:pPr>
        <w:rPr>
          <w:rFonts w:ascii="Times New Roman" w:hAnsi="Times New Roman" w:cs="Times New Roman"/>
          <w:sz w:val="28"/>
          <w:szCs w:val="28"/>
        </w:rPr>
      </w:pPr>
      <w:r w:rsidRPr="00AC4DD3">
        <w:rPr>
          <w:rFonts w:ascii="Times New Roman" w:hAnsi="Times New Roman" w:cs="Times New Roman"/>
          <w:sz w:val="28"/>
          <w:szCs w:val="28"/>
        </w:rPr>
        <w:t xml:space="preserve">По данным исследования IDC </w:t>
      </w:r>
      <w:proofErr w:type="spellStart"/>
      <w:r w:rsidRPr="00AC4DD3">
        <w:rPr>
          <w:rFonts w:ascii="Times New Roman" w:hAnsi="Times New Roman" w:cs="Times New Roman"/>
          <w:sz w:val="28"/>
          <w:szCs w:val="28"/>
        </w:rPr>
        <w:t>MarketScape</w:t>
      </w:r>
      <w:proofErr w:type="spellEnd"/>
      <w:r w:rsidRPr="00AC4DD3">
        <w:rPr>
          <w:rFonts w:ascii="Times New Roman" w:hAnsi="Times New Roman" w:cs="Times New Roman"/>
          <w:sz w:val="28"/>
          <w:szCs w:val="28"/>
        </w:rPr>
        <w:t xml:space="preserve">: EMEA </w:t>
      </w:r>
      <w:proofErr w:type="spellStart"/>
      <w:r w:rsidRPr="00AC4DD3">
        <w:rPr>
          <w:rFonts w:ascii="Times New Roman" w:hAnsi="Times New Roman" w:cs="Times New Roman"/>
          <w:sz w:val="28"/>
          <w:szCs w:val="28"/>
        </w:rPr>
        <w:t>Business</w:t>
      </w:r>
      <w:proofErr w:type="spellEnd"/>
      <w:r w:rsidRPr="00AC4DD3">
        <w:rPr>
          <w:rFonts w:ascii="Times New Roman" w:hAnsi="Times New Roman" w:cs="Times New Roman"/>
          <w:sz w:val="28"/>
          <w:szCs w:val="28"/>
        </w:rPr>
        <w:t xml:space="preserve"> </w:t>
      </w:r>
      <w:proofErr w:type="spellStart"/>
      <w:r w:rsidRPr="00AC4DD3">
        <w:rPr>
          <w:rFonts w:ascii="Times New Roman" w:hAnsi="Times New Roman" w:cs="Times New Roman"/>
          <w:sz w:val="28"/>
          <w:szCs w:val="28"/>
        </w:rPr>
        <w:t>Consulting</w:t>
      </w:r>
      <w:proofErr w:type="spellEnd"/>
      <w:r w:rsidRPr="00AC4DD3">
        <w:rPr>
          <w:rFonts w:ascii="Times New Roman" w:hAnsi="Times New Roman" w:cs="Times New Roman"/>
          <w:sz w:val="28"/>
          <w:szCs w:val="28"/>
        </w:rPr>
        <w:t xml:space="preserve"> </w:t>
      </w:r>
      <w:proofErr w:type="spellStart"/>
      <w:r w:rsidRPr="00AC4DD3">
        <w:rPr>
          <w:rFonts w:ascii="Times New Roman" w:hAnsi="Times New Roman" w:cs="Times New Roman"/>
          <w:sz w:val="28"/>
          <w:szCs w:val="28"/>
        </w:rPr>
        <w:t>Services</w:t>
      </w:r>
      <w:proofErr w:type="spellEnd"/>
      <w:r w:rsidRPr="00AC4DD3">
        <w:rPr>
          <w:rFonts w:ascii="Times New Roman" w:hAnsi="Times New Roman" w:cs="Times New Roman"/>
          <w:sz w:val="28"/>
          <w:szCs w:val="28"/>
        </w:rPr>
        <w:t xml:space="preserve">, на рынке бизнес-консалтинга в регионе EMEA в 2012 году лидируют следующие компании: </w:t>
      </w:r>
      <w:proofErr w:type="spellStart"/>
      <w:r w:rsidRPr="00AC4DD3">
        <w:rPr>
          <w:rFonts w:ascii="Times New Roman" w:hAnsi="Times New Roman" w:cs="Times New Roman"/>
          <w:sz w:val="28"/>
          <w:szCs w:val="28"/>
        </w:rPr>
        <w:t>PricewaterhouseCoopers</w:t>
      </w:r>
      <w:proofErr w:type="spellEnd"/>
      <w:r w:rsidRPr="00AC4DD3">
        <w:rPr>
          <w:rFonts w:ascii="Times New Roman" w:hAnsi="Times New Roman" w:cs="Times New Roman"/>
          <w:sz w:val="28"/>
          <w:szCs w:val="28"/>
        </w:rPr>
        <w:t xml:space="preserve">, IBM, </w:t>
      </w:r>
      <w:proofErr w:type="spellStart"/>
      <w:r w:rsidRPr="00AC4DD3">
        <w:rPr>
          <w:rFonts w:ascii="Times New Roman" w:hAnsi="Times New Roman" w:cs="Times New Roman"/>
          <w:sz w:val="28"/>
          <w:szCs w:val="28"/>
        </w:rPr>
        <w:t>Deloitte</w:t>
      </w:r>
      <w:proofErr w:type="spellEnd"/>
      <w:r w:rsidRPr="00AC4DD3">
        <w:rPr>
          <w:rFonts w:ascii="Times New Roman" w:hAnsi="Times New Roman" w:cs="Times New Roman"/>
          <w:sz w:val="28"/>
          <w:szCs w:val="28"/>
        </w:rPr>
        <w:t xml:space="preserve">, </w:t>
      </w:r>
      <w:proofErr w:type="spellStart"/>
      <w:r w:rsidRPr="00AC4DD3">
        <w:rPr>
          <w:rFonts w:ascii="Times New Roman" w:hAnsi="Times New Roman" w:cs="Times New Roman"/>
          <w:sz w:val="28"/>
          <w:szCs w:val="28"/>
        </w:rPr>
        <w:t>Ernst&amp;Young</w:t>
      </w:r>
      <w:proofErr w:type="spellEnd"/>
      <w:r w:rsidRPr="00AC4DD3">
        <w:rPr>
          <w:rFonts w:ascii="Times New Roman" w:hAnsi="Times New Roman" w:cs="Times New Roman"/>
          <w:sz w:val="28"/>
          <w:szCs w:val="28"/>
        </w:rPr>
        <w:t xml:space="preserve">, </w:t>
      </w:r>
      <w:proofErr w:type="spellStart"/>
      <w:r w:rsidRPr="00AC4DD3">
        <w:rPr>
          <w:rFonts w:ascii="Times New Roman" w:hAnsi="Times New Roman" w:cs="Times New Roman"/>
          <w:sz w:val="28"/>
          <w:szCs w:val="28"/>
        </w:rPr>
        <w:t>Accenture</w:t>
      </w:r>
      <w:proofErr w:type="spellEnd"/>
      <w:r w:rsidRPr="00AC4DD3">
        <w:rPr>
          <w:rFonts w:ascii="Times New Roman" w:hAnsi="Times New Roman" w:cs="Times New Roman"/>
          <w:sz w:val="28"/>
          <w:szCs w:val="28"/>
        </w:rPr>
        <w:t>, KPMG.</w:t>
      </w:r>
    </w:p>
    <w:p w:rsidR="00AC4DD3" w:rsidRDefault="00AC4DD3" w:rsidP="00AC4DD3">
      <w:pPr>
        <w:rPr>
          <w:rFonts w:ascii="Times New Roman" w:hAnsi="Times New Roman" w:cs="Times New Roman"/>
          <w:sz w:val="28"/>
          <w:szCs w:val="28"/>
        </w:rPr>
      </w:pPr>
      <w:r w:rsidRPr="00AC4DD3">
        <w:rPr>
          <w:rFonts w:ascii="Times New Roman" w:hAnsi="Times New Roman" w:cs="Times New Roman"/>
          <w:sz w:val="28"/>
          <w:szCs w:val="28"/>
        </w:rPr>
        <w:t xml:space="preserve">Ко второй по значимости группе IDC относила компании </w:t>
      </w:r>
      <w:proofErr w:type="spellStart"/>
      <w:r w:rsidRPr="00AC4DD3">
        <w:rPr>
          <w:rFonts w:ascii="Times New Roman" w:hAnsi="Times New Roman" w:cs="Times New Roman"/>
          <w:sz w:val="28"/>
          <w:szCs w:val="28"/>
        </w:rPr>
        <w:t>McKinsey</w:t>
      </w:r>
      <w:proofErr w:type="spellEnd"/>
      <w:r w:rsidRPr="00AC4DD3">
        <w:rPr>
          <w:rFonts w:ascii="Times New Roman" w:hAnsi="Times New Roman" w:cs="Times New Roman"/>
          <w:sz w:val="28"/>
          <w:szCs w:val="28"/>
        </w:rPr>
        <w:t xml:space="preserve">, BCG, </w:t>
      </w:r>
      <w:proofErr w:type="spellStart"/>
      <w:r w:rsidRPr="00AC4DD3">
        <w:rPr>
          <w:rFonts w:ascii="Times New Roman" w:hAnsi="Times New Roman" w:cs="Times New Roman"/>
          <w:sz w:val="28"/>
          <w:szCs w:val="28"/>
        </w:rPr>
        <w:t>BearingPoint</w:t>
      </w:r>
      <w:proofErr w:type="spellEnd"/>
      <w:r w:rsidRPr="00AC4DD3">
        <w:rPr>
          <w:rFonts w:ascii="Times New Roman" w:hAnsi="Times New Roman" w:cs="Times New Roman"/>
          <w:sz w:val="28"/>
          <w:szCs w:val="28"/>
        </w:rPr>
        <w:t xml:space="preserve">, CSC. В группу претендентов попала только одна компания – </w:t>
      </w:r>
      <w:proofErr w:type="spellStart"/>
      <w:r w:rsidRPr="00AC4DD3">
        <w:rPr>
          <w:rFonts w:ascii="Times New Roman" w:hAnsi="Times New Roman" w:cs="Times New Roman"/>
          <w:sz w:val="28"/>
          <w:szCs w:val="28"/>
        </w:rPr>
        <w:t>Booz&amp;Company</w:t>
      </w:r>
      <w:proofErr w:type="spellEnd"/>
      <w:r w:rsidRPr="00AC4DD3">
        <w:rPr>
          <w:rFonts w:ascii="Times New Roman" w:hAnsi="Times New Roman" w:cs="Times New Roman"/>
          <w:sz w:val="28"/>
          <w:szCs w:val="28"/>
        </w:rPr>
        <w:t>.</w:t>
      </w:r>
    </w:p>
    <w:p w:rsidR="00AC4DD3" w:rsidRPr="00AC4DD3" w:rsidRDefault="00AC4DD3" w:rsidP="00AC4DD3">
      <w:pPr>
        <w:rPr>
          <w:rFonts w:ascii="Times New Roman" w:hAnsi="Times New Roman" w:cs="Times New Roman"/>
          <w:b/>
          <w:sz w:val="28"/>
          <w:szCs w:val="28"/>
        </w:rPr>
      </w:pPr>
      <w:r w:rsidRPr="00AC4DD3">
        <w:rPr>
          <w:rFonts w:ascii="Times New Roman" w:hAnsi="Times New Roman" w:cs="Times New Roman"/>
          <w:b/>
          <w:sz w:val="28"/>
          <w:szCs w:val="28"/>
        </w:rPr>
        <w:t>Данные IDC</w:t>
      </w:r>
    </w:p>
    <w:p w:rsidR="00AC4DD3" w:rsidRPr="00AC4DD3" w:rsidRDefault="00AC4DD3" w:rsidP="00AC4DD3">
      <w:pPr>
        <w:rPr>
          <w:rFonts w:ascii="Times New Roman" w:hAnsi="Times New Roman" w:cs="Times New Roman"/>
          <w:sz w:val="28"/>
          <w:szCs w:val="28"/>
        </w:rPr>
      </w:pPr>
      <w:r w:rsidRPr="00AC4DD3">
        <w:rPr>
          <w:rFonts w:ascii="Times New Roman" w:hAnsi="Times New Roman" w:cs="Times New Roman"/>
          <w:sz w:val="28"/>
          <w:szCs w:val="28"/>
        </w:rPr>
        <w:t xml:space="preserve">27 марта 2012 года </w:t>
      </w:r>
      <w:proofErr w:type="spellStart"/>
      <w:r w:rsidRPr="00AC4DD3">
        <w:rPr>
          <w:rFonts w:ascii="Times New Roman" w:hAnsi="Times New Roman" w:cs="Times New Roman"/>
          <w:sz w:val="28"/>
          <w:szCs w:val="28"/>
        </w:rPr>
        <w:t>International</w:t>
      </w:r>
      <w:proofErr w:type="spellEnd"/>
      <w:r w:rsidRPr="00AC4DD3">
        <w:rPr>
          <w:rFonts w:ascii="Times New Roman" w:hAnsi="Times New Roman" w:cs="Times New Roman"/>
          <w:sz w:val="28"/>
          <w:szCs w:val="28"/>
        </w:rPr>
        <w:t xml:space="preserve"> </w:t>
      </w:r>
      <w:proofErr w:type="spellStart"/>
      <w:r w:rsidRPr="00AC4DD3">
        <w:rPr>
          <w:rFonts w:ascii="Times New Roman" w:hAnsi="Times New Roman" w:cs="Times New Roman"/>
          <w:sz w:val="28"/>
          <w:szCs w:val="28"/>
        </w:rPr>
        <w:t>Data</w:t>
      </w:r>
      <w:proofErr w:type="spellEnd"/>
      <w:r w:rsidRPr="00AC4DD3">
        <w:rPr>
          <w:rFonts w:ascii="Times New Roman" w:hAnsi="Times New Roman" w:cs="Times New Roman"/>
          <w:sz w:val="28"/>
          <w:szCs w:val="28"/>
        </w:rPr>
        <w:t xml:space="preserve"> </w:t>
      </w:r>
      <w:proofErr w:type="spellStart"/>
      <w:r w:rsidRPr="00AC4DD3">
        <w:rPr>
          <w:rFonts w:ascii="Times New Roman" w:hAnsi="Times New Roman" w:cs="Times New Roman"/>
          <w:sz w:val="28"/>
          <w:szCs w:val="28"/>
        </w:rPr>
        <w:t>Corporation</w:t>
      </w:r>
      <w:proofErr w:type="spellEnd"/>
      <w:r w:rsidRPr="00AC4DD3">
        <w:rPr>
          <w:rFonts w:ascii="Times New Roman" w:hAnsi="Times New Roman" w:cs="Times New Roman"/>
          <w:sz w:val="28"/>
          <w:szCs w:val="28"/>
        </w:rPr>
        <w:t xml:space="preserve"> (IDC) представила два отчета в новой форме </w:t>
      </w:r>
      <w:proofErr w:type="spellStart"/>
      <w:r w:rsidRPr="00AC4DD3">
        <w:rPr>
          <w:rFonts w:ascii="Times New Roman" w:hAnsi="Times New Roman" w:cs="Times New Roman"/>
          <w:sz w:val="28"/>
          <w:szCs w:val="28"/>
        </w:rPr>
        <w:t>MarketScape</w:t>
      </w:r>
      <w:proofErr w:type="spellEnd"/>
      <w:r w:rsidRPr="00AC4DD3">
        <w:rPr>
          <w:rFonts w:ascii="Times New Roman" w:hAnsi="Times New Roman" w:cs="Times New Roman"/>
          <w:sz w:val="28"/>
          <w:szCs w:val="28"/>
        </w:rPr>
        <w:t>, которые призваны оценить слабые и сильные стороны мировых компаний-консультантов по ИТ. В первом случае речь идет об архитектуре корпоративной инфраструктуры, в</w:t>
      </w:r>
      <w:r>
        <w:rPr>
          <w:rFonts w:ascii="Times New Roman" w:hAnsi="Times New Roman" w:cs="Times New Roman"/>
          <w:sz w:val="28"/>
          <w:szCs w:val="28"/>
        </w:rPr>
        <w:t>о втором – о трансформации ЦОД.</w:t>
      </w:r>
    </w:p>
    <w:p w:rsidR="00AC4DD3" w:rsidRPr="00AC4DD3" w:rsidRDefault="00AC4DD3" w:rsidP="00AC4DD3">
      <w:pPr>
        <w:rPr>
          <w:rFonts w:ascii="Times New Roman" w:hAnsi="Times New Roman" w:cs="Times New Roman"/>
          <w:sz w:val="28"/>
          <w:szCs w:val="28"/>
        </w:rPr>
      </w:pPr>
      <w:r w:rsidRPr="00AC4DD3">
        <w:rPr>
          <w:rFonts w:ascii="Times New Roman" w:hAnsi="Times New Roman" w:cs="Times New Roman"/>
          <w:sz w:val="28"/>
          <w:szCs w:val="28"/>
        </w:rPr>
        <w:t xml:space="preserve">Набор диаграмм </w:t>
      </w:r>
      <w:proofErr w:type="spellStart"/>
      <w:r w:rsidRPr="00AC4DD3">
        <w:rPr>
          <w:rFonts w:ascii="Times New Roman" w:hAnsi="Times New Roman" w:cs="Times New Roman"/>
          <w:sz w:val="28"/>
          <w:szCs w:val="28"/>
        </w:rPr>
        <w:t>MarketScape</w:t>
      </w:r>
      <w:proofErr w:type="spellEnd"/>
      <w:r w:rsidRPr="00AC4DD3">
        <w:rPr>
          <w:rFonts w:ascii="Times New Roman" w:hAnsi="Times New Roman" w:cs="Times New Roman"/>
          <w:sz w:val="28"/>
          <w:szCs w:val="28"/>
        </w:rPr>
        <w:t xml:space="preserve"> отдаленно напоминал магические квадранты </w:t>
      </w:r>
      <w:proofErr w:type="spellStart"/>
      <w:r w:rsidRPr="00AC4DD3">
        <w:rPr>
          <w:rFonts w:ascii="Times New Roman" w:hAnsi="Times New Roman" w:cs="Times New Roman"/>
          <w:sz w:val="28"/>
          <w:szCs w:val="28"/>
        </w:rPr>
        <w:t>Gartner</w:t>
      </w:r>
      <w:proofErr w:type="spellEnd"/>
      <w:r w:rsidRPr="00AC4DD3">
        <w:rPr>
          <w:rFonts w:ascii="Times New Roman" w:hAnsi="Times New Roman" w:cs="Times New Roman"/>
          <w:sz w:val="28"/>
          <w:szCs w:val="28"/>
        </w:rPr>
        <w:t xml:space="preserve">, однако </w:t>
      </w:r>
      <w:proofErr w:type="spellStart"/>
      <w:r w:rsidRPr="00AC4DD3">
        <w:rPr>
          <w:rFonts w:ascii="Times New Roman" w:hAnsi="Times New Roman" w:cs="Times New Roman"/>
          <w:sz w:val="28"/>
          <w:szCs w:val="28"/>
        </w:rPr>
        <w:t>инфографика</w:t>
      </w:r>
      <w:proofErr w:type="spellEnd"/>
      <w:r w:rsidRPr="00AC4DD3">
        <w:rPr>
          <w:rFonts w:ascii="Times New Roman" w:hAnsi="Times New Roman" w:cs="Times New Roman"/>
          <w:sz w:val="28"/>
          <w:szCs w:val="28"/>
        </w:rPr>
        <w:t xml:space="preserve"> IDC гораздо </w:t>
      </w:r>
      <w:proofErr w:type="spellStart"/>
      <w:r w:rsidRPr="00AC4DD3">
        <w:rPr>
          <w:rFonts w:ascii="Times New Roman" w:hAnsi="Times New Roman" w:cs="Times New Roman"/>
          <w:sz w:val="28"/>
          <w:szCs w:val="28"/>
        </w:rPr>
        <w:t>изощреннее</w:t>
      </w:r>
      <w:proofErr w:type="spellEnd"/>
      <w:r w:rsidRPr="00AC4DD3">
        <w:rPr>
          <w:rFonts w:ascii="Times New Roman" w:hAnsi="Times New Roman" w:cs="Times New Roman"/>
          <w:sz w:val="28"/>
          <w:szCs w:val="28"/>
        </w:rPr>
        <w:t xml:space="preserve"> и, как следствие, позволяла наглядно отобразить и оценить большее количество параметров. К сожалению, сами изображения и сопутствующие таблицы доступны только в платных версиях отчетах. Собственно, они и составляют квинтэссенцию результатов иссл</w:t>
      </w:r>
      <w:r>
        <w:rPr>
          <w:rFonts w:ascii="Times New Roman" w:hAnsi="Times New Roman" w:cs="Times New Roman"/>
          <w:sz w:val="28"/>
          <w:szCs w:val="28"/>
        </w:rPr>
        <w:t xml:space="preserve">едований в формате </w:t>
      </w:r>
      <w:proofErr w:type="spellStart"/>
      <w:r>
        <w:rPr>
          <w:rFonts w:ascii="Times New Roman" w:hAnsi="Times New Roman" w:cs="Times New Roman"/>
          <w:sz w:val="28"/>
          <w:szCs w:val="28"/>
        </w:rPr>
        <w:t>MarketScape</w:t>
      </w:r>
      <w:proofErr w:type="spellEnd"/>
      <w:r>
        <w:rPr>
          <w:rFonts w:ascii="Times New Roman" w:hAnsi="Times New Roman" w:cs="Times New Roman"/>
          <w:sz w:val="28"/>
          <w:szCs w:val="28"/>
        </w:rPr>
        <w:t>.</w:t>
      </w:r>
    </w:p>
    <w:p w:rsidR="00AC4DD3" w:rsidRPr="00AC4DD3" w:rsidRDefault="00AC4DD3" w:rsidP="00AC4DD3">
      <w:pPr>
        <w:rPr>
          <w:rFonts w:ascii="Times New Roman" w:hAnsi="Times New Roman" w:cs="Times New Roman"/>
          <w:sz w:val="28"/>
          <w:szCs w:val="28"/>
        </w:rPr>
      </w:pPr>
      <w:r w:rsidRPr="00AC4DD3">
        <w:rPr>
          <w:rFonts w:ascii="Times New Roman" w:hAnsi="Times New Roman" w:cs="Times New Roman"/>
          <w:sz w:val="28"/>
          <w:szCs w:val="28"/>
        </w:rPr>
        <w:t xml:space="preserve">«Лидерами» на мировом рынке консультационных услуг в области трансформации ЦОД IDC называла </w:t>
      </w:r>
      <w:proofErr w:type="spellStart"/>
      <w:r w:rsidRPr="00AC4DD3">
        <w:rPr>
          <w:rFonts w:ascii="Times New Roman" w:hAnsi="Times New Roman" w:cs="Times New Roman"/>
          <w:sz w:val="28"/>
          <w:szCs w:val="28"/>
        </w:rPr>
        <w:t>Accenture</w:t>
      </w:r>
      <w:proofErr w:type="spellEnd"/>
      <w:r w:rsidRPr="00AC4DD3">
        <w:rPr>
          <w:rFonts w:ascii="Times New Roman" w:hAnsi="Times New Roman" w:cs="Times New Roman"/>
          <w:sz w:val="28"/>
          <w:szCs w:val="28"/>
        </w:rPr>
        <w:t xml:space="preserve">, IBM и HP, тогда как на рынке услуг в области архитектуры корпоративной инфраструктуры – </w:t>
      </w:r>
      <w:proofErr w:type="spellStart"/>
      <w:r w:rsidRPr="00AC4DD3">
        <w:rPr>
          <w:rFonts w:ascii="Times New Roman" w:hAnsi="Times New Roman" w:cs="Times New Roman"/>
          <w:sz w:val="28"/>
          <w:szCs w:val="28"/>
        </w:rPr>
        <w:t>Deloitte</w:t>
      </w:r>
      <w:proofErr w:type="spellEnd"/>
      <w:r>
        <w:rPr>
          <w:rFonts w:ascii="Times New Roman" w:hAnsi="Times New Roman" w:cs="Times New Roman"/>
          <w:sz w:val="28"/>
          <w:szCs w:val="28"/>
        </w:rPr>
        <w:t xml:space="preserve">, IBM и </w:t>
      </w:r>
      <w:proofErr w:type="spellStart"/>
      <w:r>
        <w:rPr>
          <w:rFonts w:ascii="Times New Roman" w:hAnsi="Times New Roman" w:cs="Times New Roman"/>
          <w:sz w:val="28"/>
          <w:szCs w:val="28"/>
        </w:rPr>
        <w:t>PriceWaterhouseCoopers</w:t>
      </w:r>
      <w:proofErr w:type="spellEnd"/>
      <w:r>
        <w:rPr>
          <w:rFonts w:ascii="Times New Roman" w:hAnsi="Times New Roman" w:cs="Times New Roman"/>
          <w:sz w:val="28"/>
          <w:szCs w:val="28"/>
        </w:rPr>
        <w:t>.</w:t>
      </w:r>
    </w:p>
    <w:p w:rsidR="00AC4DD3" w:rsidRPr="00AC4DD3" w:rsidRDefault="00AC4DD3" w:rsidP="00AC4DD3">
      <w:pPr>
        <w:rPr>
          <w:rFonts w:ascii="Times New Roman" w:hAnsi="Times New Roman" w:cs="Times New Roman"/>
          <w:sz w:val="28"/>
          <w:szCs w:val="28"/>
        </w:rPr>
      </w:pPr>
      <w:r w:rsidRPr="00AC4DD3">
        <w:rPr>
          <w:rFonts w:ascii="Times New Roman" w:hAnsi="Times New Roman" w:cs="Times New Roman"/>
          <w:sz w:val="28"/>
          <w:szCs w:val="28"/>
        </w:rPr>
        <w:t xml:space="preserve">«Ключевыми игроками» рынка консультационных услуг в области трансформации ЦОД IDC называла семь компаний: </w:t>
      </w:r>
      <w:proofErr w:type="spellStart"/>
      <w:r w:rsidRPr="00AC4DD3">
        <w:rPr>
          <w:rFonts w:ascii="Times New Roman" w:hAnsi="Times New Roman" w:cs="Times New Roman"/>
          <w:sz w:val="28"/>
          <w:szCs w:val="28"/>
        </w:rPr>
        <w:t>Capgemini</w:t>
      </w:r>
      <w:proofErr w:type="spellEnd"/>
      <w:r w:rsidRPr="00AC4DD3">
        <w:rPr>
          <w:rFonts w:ascii="Times New Roman" w:hAnsi="Times New Roman" w:cs="Times New Roman"/>
          <w:sz w:val="28"/>
          <w:szCs w:val="28"/>
        </w:rPr>
        <w:t xml:space="preserve">, CSC, </w:t>
      </w:r>
      <w:proofErr w:type="spellStart"/>
      <w:r w:rsidRPr="00AC4DD3">
        <w:rPr>
          <w:rFonts w:ascii="Times New Roman" w:hAnsi="Times New Roman" w:cs="Times New Roman"/>
          <w:sz w:val="28"/>
          <w:szCs w:val="28"/>
        </w:rPr>
        <w:t>Dell</w:t>
      </w:r>
      <w:proofErr w:type="spellEnd"/>
      <w:r w:rsidRPr="00AC4DD3">
        <w:rPr>
          <w:rFonts w:ascii="Times New Roman" w:hAnsi="Times New Roman" w:cs="Times New Roman"/>
          <w:sz w:val="28"/>
          <w:szCs w:val="28"/>
        </w:rPr>
        <w:t xml:space="preserve">, </w:t>
      </w:r>
      <w:proofErr w:type="spellStart"/>
      <w:r w:rsidRPr="00AC4DD3">
        <w:rPr>
          <w:rFonts w:ascii="Times New Roman" w:hAnsi="Times New Roman" w:cs="Times New Roman"/>
          <w:sz w:val="28"/>
          <w:szCs w:val="28"/>
        </w:rPr>
        <w:lastRenderedPageBreak/>
        <w:t>Deloitte</w:t>
      </w:r>
      <w:proofErr w:type="spellEnd"/>
      <w:r w:rsidRPr="00AC4DD3">
        <w:rPr>
          <w:rFonts w:ascii="Times New Roman" w:hAnsi="Times New Roman" w:cs="Times New Roman"/>
          <w:sz w:val="28"/>
          <w:szCs w:val="28"/>
        </w:rPr>
        <w:t xml:space="preserve">, </w:t>
      </w:r>
      <w:proofErr w:type="spellStart"/>
      <w:r w:rsidRPr="00AC4DD3">
        <w:rPr>
          <w:rFonts w:ascii="Times New Roman" w:hAnsi="Times New Roman" w:cs="Times New Roman"/>
          <w:sz w:val="28"/>
          <w:szCs w:val="28"/>
        </w:rPr>
        <w:t>Infosys</w:t>
      </w:r>
      <w:proofErr w:type="spellEnd"/>
      <w:r w:rsidRPr="00AC4DD3">
        <w:rPr>
          <w:rFonts w:ascii="Times New Roman" w:hAnsi="Times New Roman" w:cs="Times New Roman"/>
          <w:sz w:val="28"/>
          <w:szCs w:val="28"/>
        </w:rPr>
        <w:t xml:space="preserve">, KPMG и </w:t>
      </w:r>
      <w:proofErr w:type="spellStart"/>
      <w:r w:rsidRPr="00AC4DD3">
        <w:rPr>
          <w:rFonts w:ascii="Times New Roman" w:hAnsi="Times New Roman" w:cs="Times New Roman"/>
          <w:sz w:val="28"/>
          <w:szCs w:val="28"/>
        </w:rPr>
        <w:t>PriceWaterhouseCoopers</w:t>
      </w:r>
      <w:proofErr w:type="spellEnd"/>
      <w:r w:rsidRPr="00AC4DD3">
        <w:rPr>
          <w:rFonts w:ascii="Times New Roman" w:hAnsi="Times New Roman" w:cs="Times New Roman"/>
          <w:sz w:val="28"/>
          <w:szCs w:val="28"/>
        </w:rPr>
        <w:t xml:space="preserve">. На рынке консультационных услуг в области архитектуры корпоративной инфраструктуры «ключевых игроков» только пять: </w:t>
      </w:r>
      <w:proofErr w:type="spellStart"/>
      <w:r w:rsidRPr="00AC4DD3">
        <w:rPr>
          <w:rFonts w:ascii="Times New Roman" w:hAnsi="Times New Roman" w:cs="Times New Roman"/>
          <w:sz w:val="28"/>
          <w:szCs w:val="28"/>
        </w:rPr>
        <w:t>Accent</w:t>
      </w:r>
      <w:r>
        <w:rPr>
          <w:rFonts w:ascii="Times New Roman" w:hAnsi="Times New Roman" w:cs="Times New Roman"/>
          <w:sz w:val="28"/>
          <w:szCs w:val="28"/>
        </w:rPr>
        <w:t>ure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Capgemini</w:t>
      </w:r>
      <w:proofErr w:type="spellEnd"/>
      <w:r>
        <w:rPr>
          <w:rFonts w:ascii="Times New Roman" w:hAnsi="Times New Roman" w:cs="Times New Roman"/>
          <w:sz w:val="28"/>
          <w:szCs w:val="28"/>
        </w:rPr>
        <w:t>, CSC, HP и KPMG.</w:t>
      </w:r>
    </w:p>
    <w:p w:rsidR="00AC4DD3" w:rsidRPr="00AC4DD3" w:rsidRDefault="00AC4DD3" w:rsidP="00AC4DD3">
      <w:pPr>
        <w:rPr>
          <w:rFonts w:ascii="Times New Roman" w:hAnsi="Times New Roman" w:cs="Times New Roman"/>
          <w:sz w:val="28"/>
          <w:szCs w:val="28"/>
        </w:rPr>
      </w:pPr>
      <w:r w:rsidRPr="00AC4DD3">
        <w:rPr>
          <w:rFonts w:ascii="Times New Roman" w:hAnsi="Times New Roman" w:cs="Times New Roman"/>
          <w:sz w:val="28"/>
          <w:szCs w:val="28"/>
        </w:rPr>
        <w:t xml:space="preserve">В числе общих для обоих отчетов среди наиболее слабых сторон </w:t>
      </w:r>
      <w:proofErr w:type="spellStart"/>
      <w:r w:rsidRPr="00AC4DD3">
        <w:rPr>
          <w:rFonts w:ascii="Times New Roman" w:hAnsi="Times New Roman" w:cs="Times New Roman"/>
          <w:sz w:val="28"/>
          <w:szCs w:val="28"/>
        </w:rPr>
        <w:t>вендоров</w:t>
      </w:r>
      <w:proofErr w:type="spellEnd"/>
      <w:r w:rsidRPr="00AC4DD3">
        <w:rPr>
          <w:rFonts w:ascii="Times New Roman" w:hAnsi="Times New Roman" w:cs="Times New Roman"/>
          <w:sz w:val="28"/>
          <w:szCs w:val="28"/>
        </w:rPr>
        <w:t xml:space="preserve"> назывались ценообразование, продажи и дистрибуция, среди наиболее сильных – высокий уровень экспертизы, выверенный портфель предложений, высокая степень соо</w:t>
      </w:r>
      <w:r>
        <w:rPr>
          <w:rFonts w:ascii="Times New Roman" w:hAnsi="Times New Roman" w:cs="Times New Roman"/>
          <w:sz w:val="28"/>
          <w:szCs w:val="28"/>
        </w:rPr>
        <w:t>тветствия ожиданиям заказчиков.</w:t>
      </w:r>
    </w:p>
    <w:p w:rsidR="00AC4DD3" w:rsidRDefault="00AC4DD3" w:rsidP="00AC4DD3">
      <w:pPr>
        <w:rPr>
          <w:rFonts w:ascii="Times New Roman" w:hAnsi="Times New Roman" w:cs="Times New Roman"/>
          <w:sz w:val="28"/>
          <w:szCs w:val="28"/>
        </w:rPr>
      </w:pPr>
      <w:r w:rsidRPr="00AC4DD3">
        <w:rPr>
          <w:rFonts w:ascii="Times New Roman" w:hAnsi="Times New Roman" w:cs="Times New Roman"/>
          <w:sz w:val="28"/>
          <w:szCs w:val="28"/>
        </w:rPr>
        <w:t xml:space="preserve">По мнению Гарда </w:t>
      </w:r>
      <w:proofErr w:type="spellStart"/>
      <w:r w:rsidRPr="00AC4DD3">
        <w:rPr>
          <w:rFonts w:ascii="Times New Roman" w:hAnsi="Times New Roman" w:cs="Times New Roman"/>
          <w:sz w:val="28"/>
          <w:szCs w:val="28"/>
        </w:rPr>
        <w:t>Литла</w:t>
      </w:r>
      <w:proofErr w:type="spellEnd"/>
      <w:r w:rsidRPr="00AC4DD3">
        <w:rPr>
          <w:rFonts w:ascii="Times New Roman" w:hAnsi="Times New Roman" w:cs="Times New Roman"/>
          <w:sz w:val="28"/>
          <w:szCs w:val="28"/>
        </w:rPr>
        <w:t xml:space="preserve"> (</w:t>
      </w:r>
      <w:proofErr w:type="spellStart"/>
      <w:r w:rsidRPr="00AC4DD3">
        <w:rPr>
          <w:rFonts w:ascii="Times New Roman" w:hAnsi="Times New Roman" w:cs="Times New Roman"/>
          <w:sz w:val="28"/>
          <w:szCs w:val="28"/>
        </w:rPr>
        <w:t>Gard</w:t>
      </w:r>
      <w:proofErr w:type="spellEnd"/>
      <w:r w:rsidRPr="00AC4DD3">
        <w:rPr>
          <w:rFonts w:ascii="Times New Roman" w:hAnsi="Times New Roman" w:cs="Times New Roman"/>
          <w:sz w:val="28"/>
          <w:szCs w:val="28"/>
        </w:rPr>
        <w:t xml:space="preserve"> </w:t>
      </w:r>
      <w:proofErr w:type="spellStart"/>
      <w:r w:rsidRPr="00AC4DD3">
        <w:rPr>
          <w:rFonts w:ascii="Times New Roman" w:hAnsi="Times New Roman" w:cs="Times New Roman"/>
          <w:sz w:val="28"/>
          <w:szCs w:val="28"/>
        </w:rPr>
        <w:t>Little</w:t>
      </w:r>
      <w:proofErr w:type="spellEnd"/>
      <w:r w:rsidRPr="00AC4DD3">
        <w:rPr>
          <w:rFonts w:ascii="Times New Roman" w:hAnsi="Times New Roman" w:cs="Times New Roman"/>
          <w:sz w:val="28"/>
          <w:szCs w:val="28"/>
        </w:rPr>
        <w:t>), директора по исследованиям в области ИТ-консалтинга и системной интеграции, основными факторами, стимулирующими спрос на услуги трансформации ЦОД, выступают необходимость повышения операционной эффективности и консолидации вычислительных ресурсов. В свою очередь, с появлением облачной модели вычислений, новых типов мобильных устройств, систем бизнес-аналитики и социальных медиа архитектура корпоративной ИТ-инфраструктуры претерпела немало изменений, и это опять-таки положительно сказывается на спросе на консультационные услуги.</w:t>
      </w:r>
    </w:p>
    <w:p w:rsidR="00AC4DD3" w:rsidRPr="00AC4DD3" w:rsidRDefault="00AC4DD3" w:rsidP="00AC4DD3">
      <w:pPr>
        <w:rPr>
          <w:rFonts w:ascii="Times New Roman" w:hAnsi="Times New Roman" w:cs="Times New Roman"/>
          <w:b/>
          <w:sz w:val="28"/>
          <w:szCs w:val="28"/>
        </w:rPr>
      </w:pPr>
      <w:r w:rsidRPr="00AC4DD3">
        <w:rPr>
          <w:rFonts w:ascii="Times New Roman" w:hAnsi="Times New Roman" w:cs="Times New Roman"/>
          <w:b/>
          <w:sz w:val="28"/>
          <w:szCs w:val="28"/>
        </w:rPr>
        <w:t>Данные PAC</w:t>
      </w:r>
    </w:p>
    <w:p w:rsidR="00AC4DD3" w:rsidRPr="00AC4DD3" w:rsidRDefault="00AC4DD3" w:rsidP="00AC4DD3">
      <w:pPr>
        <w:rPr>
          <w:rFonts w:ascii="Times New Roman" w:hAnsi="Times New Roman" w:cs="Times New Roman"/>
          <w:sz w:val="28"/>
          <w:szCs w:val="28"/>
        </w:rPr>
      </w:pPr>
      <w:r w:rsidRPr="00AC4DD3">
        <w:rPr>
          <w:rFonts w:ascii="Times New Roman" w:hAnsi="Times New Roman" w:cs="Times New Roman"/>
          <w:sz w:val="28"/>
          <w:szCs w:val="28"/>
        </w:rPr>
        <w:t xml:space="preserve">По данным исследования </w:t>
      </w:r>
      <w:proofErr w:type="spellStart"/>
      <w:r w:rsidRPr="00AC4DD3">
        <w:rPr>
          <w:rFonts w:ascii="Times New Roman" w:hAnsi="Times New Roman" w:cs="Times New Roman"/>
          <w:sz w:val="28"/>
          <w:szCs w:val="28"/>
        </w:rPr>
        <w:t>Pierre</w:t>
      </w:r>
      <w:proofErr w:type="spellEnd"/>
      <w:r w:rsidRPr="00AC4DD3">
        <w:rPr>
          <w:rFonts w:ascii="Times New Roman" w:hAnsi="Times New Roman" w:cs="Times New Roman"/>
          <w:sz w:val="28"/>
          <w:szCs w:val="28"/>
        </w:rPr>
        <w:t xml:space="preserve"> </w:t>
      </w:r>
      <w:proofErr w:type="spellStart"/>
      <w:r w:rsidRPr="00AC4DD3">
        <w:rPr>
          <w:rFonts w:ascii="Times New Roman" w:hAnsi="Times New Roman" w:cs="Times New Roman"/>
          <w:sz w:val="28"/>
          <w:szCs w:val="28"/>
        </w:rPr>
        <w:t>Audoin</w:t>
      </w:r>
      <w:proofErr w:type="spellEnd"/>
      <w:r w:rsidRPr="00AC4DD3">
        <w:rPr>
          <w:rFonts w:ascii="Times New Roman" w:hAnsi="Times New Roman" w:cs="Times New Roman"/>
          <w:sz w:val="28"/>
          <w:szCs w:val="28"/>
        </w:rPr>
        <w:t xml:space="preserve"> </w:t>
      </w:r>
      <w:proofErr w:type="spellStart"/>
      <w:r w:rsidRPr="00AC4DD3">
        <w:rPr>
          <w:rFonts w:ascii="Times New Roman" w:hAnsi="Times New Roman" w:cs="Times New Roman"/>
          <w:sz w:val="28"/>
          <w:szCs w:val="28"/>
        </w:rPr>
        <w:t>Consultants</w:t>
      </w:r>
      <w:proofErr w:type="spellEnd"/>
      <w:r w:rsidRPr="00AC4DD3">
        <w:rPr>
          <w:rFonts w:ascii="Times New Roman" w:hAnsi="Times New Roman" w:cs="Times New Roman"/>
          <w:sz w:val="28"/>
          <w:szCs w:val="28"/>
        </w:rPr>
        <w:t xml:space="preserve"> (PAC), в 2012 году совокупный объем заключенных ИТ-сервисных сделок снизился на 10%. Аналитики отслеживали все контракты, информация о которых имеется в публичном доступе, включая ИТ аутсорсинг и аутсорсинг бизнес-процессов, консалтинг и проекты системной интеграции. В общей сложности стоимость таких контрактов в мире в 2012 году составила 48 млрд евро, что ниже</w:t>
      </w:r>
      <w:r>
        <w:rPr>
          <w:rFonts w:ascii="Times New Roman" w:hAnsi="Times New Roman" w:cs="Times New Roman"/>
          <w:sz w:val="28"/>
          <w:szCs w:val="28"/>
        </w:rPr>
        <w:t>, чем 53 млрд евро в 2011 году.</w:t>
      </w:r>
    </w:p>
    <w:p w:rsidR="00AC4DD3" w:rsidRPr="00AC4DD3" w:rsidRDefault="00AC4DD3" w:rsidP="00AC4DD3">
      <w:pPr>
        <w:rPr>
          <w:rFonts w:ascii="Times New Roman" w:hAnsi="Times New Roman" w:cs="Times New Roman"/>
          <w:sz w:val="28"/>
          <w:szCs w:val="28"/>
        </w:rPr>
      </w:pPr>
      <w:r w:rsidRPr="00AC4DD3">
        <w:rPr>
          <w:rFonts w:ascii="Times New Roman" w:hAnsi="Times New Roman" w:cs="Times New Roman"/>
          <w:sz w:val="28"/>
          <w:szCs w:val="28"/>
        </w:rPr>
        <w:t>При этом объем сделок шел на убыль вот уже два года подряд: в 2010 году, например, он составлял 85 млрд евро. По мнению экспертов PAC, и в обозримом будущем на рынке не стоит ожидать какого-то значительного всплеска, поскольку он становится все более зрелым. Рынок на тот момент форм</w:t>
      </w:r>
      <w:r>
        <w:rPr>
          <w:rFonts w:ascii="Times New Roman" w:hAnsi="Times New Roman" w:cs="Times New Roman"/>
          <w:sz w:val="28"/>
          <w:szCs w:val="28"/>
        </w:rPr>
        <w:t>ировали четыре основных тренда.</w:t>
      </w:r>
    </w:p>
    <w:p w:rsidR="00AC4DD3" w:rsidRPr="00AC4DD3" w:rsidRDefault="00AC4DD3" w:rsidP="00AC4DD3">
      <w:pPr>
        <w:rPr>
          <w:rFonts w:ascii="Times New Roman" w:hAnsi="Times New Roman" w:cs="Times New Roman"/>
          <w:sz w:val="28"/>
          <w:szCs w:val="28"/>
        </w:rPr>
      </w:pPr>
      <w:r w:rsidRPr="00AC4DD3">
        <w:rPr>
          <w:rFonts w:ascii="Times New Roman" w:hAnsi="Times New Roman" w:cs="Times New Roman"/>
          <w:sz w:val="28"/>
          <w:szCs w:val="28"/>
        </w:rPr>
        <w:t>Первый тренд – операционные ИТ-бюджеты остаются под прессом. Экономические условия в большинстве регионов мира не вызывают оптимизма, поэтому потенциальные клиенты не склонны к выбору долгосрочных ИТ-сервисных программ. Опытные клиенты при этом продолжают активно торговаться с поставщиками услуг, порой добиваясь уступки в размере 30-40% от первоначальной суммы контракта.</w:t>
      </w:r>
    </w:p>
    <w:p w:rsidR="00AC4DD3" w:rsidRPr="00AC4DD3" w:rsidRDefault="00AC4DD3" w:rsidP="00AC4DD3">
      <w:pPr>
        <w:rPr>
          <w:rFonts w:ascii="Times New Roman" w:hAnsi="Times New Roman" w:cs="Times New Roman"/>
          <w:sz w:val="28"/>
          <w:szCs w:val="28"/>
        </w:rPr>
      </w:pPr>
      <w:r w:rsidRPr="00AC4DD3">
        <w:rPr>
          <w:rFonts w:ascii="Times New Roman" w:hAnsi="Times New Roman" w:cs="Times New Roman"/>
          <w:sz w:val="28"/>
          <w:szCs w:val="28"/>
        </w:rPr>
        <w:t xml:space="preserve">Второе – предложения поставщиков становились все более сфокусированными. Тогда совершенно очевидна тенденция к дроблению </w:t>
      </w:r>
      <w:r w:rsidRPr="00AC4DD3">
        <w:rPr>
          <w:rFonts w:ascii="Times New Roman" w:hAnsi="Times New Roman" w:cs="Times New Roman"/>
          <w:sz w:val="28"/>
          <w:szCs w:val="28"/>
        </w:rPr>
        <w:lastRenderedPageBreak/>
        <w:t xml:space="preserve">монолитных сервисных программ на несколько меньших по масштабу, за счет чего достигается больше гибкости. Также в указанный период наметилась тенденция перехода к нетрадиционным моделям образования, в частности, основанным на достижении совершенно конкретных результатов и стоимости бизнеса. Пример такой сделки в 2012 году – уход компании </w:t>
      </w:r>
      <w:proofErr w:type="spellStart"/>
      <w:r w:rsidRPr="00AC4DD3">
        <w:rPr>
          <w:rFonts w:ascii="Times New Roman" w:hAnsi="Times New Roman" w:cs="Times New Roman"/>
          <w:sz w:val="28"/>
          <w:szCs w:val="28"/>
        </w:rPr>
        <w:t>Rolls</w:t>
      </w:r>
      <w:proofErr w:type="spellEnd"/>
      <w:r w:rsidRPr="00AC4DD3">
        <w:rPr>
          <w:rFonts w:ascii="Times New Roman" w:hAnsi="Times New Roman" w:cs="Times New Roman"/>
          <w:sz w:val="28"/>
          <w:szCs w:val="28"/>
        </w:rPr>
        <w:t xml:space="preserve"> </w:t>
      </w:r>
      <w:proofErr w:type="spellStart"/>
      <w:r w:rsidRPr="00AC4DD3">
        <w:rPr>
          <w:rFonts w:ascii="Times New Roman" w:hAnsi="Times New Roman" w:cs="Times New Roman"/>
          <w:sz w:val="28"/>
          <w:szCs w:val="28"/>
        </w:rPr>
        <w:t>Royce</w:t>
      </w:r>
      <w:proofErr w:type="spellEnd"/>
      <w:r w:rsidRPr="00AC4DD3">
        <w:rPr>
          <w:rFonts w:ascii="Times New Roman" w:hAnsi="Times New Roman" w:cs="Times New Roman"/>
          <w:sz w:val="28"/>
          <w:szCs w:val="28"/>
        </w:rPr>
        <w:t xml:space="preserve"> от сервисного сотрудничества с HP и переход к нескольким провайдерам одновременно, где роль сервисного </w:t>
      </w:r>
      <w:r>
        <w:rPr>
          <w:rFonts w:ascii="Times New Roman" w:hAnsi="Times New Roman" w:cs="Times New Roman"/>
          <w:sz w:val="28"/>
          <w:szCs w:val="28"/>
        </w:rPr>
        <w:t xml:space="preserve">интегратора отведена </w:t>
      </w:r>
      <w:proofErr w:type="spellStart"/>
      <w:r>
        <w:rPr>
          <w:rFonts w:ascii="Times New Roman" w:hAnsi="Times New Roman" w:cs="Times New Roman"/>
          <w:sz w:val="28"/>
          <w:szCs w:val="28"/>
        </w:rPr>
        <w:t>Capgemini</w:t>
      </w:r>
      <w:proofErr w:type="spellEnd"/>
      <w:r>
        <w:rPr>
          <w:rFonts w:ascii="Times New Roman" w:hAnsi="Times New Roman" w:cs="Times New Roman"/>
          <w:sz w:val="28"/>
          <w:szCs w:val="28"/>
        </w:rPr>
        <w:t>.</w:t>
      </w:r>
    </w:p>
    <w:p w:rsidR="00AC4DD3" w:rsidRPr="00AC4DD3" w:rsidRDefault="00AC4DD3" w:rsidP="00AC4DD3">
      <w:pPr>
        <w:rPr>
          <w:rFonts w:ascii="Times New Roman" w:hAnsi="Times New Roman" w:cs="Times New Roman"/>
          <w:sz w:val="28"/>
          <w:szCs w:val="28"/>
        </w:rPr>
      </w:pPr>
      <w:r w:rsidRPr="00AC4DD3">
        <w:rPr>
          <w:rFonts w:ascii="Times New Roman" w:hAnsi="Times New Roman" w:cs="Times New Roman"/>
          <w:sz w:val="28"/>
          <w:szCs w:val="28"/>
        </w:rPr>
        <w:t>Облачный рынок медленно, но верно поглощает традиционные потоки прибыли сервисных компаний. В исследовании отмечалось, что облака останутся одним из главных драйверов запуска новых сервисных проектов в 2013 году, поскольку все больше компаний заинтересовано в создании частных облачных сервисов. В качестве примера такого проекта можно вспомнить, например, проект BP и T-</w:t>
      </w:r>
      <w:proofErr w:type="spellStart"/>
      <w:r w:rsidRPr="00AC4DD3">
        <w:rPr>
          <w:rFonts w:ascii="Times New Roman" w:hAnsi="Times New Roman" w:cs="Times New Roman"/>
          <w:sz w:val="28"/>
          <w:szCs w:val="28"/>
        </w:rPr>
        <w:t>Systems</w:t>
      </w:r>
      <w:proofErr w:type="spellEnd"/>
      <w:r w:rsidRPr="00AC4DD3">
        <w:rPr>
          <w:rFonts w:ascii="Times New Roman" w:hAnsi="Times New Roman" w:cs="Times New Roman"/>
          <w:sz w:val="28"/>
          <w:szCs w:val="28"/>
        </w:rPr>
        <w:t xml:space="preserve"> по переводу 100 тыс. почтовых ящиков нефтяной компании на собст</w:t>
      </w:r>
      <w:r>
        <w:rPr>
          <w:rFonts w:ascii="Times New Roman" w:hAnsi="Times New Roman" w:cs="Times New Roman"/>
          <w:sz w:val="28"/>
          <w:szCs w:val="28"/>
        </w:rPr>
        <w:t>венную облачную инфраструктуру.</w:t>
      </w:r>
    </w:p>
    <w:p w:rsidR="00AC4DD3" w:rsidRPr="00AC4DD3" w:rsidRDefault="00AC4DD3" w:rsidP="00AC4DD3">
      <w:pPr>
        <w:rPr>
          <w:rFonts w:ascii="Times New Roman" w:hAnsi="Times New Roman" w:cs="Times New Roman"/>
          <w:sz w:val="28"/>
          <w:szCs w:val="28"/>
        </w:rPr>
      </w:pPr>
      <w:r w:rsidRPr="00AC4DD3">
        <w:rPr>
          <w:rFonts w:ascii="Times New Roman" w:hAnsi="Times New Roman" w:cs="Times New Roman"/>
          <w:sz w:val="28"/>
          <w:szCs w:val="28"/>
        </w:rPr>
        <w:t>Кроме того, стандартной практикой становится оффшорная доставка. По крайней мере, это утверждение полностью справедливо для крупных коммерческих организаций США и Великобритании. В частности, по-прежнему весьма привлекательными остаются индийские сервисные компании. За последние 12 месяцев несколько крупных оффшорных сервисных проектов а</w:t>
      </w:r>
      <w:r>
        <w:rPr>
          <w:rFonts w:ascii="Times New Roman" w:hAnsi="Times New Roman" w:cs="Times New Roman"/>
          <w:sz w:val="28"/>
          <w:szCs w:val="28"/>
        </w:rPr>
        <w:t xml:space="preserve">нонсировали </w:t>
      </w:r>
      <w:proofErr w:type="spellStart"/>
      <w:r>
        <w:rPr>
          <w:rFonts w:ascii="Times New Roman" w:hAnsi="Times New Roman" w:cs="Times New Roman"/>
          <w:sz w:val="28"/>
          <w:szCs w:val="28"/>
        </w:rPr>
        <w:t>Apple</w:t>
      </w:r>
      <w:proofErr w:type="spellEnd"/>
      <w:r>
        <w:rPr>
          <w:rFonts w:ascii="Times New Roman" w:hAnsi="Times New Roman" w:cs="Times New Roman"/>
          <w:sz w:val="28"/>
          <w:szCs w:val="28"/>
        </w:rPr>
        <w:t xml:space="preserve">, ING и </w:t>
      </w:r>
      <w:proofErr w:type="spellStart"/>
      <w:r>
        <w:rPr>
          <w:rFonts w:ascii="Times New Roman" w:hAnsi="Times New Roman" w:cs="Times New Roman"/>
          <w:sz w:val="28"/>
          <w:szCs w:val="28"/>
        </w:rPr>
        <w:t>Shell</w:t>
      </w:r>
      <w:proofErr w:type="spellEnd"/>
      <w:r>
        <w:rPr>
          <w:rFonts w:ascii="Times New Roman" w:hAnsi="Times New Roman" w:cs="Times New Roman"/>
          <w:sz w:val="28"/>
          <w:szCs w:val="28"/>
        </w:rPr>
        <w:t>.</w:t>
      </w:r>
    </w:p>
    <w:p w:rsidR="00AC4DD3" w:rsidRDefault="00AC4DD3" w:rsidP="00AC4DD3">
      <w:pPr>
        <w:rPr>
          <w:rFonts w:ascii="Times New Roman" w:hAnsi="Times New Roman" w:cs="Times New Roman"/>
          <w:sz w:val="28"/>
          <w:szCs w:val="28"/>
        </w:rPr>
      </w:pPr>
      <w:r w:rsidRPr="00AC4DD3">
        <w:rPr>
          <w:rFonts w:ascii="Times New Roman" w:hAnsi="Times New Roman" w:cs="Times New Roman"/>
          <w:sz w:val="28"/>
          <w:szCs w:val="28"/>
        </w:rPr>
        <w:t>По прогнозам PAC, в 2013 году на пике спроса будут в большей степени точечные решения конкретных задач, поэтому поставщикам ИТ услуг придется серьезно поработать как над своими приложениями, так и над своими конкурентными преимуществами в условиях все более зрелого рынка.</w:t>
      </w:r>
    </w:p>
    <w:p w:rsidR="00AC4DD3" w:rsidRPr="00AC4DD3" w:rsidRDefault="00AC4DD3" w:rsidP="00AC4DD3">
      <w:pPr>
        <w:rPr>
          <w:rFonts w:ascii="Times New Roman" w:hAnsi="Times New Roman" w:cs="Times New Roman"/>
          <w:b/>
          <w:sz w:val="28"/>
          <w:szCs w:val="28"/>
        </w:rPr>
      </w:pPr>
      <w:r w:rsidRPr="00AC4DD3">
        <w:rPr>
          <w:rFonts w:ascii="Times New Roman" w:hAnsi="Times New Roman" w:cs="Times New Roman"/>
          <w:b/>
          <w:sz w:val="28"/>
          <w:szCs w:val="28"/>
        </w:rPr>
        <w:t xml:space="preserve">Данные </w:t>
      </w:r>
      <w:proofErr w:type="spellStart"/>
      <w:r w:rsidRPr="00AC4DD3">
        <w:rPr>
          <w:rFonts w:ascii="Times New Roman" w:hAnsi="Times New Roman" w:cs="Times New Roman"/>
          <w:b/>
          <w:sz w:val="28"/>
          <w:szCs w:val="28"/>
        </w:rPr>
        <w:t>Ovum</w:t>
      </w:r>
      <w:proofErr w:type="spellEnd"/>
    </w:p>
    <w:p w:rsidR="00AC4DD3" w:rsidRPr="00AC4DD3" w:rsidRDefault="00AC4DD3" w:rsidP="00AC4DD3">
      <w:pPr>
        <w:rPr>
          <w:rFonts w:ascii="Times New Roman" w:hAnsi="Times New Roman" w:cs="Times New Roman"/>
          <w:sz w:val="28"/>
          <w:szCs w:val="28"/>
        </w:rPr>
      </w:pPr>
      <w:r w:rsidRPr="00AC4DD3">
        <w:rPr>
          <w:rFonts w:ascii="Times New Roman" w:hAnsi="Times New Roman" w:cs="Times New Roman"/>
          <w:sz w:val="28"/>
          <w:szCs w:val="28"/>
        </w:rPr>
        <w:t xml:space="preserve">В 2012 году мировой рынок ИТ-услуг показал худшие результаты с 2002 года, по данным исследователей </w:t>
      </w:r>
      <w:proofErr w:type="spellStart"/>
      <w:r w:rsidRPr="00AC4DD3">
        <w:rPr>
          <w:rFonts w:ascii="Times New Roman" w:hAnsi="Times New Roman" w:cs="Times New Roman"/>
          <w:sz w:val="28"/>
          <w:szCs w:val="28"/>
        </w:rPr>
        <w:t>Ovum</w:t>
      </w:r>
      <w:proofErr w:type="spellEnd"/>
      <w:r w:rsidRPr="00AC4DD3">
        <w:rPr>
          <w:rFonts w:ascii="Times New Roman" w:hAnsi="Times New Roman" w:cs="Times New Roman"/>
          <w:sz w:val="28"/>
          <w:szCs w:val="28"/>
        </w:rPr>
        <w:t>. Показатели четвертого квартала 2012 года оказались относительно сопоставимы с итогами четвертого квартала 2011 года, но результаты всех 12 месяцев оказались неутешительны: по объему сделок и совокупной стоимости контрактов (</w:t>
      </w:r>
      <w:proofErr w:type="spellStart"/>
      <w:r w:rsidRPr="00AC4DD3">
        <w:rPr>
          <w:rFonts w:ascii="Times New Roman" w:hAnsi="Times New Roman" w:cs="Times New Roman"/>
          <w:sz w:val="28"/>
          <w:szCs w:val="28"/>
        </w:rPr>
        <w:t>total</w:t>
      </w:r>
      <w:proofErr w:type="spellEnd"/>
      <w:r w:rsidRPr="00AC4DD3">
        <w:rPr>
          <w:rFonts w:ascii="Times New Roman" w:hAnsi="Times New Roman" w:cs="Times New Roman"/>
          <w:sz w:val="28"/>
          <w:szCs w:val="28"/>
        </w:rPr>
        <w:t xml:space="preserve"> </w:t>
      </w:r>
      <w:proofErr w:type="spellStart"/>
      <w:r w:rsidRPr="00AC4DD3">
        <w:rPr>
          <w:rFonts w:ascii="Times New Roman" w:hAnsi="Times New Roman" w:cs="Times New Roman"/>
          <w:sz w:val="28"/>
          <w:szCs w:val="28"/>
        </w:rPr>
        <w:t>contract</w:t>
      </w:r>
      <w:proofErr w:type="spellEnd"/>
      <w:r w:rsidRPr="00AC4DD3">
        <w:rPr>
          <w:rFonts w:ascii="Times New Roman" w:hAnsi="Times New Roman" w:cs="Times New Roman"/>
          <w:sz w:val="28"/>
          <w:szCs w:val="28"/>
        </w:rPr>
        <w:t xml:space="preserve"> </w:t>
      </w:r>
      <w:proofErr w:type="spellStart"/>
      <w:r w:rsidRPr="00AC4DD3">
        <w:rPr>
          <w:rFonts w:ascii="Times New Roman" w:hAnsi="Times New Roman" w:cs="Times New Roman"/>
          <w:sz w:val="28"/>
          <w:szCs w:val="28"/>
        </w:rPr>
        <w:t>value</w:t>
      </w:r>
      <w:proofErr w:type="spellEnd"/>
      <w:r w:rsidRPr="00AC4DD3">
        <w:rPr>
          <w:rFonts w:ascii="Times New Roman" w:hAnsi="Times New Roman" w:cs="Times New Roman"/>
          <w:sz w:val="28"/>
          <w:szCs w:val="28"/>
        </w:rPr>
        <w:t>, TCV) рынком были достигнуты х</w:t>
      </w:r>
      <w:r>
        <w:rPr>
          <w:rFonts w:ascii="Times New Roman" w:hAnsi="Times New Roman" w:cs="Times New Roman"/>
          <w:sz w:val="28"/>
          <w:szCs w:val="28"/>
        </w:rPr>
        <w:t>удшие параметры за десятилетие.</w:t>
      </w:r>
    </w:p>
    <w:p w:rsidR="00AC4DD3" w:rsidRPr="00AC4DD3" w:rsidRDefault="00AC4DD3" w:rsidP="00AC4DD3">
      <w:pPr>
        <w:rPr>
          <w:rFonts w:ascii="Times New Roman" w:hAnsi="Times New Roman" w:cs="Times New Roman"/>
          <w:sz w:val="28"/>
          <w:szCs w:val="28"/>
        </w:rPr>
      </w:pPr>
      <w:r w:rsidRPr="00AC4DD3">
        <w:rPr>
          <w:rFonts w:ascii="Times New Roman" w:hAnsi="Times New Roman" w:cs="Times New Roman"/>
          <w:sz w:val="28"/>
          <w:szCs w:val="28"/>
        </w:rPr>
        <w:t xml:space="preserve">Так, показатель TCV в четвертом квартале 2012 года, по данным </w:t>
      </w:r>
      <w:proofErr w:type="spellStart"/>
      <w:r w:rsidRPr="00AC4DD3">
        <w:rPr>
          <w:rFonts w:ascii="Times New Roman" w:hAnsi="Times New Roman" w:cs="Times New Roman"/>
          <w:sz w:val="28"/>
          <w:szCs w:val="28"/>
        </w:rPr>
        <w:t>Ovum</w:t>
      </w:r>
      <w:proofErr w:type="spellEnd"/>
      <w:r w:rsidRPr="00AC4DD3">
        <w:rPr>
          <w:rFonts w:ascii="Times New Roman" w:hAnsi="Times New Roman" w:cs="Times New Roman"/>
          <w:sz w:val="28"/>
          <w:szCs w:val="28"/>
        </w:rPr>
        <w:t xml:space="preserve">, составил $20,8 млрд, что на 34% ниже, чем годом ранее. Количество заключенных сделок за сопоставимый период снизилось на 17%, причем существенно уменьшилось число мега-сделок (со стоимостью контрактов от $1 млрд и выше). Показатель TCV по 2012 году в целом показал снижение в </w:t>
      </w:r>
      <w:r w:rsidRPr="00AC4DD3">
        <w:rPr>
          <w:rFonts w:ascii="Times New Roman" w:hAnsi="Times New Roman" w:cs="Times New Roman"/>
          <w:sz w:val="28"/>
          <w:szCs w:val="28"/>
        </w:rPr>
        <w:lastRenderedPageBreak/>
        <w:t>годовом выражении как в публичном, так и частном секторе. При этом в частном секторе показатель T</w:t>
      </w:r>
      <w:r>
        <w:rPr>
          <w:rFonts w:ascii="Times New Roman" w:hAnsi="Times New Roman" w:cs="Times New Roman"/>
          <w:sz w:val="28"/>
          <w:szCs w:val="28"/>
        </w:rPr>
        <w:t>CV оказался худшим с 1998 года.</w:t>
      </w:r>
    </w:p>
    <w:p w:rsidR="00AC4DD3" w:rsidRPr="00AC4DD3" w:rsidRDefault="00AC4DD3" w:rsidP="00AC4DD3">
      <w:pPr>
        <w:rPr>
          <w:rFonts w:ascii="Times New Roman" w:hAnsi="Times New Roman" w:cs="Times New Roman"/>
          <w:sz w:val="28"/>
          <w:szCs w:val="28"/>
        </w:rPr>
      </w:pPr>
      <w:r w:rsidRPr="00AC4DD3">
        <w:rPr>
          <w:rFonts w:ascii="Times New Roman" w:hAnsi="Times New Roman" w:cs="Times New Roman"/>
          <w:sz w:val="28"/>
          <w:szCs w:val="28"/>
        </w:rPr>
        <w:t>По словам Эда Томаса (</w:t>
      </w:r>
      <w:proofErr w:type="spellStart"/>
      <w:r w:rsidRPr="00AC4DD3">
        <w:rPr>
          <w:rFonts w:ascii="Times New Roman" w:hAnsi="Times New Roman" w:cs="Times New Roman"/>
          <w:sz w:val="28"/>
          <w:szCs w:val="28"/>
        </w:rPr>
        <w:t>Ed</w:t>
      </w:r>
      <w:proofErr w:type="spellEnd"/>
      <w:r w:rsidRPr="00AC4DD3">
        <w:rPr>
          <w:rFonts w:ascii="Times New Roman" w:hAnsi="Times New Roman" w:cs="Times New Roman"/>
          <w:sz w:val="28"/>
          <w:szCs w:val="28"/>
        </w:rPr>
        <w:t xml:space="preserve"> </w:t>
      </w:r>
      <w:proofErr w:type="spellStart"/>
      <w:r w:rsidRPr="00AC4DD3">
        <w:rPr>
          <w:rFonts w:ascii="Times New Roman" w:hAnsi="Times New Roman" w:cs="Times New Roman"/>
          <w:sz w:val="28"/>
          <w:szCs w:val="28"/>
        </w:rPr>
        <w:t>Thoma</w:t>
      </w:r>
      <w:proofErr w:type="spellEnd"/>
      <w:r w:rsidRPr="00AC4DD3">
        <w:rPr>
          <w:rFonts w:ascii="Times New Roman" w:hAnsi="Times New Roman" w:cs="Times New Roman"/>
          <w:sz w:val="28"/>
          <w:szCs w:val="28"/>
        </w:rPr>
        <w:t xml:space="preserve">), ведущего аналитика </w:t>
      </w:r>
      <w:proofErr w:type="spellStart"/>
      <w:r w:rsidRPr="00AC4DD3">
        <w:rPr>
          <w:rFonts w:ascii="Times New Roman" w:hAnsi="Times New Roman" w:cs="Times New Roman"/>
          <w:sz w:val="28"/>
          <w:szCs w:val="28"/>
        </w:rPr>
        <w:t>Ovum</w:t>
      </w:r>
      <w:proofErr w:type="spellEnd"/>
      <w:r w:rsidRPr="00AC4DD3">
        <w:rPr>
          <w:rFonts w:ascii="Times New Roman" w:hAnsi="Times New Roman" w:cs="Times New Roman"/>
          <w:sz w:val="28"/>
          <w:szCs w:val="28"/>
        </w:rPr>
        <w:t>, продолжающаяся на тот момент экономическая неопределенность продолжает оказывать негативное влияние на рынок ИТ-сервисов как в США, так и Европе. Именно поэтому, полагает он, большинство предприятий опасается крупных проектов, также играет роль сокращени</w:t>
      </w:r>
      <w:r>
        <w:rPr>
          <w:rFonts w:ascii="Times New Roman" w:hAnsi="Times New Roman" w:cs="Times New Roman"/>
          <w:sz w:val="28"/>
          <w:szCs w:val="28"/>
        </w:rPr>
        <w:t>е инвестиций в ИТ в госсекторе.</w:t>
      </w:r>
    </w:p>
    <w:p w:rsidR="00AC4DD3" w:rsidRPr="00AC4DD3" w:rsidRDefault="00AC4DD3" w:rsidP="00AC4DD3">
      <w:pPr>
        <w:rPr>
          <w:rFonts w:ascii="Times New Roman" w:hAnsi="Times New Roman" w:cs="Times New Roman"/>
          <w:sz w:val="28"/>
          <w:szCs w:val="28"/>
        </w:rPr>
      </w:pPr>
      <w:r w:rsidRPr="00AC4DD3">
        <w:rPr>
          <w:rFonts w:ascii="Times New Roman" w:hAnsi="Times New Roman" w:cs="Times New Roman"/>
          <w:sz w:val="28"/>
          <w:szCs w:val="28"/>
        </w:rPr>
        <w:t>Снижение расходов на ИТ-услуги среди предприятий отмечалось во всех без исключения вертикальных отраслях, здесь количество объявленных сделок уменьшилось на 50%. В сфере здравоохранения и финансов объем договоров снизился на 39% и 18% соответственно. Активность по части заключения договоров увеличилась только в отраслях телекоммуникаций и те</w:t>
      </w:r>
      <w:r>
        <w:rPr>
          <w:rFonts w:ascii="Times New Roman" w:hAnsi="Times New Roman" w:cs="Times New Roman"/>
          <w:sz w:val="28"/>
          <w:szCs w:val="28"/>
        </w:rPr>
        <w:t>хнологий.</w:t>
      </w:r>
    </w:p>
    <w:p w:rsidR="00AC4DD3" w:rsidRDefault="00AC4DD3" w:rsidP="00AC4DD3">
      <w:pPr>
        <w:rPr>
          <w:rFonts w:ascii="Times New Roman" w:hAnsi="Times New Roman" w:cs="Times New Roman"/>
          <w:sz w:val="28"/>
          <w:szCs w:val="28"/>
        </w:rPr>
      </w:pPr>
      <w:r w:rsidRPr="00AC4DD3">
        <w:rPr>
          <w:rFonts w:ascii="Times New Roman" w:hAnsi="Times New Roman" w:cs="Times New Roman"/>
          <w:sz w:val="28"/>
          <w:szCs w:val="28"/>
        </w:rPr>
        <w:t>С региональной точки зрения активность по числу заключенных сделок в частом секторе была максимальной в Европе – на нее пришлось 45% от мирового TCV в 2012 году. Однако, и здесь TVC, сгенерированный промышленными предприятиями в 2012 году снизился на 31% до $16,7 млрд. Показатель TCV для частного сектора Северной Америки вырос на 48% до $10,5 млрд в 2012 году.</w:t>
      </w:r>
    </w:p>
    <w:p w:rsidR="00AC4DD3" w:rsidRPr="00AC4DD3" w:rsidRDefault="00AC4DD3" w:rsidP="00AC4DD3">
      <w:pPr>
        <w:pBdr>
          <w:bottom w:val="single" w:sz="12" w:space="1" w:color="auto"/>
        </w:pBdr>
        <w:jc w:val="center"/>
        <w:rPr>
          <w:rFonts w:ascii="Times New Roman" w:hAnsi="Times New Roman" w:cs="Times New Roman"/>
          <w:b/>
          <w:i/>
          <w:sz w:val="32"/>
          <w:szCs w:val="28"/>
        </w:rPr>
      </w:pPr>
      <w:r w:rsidRPr="00AC4DD3">
        <w:rPr>
          <w:rFonts w:ascii="Times New Roman" w:hAnsi="Times New Roman" w:cs="Times New Roman"/>
          <w:b/>
          <w:i/>
          <w:sz w:val="32"/>
          <w:szCs w:val="28"/>
        </w:rPr>
        <w:t>2013</w:t>
      </w:r>
    </w:p>
    <w:p w:rsidR="00AC4DD3" w:rsidRDefault="00AC4DD3" w:rsidP="00AC4DD3">
      <w:pPr>
        <w:rPr>
          <w:rFonts w:ascii="Times New Roman" w:hAnsi="Times New Roman" w:cs="Times New Roman"/>
          <w:b/>
          <w:sz w:val="28"/>
          <w:szCs w:val="28"/>
        </w:rPr>
      </w:pPr>
      <w:proofErr w:type="spellStart"/>
      <w:r w:rsidRPr="00AC4DD3">
        <w:rPr>
          <w:rFonts w:ascii="Times New Roman" w:hAnsi="Times New Roman" w:cs="Times New Roman"/>
          <w:b/>
          <w:sz w:val="28"/>
          <w:szCs w:val="28"/>
        </w:rPr>
        <w:t>Gartner</w:t>
      </w:r>
      <w:proofErr w:type="spellEnd"/>
      <w:r w:rsidRPr="00AC4DD3">
        <w:rPr>
          <w:rFonts w:ascii="Times New Roman" w:hAnsi="Times New Roman" w:cs="Times New Roman"/>
          <w:b/>
          <w:sz w:val="28"/>
          <w:szCs w:val="28"/>
        </w:rPr>
        <w:t xml:space="preserve">: максимальный рост покажут </w:t>
      </w:r>
      <w:proofErr w:type="spellStart"/>
      <w:r w:rsidRPr="00AC4DD3">
        <w:rPr>
          <w:rFonts w:ascii="Times New Roman" w:hAnsi="Times New Roman" w:cs="Times New Roman"/>
          <w:b/>
          <w:sz w:val="28"/>
          <w:szCs w:val="28"/>
        </w:rPr>
        <w:t>IaaS</w:t>
      </w:r>
      <w:proofErr w:type="spellEnd"/>
      <w:r w:rsidRPr="00AC4DD3">
        <w:rPr>
          <w:rFonts w:ascii="Times New Roman" w:hAnsi="Times New Roman" w:cs="Times New Roman"/>
          <w:b/>
          <w:sz w:val="28"/>
          <w:szCs w:val="28"/>
        </w:rPr>
        <w:t xml:space="preserve"> и </w:t>
      </w:r>
      <w:proofErr w:type="spellStart"/>
      <w:r w:rsidRPr="00AC4DD3">
        <w:rPr>
          <w:rFonts w:ascii="Times New Roman" w:hAnsi="Times New Roman" w:cs="Times New Roman"/>
          <w:b/>
          <w:sz w:val="28"/>
          <w:szCs w:val="28"/>
        </w:rPr>
        <w:t>BPaaS</w:t>
      </w:r>
      <w:proofErr w:type="spellEnd"/>
    </w:p>
    <w:p w:rsidR="00AC4DD3" w:rsidRPr="00AC4DD3" w:rsidRDefault="00AC4DD3" w:rsidP="00AC4DD3">
      <w:pPr>
        <w:rPr>
          <w:rFonts w:ascii="Times New Roman" w:hAnsi="Times New Roman" w:cs="Times New Roman"/>
          <w:sz w:val="28"/>
          <w:szCs w:val="28"/>
        </w:rPr>
      </w:pPr>
      <w:r>
        <w:rPr>
          <w:rFonts w:ascii="Times New Roman" w:hAnsi="Times New Roman" w:cs="Times New Roman"/>
          <w:sz w:val="28"/>
          <w:szCs w:val="28"/>
        </w:rPr>
        <w:t xml:space="preserve">По прогнозам </w:t>
      </w:r>
      <w:proofErr w:type="spellStart"/>
      <w:r w:rsidRPr="00AC4DD3">
        <w:rPr>
          <w:rFonts w:ascii="Times New Roman" w:hAnsi="Times New Roman" w:cs="Times New Roman"/>
          <w:b/>
          <w:sz w:val="28"/>
          <w:szCs w:val="28"/>
        </w:rPr>
        <w:t>Gartner</w:t>
      </w:r>
      <w:proofErr w:type="spellEnd"/>
      <w:r w:rsidRPr="00AC4DD3">
        <w:rPr>
          <w:rFonts w:ascii="Times New Roman" w:hAnsi="Times New Roman" w:cs="Times New Roman"/>
          <w:sz w:val="28"/>
          <w:szCs w:val="28"/>
        </w:rPr>
        <w:t xml:space="preserve"> от марта 2013 года, мировой рынок ИТ-сервисов увеличится на 5,2% в 2013 году и продолжит уверенно расти вплоть до 2016 года. Однако, рост будет в большей степени сосредоточен в новых сегментах рынка и касаться новых моделей поставки услуг, хотя положительная динамика в сегментах консалтинга и внедрения не и</w:t>
      </w:r>
      <w:r>
        <w:rPr>
          <w:rFonts w:ascii="Times New Roman" w:hAnsi="Times New Roman" w:cs="Times New Roman"/>
          <w:sz w:val="28"/>
          <w:szCs w:val="28"/>
        </w:rPr>
        <w:t>сключается.</w:t>
      </w:r>
    </w:p>
    <w:p w:rsidR="00AC4DD3" w:rsidRPr="00AC4DD3" w:rsidRDefault="00AC4DD3" w:rsidP="00AC4DD3">
      <w:pPr>
        <w:rPr>
          <w:rFonts w:ascii="Times New Roman" w:hAnsi="Times New Roman" w:cs="Times New Roman"/>
          <w:sz w:val="28"/>
          <w:szCs w:val="28"/>
        </w:rPr>
      </w:pPr>
      <w:r w:rsidRPr="00AC4DD3">
        <w:rPr>
          <w:rFonts w:ascii="Times New Roman" w:hAnsi="Times New Roman" w:cs="Times New Roman"/>
          <w:sz w:val="28"/>
          <w:szCs w:val="28"/>
        </w:rPr>
        <w:t>Рост в отдельных сегментах рынка ИТ-сервисов будет неравномерным. Так, наименьшая динамика прироста ожидается в сегменте поддержки оборудования и программного обеспечения. Прогнозировалось, что максимально быстро будет расти выручка поставщиков услуг в сегментах инфраструктура как сервис (</w:t>
      </w:r>
      <w:proofErr w:type="spellStart"/>
      <w:r w:rsidRPr="00AC4DD3">
        <w:rPr>
          <w:rFonts w:ascii="Times New Roman" w:hAnsi="Times New Roman" w:cs="Times New Roman"/>
          <w:sz w:val="28"/>
          <w:szCs w:val="28"/>
        </w:rPr>
        <w:t>IaaS</w:t>
      </w:r>
      <w:proofErr w:type="spellEnd"/>
      <w:r w:rsidRPr="00AC4DD3">
        <w:rPr>
          <w:rFonts w:ascii="Times New Roman" w:hAnsi="Times New Roman" w:cs="Times New Roman"/>
          <w:sz w:val="28"/>
          <w:szCs w:val="28"/>
        </w:rPr>
        <w:t>) и бизнес-процессов как сервис (</w:t>
      </w:r>
      <w:proofErr w:type="spellStart"/>
      <w:r w:rsidRPr="00AC4DD3">
        <w:rPr>
          <w:rFonts w:ascii="Times New Roman" w:hAnsi="Times New Roman" w:cs="Times New Roman"/>
          <w:sz w:val="28"/>
          <w:szCs w:val="28"/>
        </w:rPr>
        <w:t>BPaaS</w:t>
      </w:r>
      <w:proofErr w:type="spellEnd"/>
      <w:r w:rsidRPr="00AC4DD3">
        <w:rPr>
          <w:rFonts w:ascii="Times New Roman" w:hAnsi="Times New Roman" w:cs="Times New Roman"/>
          <w:sz w:val="28"/>
          <w:szCs w:val="28"/>
        </w:rPr>
        <w:t xml:space="preserve">): здесь рост составит 13,1% и 47,3% </w:t>
      </w:r>
      <w:r>
        <w:rPr>
          <w:rFonts w:ascii="Times New Roman" w:hAnsi="Times New Roman" w:cs="Times New Roman"/>
          <w:sz w:val="28"/>
          <w:szCs w:val="28"/>
        </w:rPr>
        <w:t>соответственно уже в 2013 году.</w:t>
      </w:r>
    </w:p>
    <w:p w:rsidR="00AC4DD3" w:rsidRPr="00AC4DD3" w:rsidRDefault="00AC4DD3" w:rsidP="00AC4DD3">
      <w:pPr>
        <w:rPr>
          <w:rFonts w:ascii="Times New Roman" w:hAnsi="Times New Roman" w:cs="Times New Roman"/>
          <w:sz w:val="28"/>
          <w:szCs w:val="28"/>
        </w:rPr>
      </w:pPr>
      <w:r w:rsidRPr="00AC4DD3">
        <w:rPr>
          <w:rFonts w:ascii="Times New Roman" w:hAnsi="Times New Roman" w:cs="Times New Roman"/>
          <w:sz w:val="28"/>
          <w:szCs w:val="28"/>
        </w:rPr>
        <w:t xml:space="preserve">Удобство, а не стоимость, становится для предприятий решающим фактором для внедрения облачных решений, отмечают в </w:t>
      </w:r>
      <w:proofErr w:type="spellStart"/>
      <w:r w:rsidRPr="00AC4DD3">
        <w:rPr>
          <w:rFonts w:ascii="Times New Roman" w:hAnsi="Times New Roman" w:cs="Times New Roman"/>
          <w:sz w:val="28"/>
          <w:szCs w:val="28"/>
        </w:rPr>
        <w:t>Gartner</w:t>
      </w:r>
      <w:proofErr w:type="spellEnd"/>
      <w:r w:rsidRPr="00AC4DD3">
        <w:rPr>
          <w:rFonts w:ascii="Times New Roman" w:hAnsi="Times New Roman" w:cs="Times New Roman"/>
          <w:sz w:val="28"/>
          <w:szCs w:val="28"/>
        </w:rPr>
        <w:t xml:space="preserve">. Гибридные ИТ среды станут доминировать по отношению к традиционным клиент-серверным уже к 2016 году. В связи с повышающейся ролью ИТ-услуг нового типа, поставщикам нужно будет быть убедительными перед клиентами и </w:t>
      </w:r>
      <w:r w:rsidRPr="00AC4DD3">
        <w:rPr>
          <w:rFonts w:ascii="Times New Roman" w:hAnsi="Times New Roman" w:cs="Times New Roman"/>
          <w:sz w:val="28"/>
          <w:szCs w:val="28"/>
        </w:rPr>
        <w:lastRenderedPageBreak/>
        <w:t xml:space="preserve">предоставлять надлежащие компетенции и качество сервиса, что </w:t>
      </w:r>
      <w:r>
        <w:rPr>
          <w:rFonts w:ascii="Times New Roman" w:hAnsi="Times New Roman" w:cs="Times New Roman"/>
          <w:sz w:val="28"/>
          <w:szCs w:val="28"/>
        </w:rPr>
        <w:t>является нетривиальной задачей.</w:t>
      </w:r>
    </w:p>
    <w:p w:rsidR="00AC4DD3" w:rsidRDefault="00AC4DD3" w:rsidP="00AC4DD3">
      <w:pPr>
        <w:rPr>
          <w:rFonts w:ascii="Times New Roman" w:hAnsi="Times New Roman" w:cs="Times New Roman"/>
          <w:sz w:val="28"/>
          <w:szCs w:val="28"/>
        </w:rPr>
      </w:pPr>
      <w:r w:rsidRPr="00AC4DD3">
        <w:rPr>
          <w:rFonts w:ascii="Times New Roman" w:hAnsi="Times New Roman" w:cs="Times New Roman"/>
          <w:sz w:val="28"/>
          <w:szCs w:val="28"/>
        </w:rPr>
        <w:t xml:space="preserve">В связи с этим аналитики </w:t>
      </w:r>
      <w:proofErr w:type="spellStart"/>
      <w:r w:rsidRPr="00AC4DD3">
        <w:rPr>
          <w:rFonts w:ascii="Times New Roman" w:hAnsi="Times New Roman" w:cs="Times New Roman"/>
          <w:sz w:val="28"/>
          <w:szCs w:val="28"/>
        </w:rPr>
        <w:t>Gartner</w:t>
      </w:r>
      <w:proofErr w:type="spellEnd"/>
      <w:r w:rsidRPr="00AC4DD3">
        <w:rPr>
          <w:rFonts w:ascii="Times New Roman" w:hAnsi="Times New Roman" w:cs="Times New Roman"/>
          <w:sz w:val="28"/>
          <w:szCs w:val="28"/>
        </w:rPr>
        <w:t xml:space="preserve"> давал три главные рекомендации поставщикам ИТ-услуг на 2013 год. Во-первых, они призывали свести к минимуму количество маркетинговых сообщений, рекламирующих сервисы в «мягкой форме», а также установить ценообразование, напрямую зависящее от конечного результата пользования услугами. Во-вторых, они рекомендовали пересмотреть портфолио услуг и оставить в нем только наиболее конкурентоспособные. В-третьих, советовали определить, что является определяющим в бизнес-модели конкретного провайдера – объем услуг или специализация.</w:t>
      </w:r>
    </w:p>
    <w:p w:rsidR="00B54BD6" w:rsidRPr="00B54BD6" w:rsidRDefault="00B54BD6" w:rsidP="00B54BD6">
      <w:pPr>
        <w:pBdr>
          <w:bottom w:val="single" w:sz="12" w:space="1" w:color="auto"/>
        </w:pBdr>
        <w:jc w:val="center"/>
        <w:rPr>
          <w:rFonts w:ascii="Times New Roman" w:hAnsi="Times New Roman" w:cs="Times New Roman"/>
          <w:b/>
          <w:i/>
          <w:sz w:val="32"/>
          <w:szCs w:val="28"/>
        </w:rPr>
      </w:pPr>
      <w:r w:rsidRPr="00B54BD6">
        <w:rPr>
          <w:rFonts w:ascii="Times New Roman" w:hAnsi="Times New Roman" w:cs="Times New Roman"/>
          <w:b/>
          <w:i/>
          <w:sz w:val="32"/>
          <w:szCs w:val="28"/>
        </w:rPr>
        <w:t>2014</w:t>
      </w:r>
    </w:p>
    <w:p w:rsidR="00B54BD6" w:rsidRPr="00B54BD6" w:rsidRDefault="00B54BD6" w:rsidP="00B54BD6">
      <w:pPr>
        <w:rPr>
          <w:rFonts w:ascii="Times New Roman" w:hAnsi="Times New Roman" w:cs="Times New Roman"/>
          <w:b/>
          <w:sz w:val="28"/>
          <w:szCs w:val="28"/>
        </w:rPr>
      </w:pPr>
      <w:r>
        <w:rPr>
          <w:rFonts w:ascii="Times New Roman" w:hAnsi="Times New Roman" w:cs="Times New Roman"/>
          <w:sz w:val="28"/>
          <w:szCs w:val="28"/>
        </w:rPr>
        <w:br/>
      </w:r>
      <w:r w:rsidRPr="00B54BD6">
        <w:rPr>
          <w:rFonts w:ascii="Times New Roman" w:hAnsi="Times New Roman" w:cs="Times New Roman"/>
          <w:b/>
          <w:sz w:val="28"/>
          <w:szCs w:val="28"/>
        </w:rPr>
        <w:t xml:space="preserve">Данные </w:t>
      </w:r>
      <w:proofErr w:type="spellStart"/>
      <w:r w:rsidRPr="00B54BD6">
        <w:rPr>
          <w:rFonts w:ascii="Times New Roman" w:hAnsi="Times New Roman" w:cs="Times New Roman"/>
          <w:b/>
          <w:sz w:val="28"/>
          <w:szCs w:val="28"/>
        </w:rPr>
        <w:t>Gartner</w:t>
      </w:r>
      <w:proofErr w:type="spellEnd"/>
    </w:p>
    <w:p w:rsidR="00B54BD6" w:rsidRPr="00B54BD6" w:rsidRDefault="00B54BD6" w:rsidP="00B54BD6">
      <w:pPr>
        <w:rPr>
          <w:rFonts w:ascii="Times New Roman" w:hAnsi="Times New Roman" w:cs="Times New Roman"/>
          <w:sz w:val="28"/>
          <w:szCs w:val="28"/>
        </w:rPr>
      </w:pPr>
      <w:r w:rsidRPr="00B54BD6">
        <w:rPr>
          <w:rFonts w:ascii="Times New Roman" w:hAnsi="Times New Roman" w:cs="Times New Roman"/>
          <w:sz w:val="28"/>
          <w:szCs w:val="28"/>
        </w:rPr>
        <w:t xml:space="preserve">В начале июня 2015 года был обнародован список крупнейших поставщиков ИТ-услуг в мире. Лидерами по итогам 2014 года остались IBM и HP, однако доходы этих американских </w:t>
      </w:r>
      <w:proofErr w:type="spellStart"/>
      <w:r w:rsidRPr="00B54BD6">
        <w:rPr>
          <w:rFonts w:ascii="Times New Roman" w:hAnsi="Times New Roman" w:cs="Times New Roman"/>
          <w:sz w:val="28"/>
          <w:szCs w:val="28"/>
        </w:rPr>
        <w:t>вендоров</w:t>
      </w:r>
      <w:proofErr w:type="spellEnd"/>
      <w:r w:rsidRPr="00B54BD6">
        <w:rPr>
          <w:rFonts w:ascii="Times New Roman" w:hAnsi="Times New Roman" w:cs="Times New Roman"/>
          <w:sz w:val="28"/>
          <w:szCs w:val="28"/>
        </w:rPr>
        <w:t xml:space="preserve"> на рынке упали. Наибольший подъем выручки продемонстрировали инди</w:t>
      </w:r>
      <w:r>
        <w:rPr>
          <w:rFonts w:ascii="Times New Roman" w:hAnsi="Times New Roman" w:cs="Times New Roman"/>
          <w:sz w:val="28"/>
          <w:szCs w:val="28"/>
        </w:rPr>
        <w:t>йская и южнокорейская компании.</w:t>
      </w:r>
    </w:p>
    <w:p w:rsidR="00B54BD6" w:rsidRPr="00B54BD6" w:rsidRDefault="00B54BD6" w:rsidP="00B54BD6">
      <w:pPr>
        <w:rPr>
          <w:rFonts w:ascii="Times New Roman" w:hAnsi="Times New Roman" w:cs="Times New Roman"/>
          <w:sz w:val="28"/>
          <w:szCs w:val="28"/>
        </w:rPr>
      </w:pPr>
      <w:r w:rsidRPr="00B54BD6">
        <w:rPr>
          <w:rFonts w:ascii="Times New Roman" w:hAnsi="Times New Roman" w:cs="Times New Roman"/>
          <w:sz w:val="28"/>
          <w:szCs w:val="28"/>
        </w:rPr>
        <w:t xml:space="preserve">Согласно данным </w:t>
      </w:r>
      <w:proofErr w:type="spellStart"/>
      <w:r w:rsidRPr="00B54BD6">
        <w:rPr>
          <w:rFonts w:ascii="Times New Roman" w:hAnsi="Times New Roman" w:cs="Times New Roman"/>
          <w:sz w:val="28"/>
          <w:szCs w:val="28"/>
        </w:rPr>
        <w:t>Gartner</w:t>
      </w:r>
      <w:proofErr w:type="spellEnd"/>
      <w:r w:rsidRPr="00B54BD6">
        <w:rPr>
          <w:rFonts w:ascii="Times New Roman" w:hAnsi="Times New Roman" w:cs="Times New Roman"/>
          <w:sz w:val="28"/>
          <w:szCs w:val="28"/>
        </w:rPr>
        <w:t xml:space="preserve"> за 2014 год, самая большая выручка от реализации ИТ-услуг была у IBM — $54,8 млрд. В сравнении с 2013 годом у компании произошел 3,5-процентный спад. Еще сильнее – на 6,5% – упали продажи ИТ-сервисов у HP, которая в рейтинге</w:t>
      </w:r>
      <w:r>
        <w:rPr>
          <w:rFonts w:ascii="Times New Roman" w:hAnsi="Times New Roman" w:cs="Times New Roman"/>
          <w:sz w:val="28"/>
          <w:szCs w:val="28"/>
        </w:rPr>
        <w:t xml:space="preserve"> аналитиков идет следом за IBM.</w:t>
      </w:r>
    </w:p>
    <w:p w:rsidR="00B54BD6" w:rsidRPr="00B54BD6" w:rsidRDefault="00B54BD6" w:rsidP="00B54BD6">
      <w:pPr>
        <w:rPr>
          <w:rFonts w:ascii="Times New Roman" w:hAnsi="Times New Roman" w:cs="Times New Roman"/>
          <w:sz w:val="28"/>
          <w:szCs w:val="28"/>
        </w:rPr>
      </w:pPr>
      <w:r w:rsidRPr="00B54BD6">
        <w:rPr>
          <w:rFonts w:ascii="Times New Roman" w:hAnsi="Times New Roman" w:cs="Times New Roman"/>
          <w:sz w:val="28"/>
          <w:szCs w:val="28"/>
        </w:rPr>
        <w:t>С третьего по десятое места списка компаний с наибольшими показателями выручки на рынке ИТ-у</w:t>
      </w:r>
      <w:r>
        <w:rPr>
          <w:rFonts w:ascii="Times New Roman" w:hAnsi="Times New Roman" w:cs="Times New Roman"/>
          <w:sz w:val="28"/>
          <w:szCs w:val="28"/>
        </w:rPr>
        <w:t>слуг заняли следующие компании:</w:t>
      </w:r>
    </w:p>
    <w:p w:rsidR="00B54BD6" w:rsidRPr="00B54BD6" w:rsidRDefault="00B54BD6" w:rsidP="00B54BD6">
      <w:pPr>
        <w:ind w:firstLine="708"/>
        <w:rPr>
          <w:rFonts w:ascii="Times New Roman" w:hAnsi="Times New Roman" w:cs="Times New Roman"/>
          <w:sz w:val="28"/>
          <w:szCs w:val="28"/>
          <w:lang w:val="en-US"/>
        </w:rPr>
      </w:pPr>
      <w:r w:rsidRPr="00B54BD6">
        <w:rPr>
          <w:rFonts w:ascii="Times New Roman" w:hAnsi="Times New Roman" w:cs="Times New Roman"/>
          <w:sz w:val="28"/>
          <w:szCs w:val="28"/>
          <w:lang w:val="en-US"/>
        </w:rPr>
        <w:t>Accenture</w:t>
      </w:r>
    </w:p>
    <w:p w:rsidR="00B54BD6" w:rsidRPr="00B54BD6" w:rsidRDefault="00B54BD6" w:rsidP="00B54BD6">
      <w:pPr>
        <w:ind w:firstLine="708"/>
        <w:rPr>
          <w:rFonts w:ascii="Times New Roman" w:hAnsi="Times New Roman" w:cs="Times New Roman"/>
          <w:sz w:val="28"/>
          <w:szCs w:val="28"/>
          <w:lang w:val="en-US"/>
        </w:rPr>
      </w:pPr>
      <w:r w:rsidRPr="00B54BD6">
        <w:rPr>
          <w:rFonts w:ascii="Times New Roman" w:hAnsi="Times New Roman" w:cs="Times New Roman"/>
          <w:sz w:val="28"/>
          <w:szCs w:val="28"/>
          <w:lang w:val="en-US"/>
        </w:rPr>
        <w:t>Deloitte</w:t>
      </w:r>
    </w:p>
    <w:p w:rsidR="00B54BD6" w:rsidRPr="00B54BD6" w:rsidRDefault="00B54BD6" w:rsidP="00B54BD6">
      <w:pPr>
        <w:ind w:firstLine="708"/>
        <w:rPr>
          <w:rFonts w:ascii="Times New Roman" w:hAnsi="Times New Roman" w:cs="Times New Roman"/>
          <w:sz w:val="28"/>
          <w:szCs w:val="28"/>
          <w:lang w:val="en-US"/>
        </w:rPr>
      </w:pPr>
      <w:r w:rsidRPr="00B54BD6">
        <w:rPr>
          <w:rFonts w:ascii="Times New Roman" w:hAnsi="Times New Roman" w:cs="Times New Roman"/>
          <w:sz w:val="28"/>
          <w:szCs w:val="28"/>
          <w:lang w:val="en-US"/>
        </w:rPr>
        <w:t>Fujitsu</w:t>
      </w:r>
    </w:p>
    <w:p w:rsidR="00B54BD6" w:rsidRPr="00B54BD6" w:rsidRDefault="00B54BD6" w:rsidP="00B54BD6">
      <w:pPr>
        <w:ind w:firstLine="708"/>
        <w:rPr>
          <w:rFonts w:ascii="Times New Roman" w:hAnsi="Times New Roman" w:cs="Times New Roman"/>
          <w:sz w:val="28"/>
          <w:szCs w:val="28"/>
          <w:lang w:val="en-US"/>
        </w:rPr>
      </w:pPr>
      <w:r w:rsidRPr="00B54BD6">
        <w:rPr>
          <w:rFonts w:ascii="Times New Roman" w:hAnsi="Times New Roman" w:cs="Times New Roman"/>
          <w:sz w:val="28"/>
          <w:szCs w:val="28"/>
          <w:lang w:val="en-US"/>
        </w:rPr>
        <w:t>TATA Consultancy Services (TCS)</w:t>
      </w:r>
    </w:p>
    <w:p w:rsidR="00B54BD6" w:rsidRPr="00B54BD6" w:rsidRDefault="00B54BD6" w:rsidP="00B54BD6">
      <w:pPr>
        <w:ind w:firstLine="708"/>
        <w:rPr>
          <w:rFonts w:ascii="Times New Roman" w:hAnsi="Times New Roman" w:cs="Times New Roman"/>
          <w:sz w:val="28"/>
          <w:szCs w:val="28"/>
          <w:lang w:val="en-US"/>
        </w:rPr>
      </w:pPr>
      <w:proofErr w:type="spellStart"/>
      <w:r w:rsidRPr="00B54BD6">
        <w:rPr>
          <w:rFonts w:ascii="Times New Roman" w:hAnsi="Times New Roman" w:cs="Times New Roman"/>
          <w:sz w:val="28"/>
          <w:szCs w:val="28"/>
          <w:lang w:val="en-US"/>
        </w:rPr>
        <w:t>Capgemini</w:t>
      </w:r>
      <w:proofErr w:type="spellEnd"/>
    </w:p>
    <w:p w:rsidR="00B54BD6" w:rsidRPr="00B54BD6" w:rsidRDefault="00B54BD6" w:rsidP="00B54BD6">
      <w:pPr>
        <w:ind w:firstLine="708"/>
        <w:rPr>
          <w:rFonts w:ascii="Times New Roman" w:hAnsi="Times New Roman" w:cs="Times New Roman"/>
          <w:sz w:val="28"/>
          <w:szCs w:val="28"/>
          <w:lang w:val="en-US"/>
        </w:rPr>
      </w:pPr>
      <w:r w:rsidRPr="00B54BD6">
        <w:rPr>
          <w:rFonts w:ascii="Times New Roman" w:hAnsi="Times New Roman" w:cs="Times New Roman"/>
          <w:sz w:val="28"/>
          <w:szCs w:val="28"/>
          <w:lang w:val="en-US"/>
        </w:rPr>
        <w:t>PwC</w:t>
      </w:r>
    </w:p>
    <w:p w:rsidR="00B54BD6" w:rsidRPr="00B54BD6" w:rsidRDefault="00B54BD6" w:rsidP="00B54BD6">
      <w:pPr>
        <w:ind w:firstLine="708"/>
        <w:rPr>
          <w:rFonts w:ascii="Times New Roman" w:hAnsi="Times New Roman" w:cs="Times New Roman"/>
          <w:sz w:val="28"/>
          <w:szCs w:val="28"/>
          <w:lang w:val="en-US"/>
        </w:rPr>
      </w:pPr>
      <w:r w:rsidRPr="00B54BD6">
        <w:rPr>
          <w:rFonts w:ascii="Times New Roman" w:hAnsi="Times New Roman" w:cs="Times New Roman"/>
          <w:sz w:val="28"/>
          <w:szCs w:val="28"/>
          <w:lang w:val="en-US"/>
        </w:rPr>
        <w:t>NTT DATA</w:t>
      </w:r>
    </w:p>
    <w:p w:rsidR="00B54BD6" w:rsidRPr="00B54BD6" w:rsidRDefault="00B54BD6" w:rsidP="00B54BD6">
      <w:pPr>
        <w:ind w:firstLine="708"/>
        <w:rPr>
          <w:rFonts w:ascii="Times New Roman" w:hAnsi="Times New Roman" w:cs="Times New Roman"/>
          <w:sz w:val="28"/>
          <w:szCs w:val="28"/>
          <w:lang w:val="en-US"/>
        </w:rPr>
      </w:pPr>
      <w:r w:rsidRPr="00B54BD6">
        <w:rPr>
          <w:rFonts w:ascii="Times New Roman" w:hAnsi="Times New Roman" w:cs="Times New Roman"/>
          <w:sz w:val="28"/>
          <w:szCs w:val="28"/>
          <w:lang w:val="en-US"/>
        </w:rPr>
        <w:t>Oracle</w:t>
      </w:r>
    </w:p>
    <w:p w:rsidR="00B54BD6" w:rsidRPr="00B54BD6" w:rsidRDefault="00B54BD6" w:rsidP="00B54BD6">
      <w:pPr>
        <w:rPr>
          <w:rFonts w:ascii="Times New Roman" w:hAnsi="Times New Roman" w:cs="Times New Roman"/>
          <w:sz w:val="28"/>
          <w:szCs w:val="28"/>
        </w:rPr>
      </w:pPr>
      <w:r w:rsidRPr="00B54BD6">
        <w:rPr>
          <w:rFonts w:ascii="Times New Roman" w:hAnsi="Times New Roman" w:cs="Times New Roman"/>
          <w:sz w:val="28"/>
          <w:szCs w:val="28"/>
        </w:rPr>
        <w:t xml:space="preserve">У последней доходы составили $12,7 млрд. Южнокорейское издание </w:t>
      </w:r>
      <w:proofErr w:type="spellStart"/>
      <w:r w:rsidRPr="00B54BD6">
        <w:rPr>
          <w:rFonts w:ascii="Times New Roman" w:hAnsi="Times New Roman" w:cs="Times New Roman"/>
          <w:sz w:val="28"/>
          <w:szCs w:val="28"/>
        </w:rPr>
        <w:t>Business</w:t>
      </w:r>
      <w:proofErr w:type="spellEnd"/>
      <w:r w:rsidRPr="00B54BD6">
        <w:rPr>
          <w:rFonts w:ascii="Times New Roman" w:hAnsi="Times New Roman" w:cs="Times New Roman"/>
          <w:sz w:val="28"/>
          <w:szCs w:val="28"/>
        </w:rPr>
        <w:t xml:space="preserve"> </w:t>
      </w:r>
      <w:proofErr w:type="spellStart"/>
      <w:r w:rsidRPr="00B54BD6">
        <w:rPr>
          <w:rFonts w:ascii="Times New Roman" w:hAnsi="Times New Roman" w:cs="Times New Roman"/>
          <w:sz w:val="28"/>
          <w:szCs w:val="28"/>
        </w:rPr>
        <w:t>Korea</w:t>
      </w:r>
      <w:proofErr w:type="spellEnd"/>
      <w:r w:rsidRPr="00B54BD6">
        <w:rPr>
          <w:rFonts w:ascii="Times New Roman" w:hAnsi="Times New Roman" w:cs="Times New Roman"/>
          <w:sz w:val="28"/>
          <w:szCs w:val="28"/>
        </w:rPr>
        <w:t xml:space="preserve"> обращает внимание на вхождение в ТОП-30 местной компании </w:t>
      </w:r>
      <w:proofErr w:type="spellStart"/>
      <w:r w:rsidRPr="00B54BD6">
        <w:rPr>
          <w:rFonts w:ascii="Times New Roman" w:hAnsi="Times New Roman" w:cs="Times New Roman"/>
          <w:sz w:val="28"/>
          <w:szCs w:val="28"/>
        </w:rPr>
        <w:lastRenderedPageBreak/>
        <w:t>Samsung</w:t>
      </w:r>
      <w:proofErr w:type="spellEnd"/>
      <w:r w:rsidRPr="00B54BD6">
        <w:rPr>
          <w:rFonts w:ascii="Times New Roman" w:hAnsi="Times New Roman" w:cs="Times New Roman"/>
          <w:sz w:val="28"/>
          <w:szCs w:val="28"/>
        </w:rPr>
        <w:t xml:space="preserve"> SDS. Она расположилась на 27-й позиции по итогам 2014 года против 30-й годом ранее. В 2014 году </w:t>
      </w:r>
      <w:proofErr w:type="spellStart"/>
      <w:r w:rsidRPr="00B54BD6">
        <w:rPr>
          <w:rFonts w:ascii="Times New Roman" w:hAnsi="Times New Roman" w:cs="Times New Roman"/>
          <w:sz w:val="28"/>
          <w:szCs w:val="28"/>
        </w:rPr>
        <w:t>Samsung</w:t>
      </w:r>
      <w:proofErr w:type="spellEnd"/>
      <w:r w:rsidRPr="00B54BD6">
        <w:rPr>
          <w:rFonts w:ascii="Times New Roman" w:hAnsi="Times New Roman" w:cs="Times New Roman"/>
          <w:sz w:val="28"/>
          <w:szCs w:val="28"/>
        </w:rPr>
        <w:t xml:space="preserve"> SDS заработала на ИТ-сервисах около $7,5 млрд, что на 16,4% больше в годовом исчислении. Этот подъем оказался почти самым большим среди всех участников рынка: лишь индийская TCS смогла показать более высоку</w:t>
      </w:r>
      <w:r>
        <w:rPr>
          <w:rFonts w:ascii="Times New Roman" w:hAnsi="Times New Roman" w:cs="Times New Roman"/>
          <w:sz w:val="28"/>
          <w:szCs w:val="28"/>
        </w:rPr>
        <w:t>ю динамику, измерявшуюся 19,1%.</w:t>
      </w:r>
    </w:p>
    <w:p w:rsidR="00B54BD6" w:rsidRPr="00B54BD6" w:rsidRDefault="00B54BD6" w:rsidP="00B54BD6">
      <w:pPr>
        <w:rPr>
          <w:rFonts w:ascii="Times New Roman" w:hAnsi="Times New Roman" w:cs="Times New Roman"/>
          <w:sz w:val="28"/>
          <w:szCs w:val="28"/>
        </w:rPr>
      </w:pPr>
      <w:r w:rsidRPr="00B54BD6">
        <w:rPr>
          <w:rFonts w:ascii="Times New Roman" w:hAnsi="Times New Roman" w:cs="Times New Roman"/>
          <w:sz w:val="28"/>
          <w:szCs w:val="28"/>
        </w:rPr>
        <w:t xml:space="preserve">На мероприятии, посвященном празднованию 30-летия </w:t>
      </w:r>
      <w:proofErr w:type="spellStart"/>
      <w:r w:rsidRPr="00B54BD6">
        <w:rPr>
          <w:rFonts w:ascii="Times New Roman" w:hAnsi="Times New Roman" w:cs="Times New Roman"/>
          <w:sz w:val="28"/>
          <w:szCs w:val="28"/>
        </w:rPr>
        <w:t>Samsung</w:t>
      </w:r>
      <w:proofErr w:type="spellEnd"/>
      <w:r w:rsidRPr="00B54BD6">
        <w:rPr>
          <w:rFonts w:ascii="Times New Roman" w:hAnsi="Times New Roman" w:cs="Times New Roman"/>
          <w:sz w:val="28"/>
          <w:szCs w:val="28"/>
        </w:rPr>
        <w:t xml:space="preserve"> SDS (апрель 2015 года), президент компании </w:t>
      </w:r>
      <w:proofErr w:type="spellStart"/>
      <w:r w:rsidRPr="00B54BD6">
        <w:rPr>
          <w:rFonts w:ascii="Times New Roman" w:hAnsi="Times New Roman" w:cs="Times New Roman"/>
          <w:sz w:val="28"/>
          <w:szCs w:val="28"/>
        </w:rPr>
        <w:t>Джун</w:t>
      </w:r>
      <w:proofErr w:type="spellEnd"/>
      <w:r w:rsidRPr="00B54BD6">
        <w:rPr>
          <w:rFonts w:ascii="Times New Roman" w:hAnsi="Times New Roman" w:cs="Times New Roman"/>
          <w:sz w:val="28"/>
          <w:szCs w:val="28"/>
        </w:rPr>
        <w:t xml:space="preserve"> Дон-су (</w:t>
      </w:r>
      <w:proofErr w:type="spellStart"/>
      <w:r w:rsidRPr="00B54BD6">
        <w:rPr>
          <w:rFonts w:ascii="Times New Roman" w:hAnsi="Times New Roman" w:cs="Times New Roman"/>
          <w:sz w:val="28"/>
          <w:szCs w:val="28"/>
        </w:rPr>
        <w:t>Jun</w:t>
      </w:r>
      <w:proofErr w:type="spellEnd"/>
      <w:r w:rsidRPr="00B54BD6">
        <w:rPr>
          <w:rFonts w:ascii="Times New Roman" w:hAnsi="Times New Roman" w:cs="Times New Roman"/>
          <w:sz w:val="28"/>
          <w:szCs w:val="28"/>
        </w:rPr>
        <w:t xml:space="preserve"> </w:t>
      </w:r>
      <w:proofErr w:type="spellStart"/>
      <w:r w:rsidRPr="00B54BD6">
        <w:rPr>
          <w:rFonts w:ascii="Times New Roman" w:hAnsi="Times New Roman" w:cs="Times New Roman"/>
          <w:sz w:val="28"/>
          <w:szCs w:val="28"/>
        </w:rPr>
        <w:t>Dong-soo</w:t>
      </w:r>
      <w:proofErr w:type="spellEnd"/>
      <w:r w:rsidRPr="00B54BD6">
        <w:rPr>
          <w:rFonts w:ascii="Times New Roman" w:hAnsi="Times New Roman" w:cs="Times New Roman"/>
          <w:sz w:val="28"/>
          <w:szCs w:val="28"/>
        </w:rPr>
        <w:t xml:space="preserve">) заявил, что к 2020 году </w:t>
      </w:r>
      <w:proofErr w:type="spellStart"/>
      <w:r w:rsidRPr="00B54BD6">
        <w:rPr>
          <w:rFonts w:ascii="Times New Roman" w:hAnsi="Times New Roman" w:cs="Times New Roman"/>
          <w:sz w:val="28"/>
          <w:szCs w:val="28"/>
        </w:rPr>
        <w:t>Samsung</w:t>
      </w:r>
      <w:proofErr w:type="spellEnd"/>
      <w:r w:rsidRPr="00B54BD6">
        <w:rPr>
          <w:rFonts w:ascii="Times New Roman" w:hAnsi="Times New Roman" w:cs="Times New Roman"/>
          <w:sz w:val="28"/>
          <w:szCs w:val="28"/>
        </w:rPr>
        <w:t xml:space="preserve"> SDS может войти в десятку крупнейших поставщиков ИТ-услуг и увеличить выручк</w:t>
      </w:r>
      <w:r>
        <w:rPr>
          <w:rFonts w:ascii="Times New Roman" w:hAnsi="Times New Roman" w:cs="Times New Roman"/>
          <w:sz w:val="28"/>
          <w:szCs w:val="28"/>
        </w:rPr>
        <w:t>у до 20 трлн вон ($18 млрд).</w:t>
      </w:r>
    </w:p>
    <w:p w:rsidR="00AC4DD3" w:rsidRDefault="00B54BD6" w:rsidP="00B54BD6">
      <w:pPr>
        <w:rPr>
          <w:rFonts w:ascii="Times New Roman" w:hAnsi="Times New Roman" w:cs="Times New Roman"/>
          <w:sz w:val="28"/>
          <w:szCs w:val="28"/>
        </w:rPr>
      </w:pPr>
      <w:r w:rsidRPr="00B54BD6">
        <w:rPr>
          <w:rFonts w:ascii="Times New Roman" w:hAnsi="Times New Roman" w:cs="Times New Roman"/>
          <w:sz w:val="28"/>
          <w:szCs w:val="28"/>
        </w:rPr>
        <w:t xml:space="preserve">Ходили слухи, что </w:t>
      </w:r>
      <w:proofErr w:type="spellStart"/>
      <w:r w:rsidRPr="00B54BD6">
        <w:rPr>
          <w:rFonts w:ascii="Times New Roman" w:hAnsi="Times New Roman" w:cs="Times New Roman"/>
          <w:sz w:val="28"/>
          <w:szCs w:val="28"/>
        </w:rPr>
        <w:t>Samsung</w:t>
      </w:r>
      <w:proofErr w:type="spellEnd"/>
      <w:r w:rsidRPr="00B54BD6">
        <w:rPr>
          <w:rFonts w:ascii="Times New Roman" w:hAnsi="Times New Roman" w:cs="Times New Roman"/>
          <w:sz w:val="28"/>
          <w:szCs w:val="28"/>
        </w:rPr>
        <w:t xml:space="preserve"> SDS может присоединиться к другому участнику конгломерата </w:t>
      </w:r>
      <w:proofErr w:type="spellStart"/>
      <w:r w:rsidRPr="00B54BD6">
        <w:rPr>
          <w:rFonts w:ascii="Times New Roman" w:hAnsi="Times New Roman" w:cs="Times New Roman"/>
          <w:sz w:val="28"/>
          <w:szCs w:val="28"/>
        </w:rPr>
        <w:t>Samsung</w:t>
      </w:r>
      <w:proofErr w:type="spellEnd"/>
      <w:r w:rsidRPr="00B54BD6">
        <w:rPr>
          <w:rFonts w:ascii="Times New Roman" w:hAnsi="Times New Roman" w:cs="Times New Roman"/>
          <w:sz w:val="28"/>
          <w:szCs w:val="28"/>
        </w:rPr>
        <w:t xml:space="preserve"> </w:t>
      </w:r>
      <w:proofErr w:type="spellStart"/>
      <w:r w:rsidRPr="00B54BD6">
        <w:rPr>
          <w:rFonts w:ascii="Times New Roman" w:hAnsi="Times New Roman" w:cs="Times New Roman"/>
          <w:sz w:val="28"/>
          <w:szCs w:val="28"/>
        </w:rPr>
        <w:t>Group</w:t>
      </w:r>
      <w:proofErr w:type="spellEnd"/>
      <w:r w:rsidRPr="00B54BD6">
        <w:rPr>
          <w:rFonts w:ascii="Times New Roman" w:hAnsi="Times New Roman" w:cs="Times New Roman"/>
          <w:sz w:val="28"/>
          <w:szCs w:val="28"/>
        </w:rPr>
        <w:t xml:space="preserve"> — корпорации </w:t>
      </w:r>
      <w:proofErr w:type="spellStart"/>
      <w:r w:rsidRPr="00B54BD6">
        <w:rPr>
          <w:rFonts w:ascii="Times New Roman" w:hAnsi="Times New Roman" w:cs="Times New Roman"/>
          <w:sz w:val="28"/>
          <w:szCs w:val="28"/>
        </w:rPr>
        <w:t>Samsung</w:t>
      </w:r>
      <w:proofErr w:type="spellEnd"/>
      <w:r w:rsidRPr="00B54BD6">
        <w:rPr>
          <w:rFonts w:ascii="Times New Roman" w:hAnsi="Times New Roman" w:cs="Times New Roman"/>
          <w:sz w:val="28"/>
          <w:szCs w:val="28"/>
        </w:rPr>
        <w:t xml:space="preserve"> </w:t>
      </w:r>
      <w:proofErr w:type="spellStart"/>
      <w:r w:rsidRPr="00B54BD6">
        <w:rPr>
          <w:rFonts w:ascii="Times New Roman" w:hAnsi="Times New Roman" w:cs="Times New Roman"/>
          <w:sz w:val="28"/>
          <w:szCs w:val="28"/>
        </w:rPr>
        <w:t>Electronics</w:t>
      </w:r>
      <w:proofErr w:type="spellEnd"/>
      <w:r w:rsidRPr="00B54BD6">
        <w:rPr>
          <w:rFonts w:ascii="Times New Roman" w:hAnsi="Times New Roman" w:cs="Times New Roman"/>
          <w:sz w:val="28"/>
          <w:szCs w:val="28"/>
        </w:rPr>
        <w:t>. Последняя опровергла возможность слияния с сестринской ИТ-компанией.</w:t>
      </w:r>
    </w:p>
    <w:p w:rsidR="00B54BD6" w:rsidRDefault="00B54BD6" w:rsidP="00B54BD6">
      <w:pPr>
        <w:pBdr>
          <w:bottom w:val="single" w:sz="12" w:space="1" w:color="auto"/>
        </w:pBdr>
        <w:jc w:val="center"/>
        <w:rPr>
          <w:rFonts w:ascii="Times New Roman" w:hAnsi="Times New Roman" w:cs="Times New Roman"/>
          <w:b/>
          <w:i/>
          <w:sz w:val="32"/>
          <w:szCs w:val="28"/>
        </w:rPr>
      </w:pPr>
      <w:r w:rsidRPr="00B54BD6">
        <w:rPr>
          <w:rFonts w:ascii="Times New Roman" w:hAnsi="Times New Roman" w:cs="Times New Roman"/>
          <w:b/>
          <w:i/>
          <w:sz w:val="32"/>
          <w:szCs w:val="28"/>
        </w:rPr>
        <w:t>2016</w:t>
      </w:r>
    </w:p>
    <w:p w:rsidR="00B54BD6" w:rsidRPr="00B54BD6" w:rsidRDefault="00B54BD6" w:rsidP="00B54BD6">
      <w:pPr>
        <w:jc w:val="center"/>
        <w:rPr>
          <w:rFonts w:ascii="Times New Roman" w:hAnsi="Times New Roman" w:cs="Times New Roman"/>
          <w:b/>
          <w:i/>
          <w:sz w:val="32"/>
          <w:szCs w:val="28"/>
        </w:rPr>
      </w:pPr>
    </w:p>
    <w:p w:rsidR="00B54BD6" w:rsidRPr="00B54BD6" w:rsidRDefault="00B54BD6" w:rsidP="00B54BD6">
      <w:pPr>
        <w:rPr>
          <w:rFonts w:ascii="Times New Roman" w:hAnsi="Times New Roman" w:cs="Times New Roman"/>
          <w:b/>
          <w:sz w:val="28"/>
          <w:szCs w:val="28"/>
        </w:rPr>
      </w:pPr>
      <w:r w:rsidRPr="00B54BD6">
        <w:rPr>
          <w:rFonts w:ascii="Times New Roman" w:hAnsi="Times New Roman" w:cs="Times New Roman"/>
          <w:b/>
          <w:sz w:val="28"/>
          <w:szCs w:val="28"/>
        </w:rPr>
        <w:t xml:space="preserve">Данные </w:t>
      </w:r>
      <w:proofErr w:type="spellStart"/>
      <w:r w:rsidRPr="00B54BD6">
        <w:rPr>
          <w:rFonts w:ascii="Times New Roman" w:hAnsi="Times New Roman" w:cs="Times New Roman"/>
          <w:b/>
          <w:sz w:val="28"/>
          <w:szCs w:val="28"/>
        </w:rPr>
        <w:t>Gartner</w:t>
      </w:r>
      <w:proofErr w:type="spellEnd"/>
    </w:p>
    <w:p w:rsidR="00B54BD6" w:rsidRPr="00B54BD6" w:rsidRDefault="00B54BD6" w:rsidP="00B54BD6">
      <w:pPr>
        <w:rPr>
          <w:rFonts w:ascii="Times New Roman" w:hAnsi="Times New Roman" w:cs="Times New Roman"/>
          <w:sz w:val="28"/>
          <w:szCs w:val="28"/>
        </w:rPr>
      </w:pPr>
      <w:r w:rsidRPr="00B54BD6">
        <w:rPr>
          <w:rFonts w:ascii="Times New Roman" w:hAnsi="Times New Roman" w:cs="Times New Roman"/>
          <w:sz w:val="28"/>
          <w:szCs w:val="28"/>
        </w:rPr>
        <w:t xml:space="preserve">Согласно прогнозам </w:t>
      </w:r>
      <w:proofErr w:type="spellStart"/>
      <w:r w:rsidRPr="00B54BD6">
        <w:rPr>
          <w:rFonts w:ascii="Times New Roman" w:hAnsi="Times New Roman" w:cs="Times New Roman"/>
          <w:sz w:val="28"/>
          <w:szCs w:val="28"/>
        </w:rPr>
        <w:t>Gartner</w:t>
      </w:r>
      <w:proofErr w:type="spellEnd"/>
      <w:r w:rsidRPr="00B54BD6">
        <w:rPr>
          <w:rFonts w:ascii="Times New Roman" w:hAnsi="Times New Roman" w:cs="Times New Roman"/>
          <w:sz w:val="28"/>
          <w:szCs w:val="28"/>
        </w:rPr>
        <w:t>, касающихся мировых расходов на информационные технологии в 2016-2017 годах, сегмент ИТ-услуг находится на втором месте по показателю роста, уступая только сегменту программного обеспече</w:t>
      </w:r>
      <w:r>
        <w:rPr>
          <w:rFonts w:ascii="Times New Roman" w:hAnsi="Times New Roman" w:cs="Times New Roman"/>
          <w:sz w:val="28"/>
          <w:szCs w:val="28"/>
        </w:rPr>
        <w:t>ния.</w:t>
      </w:r>
    </w:p>
    <w:p w:rsidR="00B54BD6" w:rsidRDefault="00B54BD6" w:rsidP="00B54BD6">
      <w:pPr>
        <w:rPr>
          <w:rFonts w:ascii="Times New Roman" w:hAnsi="Times New Roman" w:cs="Times New Roman"/>
          <w:sz w:val="28"/>
          <w:szCs w:val="28"/>
        </w:rPr>
      </w:pPr>
      <w:r w:rsidRPr="00B54BD6">
        <w:rPr>
          <w:rFonts w:ascii="Times New Roman" w:hAnsi="Times New Roman" w:cs="Times New Roman"/>
          <w:sz w:val="28"/>
          <w:szCs w:val="28"/>
        </w:rPr>
        <w:t>В 2016 году, по оценке аналитиков, мировой рынок ИТ-услуг вырастет на 3,9%, до 900 млрд долларов, а в 2017 году — на 4,8%, до 943 млрд долларов.</w:t>
      </w:r>
    </w:p>
    <w:p w:rsidR="00B54BD6" w:rsidRDefault="00B54BD6" w:rsidP="00B54BD6">
      <w:pPr>
        <w:rPr>
          <w:rFonts w:ascii="Times New Roman" w:hAnsi="Times New Roman" w:cs="Times New Roman"/>
          <w:sz w:val="28"/>
          <w:szCs w:val="28"/>
        </w:rPr>
      </w:pPr>
    </w:p>
    <w:p w:rsidR="00B54BD6" w:rsidRDefault="00B54BD6" w:rsidP="00B54BD6">
      <w:pPr>
        <w:pBdr>
          <w:bottom w:val="single" w:sz="12" w:space="1" w:color="auto"/>
        </w:pBdr>
        <w:jc w:val="center"/>
        <w:rPr>
          <w:rFonts w:ascii="Times New Roman" w:hAnsi="Times New Roman" w:cs="Times New Roman"/>
          <w:b/>
          <w:i/>
          <w:sz w:val="32"/>
          <w:szCs w:val="28"/>
        </w:rPr>
      </w:pPr>
      <w:r w:rsidRPr="00B54BD6">
        <w:rPr>
          <w:rFonts w:ascii="Times New Roman" w:hAnsi="Times New Roman" w:cs="Times New Roman"/>
          <w:b/>
          <w:i/>
          <w:sz w:val="32"/>
          <w:szCs w:val="28"/>
        </w:rPr>
        <w:t>2017</w:t>
      </w:r>
    </w:p>
    <w:p w:rsidR="00B54BD6" w:rsidRPr="000E1886" w:rsidRDefault="00B54BD6" w:rsidP="00B54BD6">
      <w:pPr>
        <w:rPr>
          <w:rFonts w:ascii="Times New Roman" w:hAnsi="Times New Roman" w:cs="Times New Roman"/>
          <w:b/>
          <w:sz w:val="28"/>
          <w:szCs w:val="28"/>
        </w:rPr>
      </w:pPr>
      <w:r w:rsidRPr="000E1886">
        <w:rPr>
          <w:rFonts w:ascii="Times New Roman" w:hAnsi="Times New Roman" w:cs="Times New Roman"/>
          <w:b/>
          <w:sz w:val="28"/>
          <w:szCs w:val="28"/>
        </w:rPr>
        <w:t>Двукратный рост объема M&amp;A-сделок</w:t>
      </w:r>
    </w:p>
    <w:p w:rsidR="00B54BD6" w:rsidRPr="000E1886" w:rsidRDefault="00B54BD6" w:rsidP="00B54BD6">
      <w:pPr>
        <w:rPr>
          <w:rFonts w:ascii="Times New Roman" w:hAnsi="Times New Roman" w:cs="Times New Roman"/>
          <w:sz w:val="28"/>
          <w:szCs w:val="28"/>
        </w:rPr>
      </w:pPr>
      <w:r w:rsidRPr="000E1886">
        <w:rPr>
          <w:rFonts w:ascii="Times New Roman" w:hAnsi="Times New Roman" w:cs="Times New Roman"/>
          <w:sz w:val="28"/>
          <w:szCs w:val="28"/>
        </w:rPr>
        <w:t>Рынок ИТ-услуг активизировался для сделок по слияниям и поглощениям (M&amp;A). Объем соответствующих инвестиций вырос вдвое. Об этом сообщили в кон</w:t>
      </w:r>
      <w:r w:rsidRPr="000E1886">
        <w:rPr>
          <w:rFonts w:ascii="Times New Roman" w:hAnsi="Times New Roman" w:cs="Times New Roman"/>
          <w:sz w:val="28"/>
          <w:szCs w:val="28"/>
        </w:rPr>
        <w:t xml:space="preserve">салтинговой компании </w:t>
      </w:r>
      <w:proofErr w:type="spellStart"/>
      <w:r w:rsidRPr="000E1886">
        <w:rPr>
          <w:rFonts w:ascii="Times New Roman" w:hAnsi="Times New Roman" w:cs="Times New Roman"/>
          <w:sz w:val="28"/>
          <w:szCs w:val="28"/>
        </w:rPr>
        <w:t>Hampleton</w:t>
      </w:r>
      <w:proofErr w:type="spellEnd"/>
      <w:r w:rsidRPr="000E1886">
        <w:rPr>
          <w:rFonts w:ascii="Times New Roman" w:hAnsi="Times New Roman" w:cs="Times New Roman"/>
          <w:sz w:val="28"/>
          <w:szCs w:val="28"/>
        </w:rPr>
        <w:t>.</w:t>
      </w:r>
    </w:p>
    <w:p w:rsidR="00B54BD6" w:rsidRPr="000E1886" w:rsidRDefault="00B54BD6" w:rsidP="00B54BD6">
      <w:pPr>
        <w:rPr>
          <w:rFonts w:ascii="Times New Roman" w:hAnsi="Times New Roman" w:cs="Times New Roman"/>
          <w:sz w:val="28"/>
          <w:szCs w:val="28"/>
        </w:rPr>
      </w:pPr>
      <w:r w:rsidRPr="000E1886">
        <w:rPr>
          <w:rFonts w:ascii="Times New Roman" w:hAnsi="Times New Roman" w:cs="Times New Roman"/>
          <w:sz w:val="28"/>
          <w:szCs w:val="28"/>
        </w:rPr>
        <w:t>Эксперты говорят, что в европейской отрасли услуг по информационным технологиям всегда наблюдалось обилие сделок, что подчеркивает спрос на новую ИТ-инфраструктуру со стороны традиционных технологических компаний, облачных игроков и даже международных инвестиционных фондов. Однако в первой половине 2017 года M&amp;A-активность в секторе оказалась на «сейсмическом взлете».</w:t>
      </w:r>
    </w:p>
    <w:p w:rsidR="00B54BD6" w:rsidRPr="000E1886" w:rsidRDefault="00B54BD6" w:rsidP="00B54BD6">
      <w:pPr>
        <w:rPr>
          <w:rFonts w:ascii="Times New Roman" w:hAnsi="Times New Roman" w:cs="Times New Roman"/>
          <w:b/>
          <w:sz w:val="28"/>
          <w:szCs w:val="28"/>
        </w:rPr>
      </w:pPr>
      <w:r w:rsidRPr="000E1886">
        <w:rPr>
          <w:rFonts w:ascii="Times New Roman" w:hAnsi="Times New Roman" w:cs="Times New Roman"/>
          <w:b/>
          <w:sz w:val="28"/>
          <w:szCs w:val="28"/>
        </w:rPr>
        <w:t>Объем сделок по слияниям и поглощениям на рынке ИТ-услуг удвоился</w:t>
      </w:r>
    </w:p>
    <w:p w:rsidR="00B54BD6" w:rsidRPr="000E1886" w:rsidRDefault="00B54BD6" w:rsidP="00B54BD6">
      <w:pPr>
        <w:rPr>
          <w:rFonts w:ascii="Times New Roman" w:hAnsi="Times New Roman" w:cs="Times New Roman"/>
          <w:sz w:val="28"/>
          <w:szCs w:val="28"/>
        </w:rPr>
      </w:pPr>
      <w:r w:rsidRPr="000E1886">
        <w:rPr>
          <w:rFonts w:ascii="Times New Roman" w:hAnsi="Times New Roman" w:cs="Times New Roman"/>
          <w:sz w:val="28"/>
          <w:szCs w:val="28"/>
        </w:rPr>
        <w:lastRenderedPageBreak/>
        <w:t>За указанный период на мировом рынке ИТ-услуг были заключены M&amp;A-контракты на общую сумму $21,9 млрд против $10,75 млрд во второй половине 2016 года. Показатель первого полугодия 2017-го оказался вторым по вели</w:t>
      </w:r>
      <w:r w:rsidRPr="000E1886">
        <w:rPr>
          <w:rFonts w:ascii="Times New Roman" w:hAnsi="Times New Roman" w:cs="Times New Roman"/>
          <w:sz w:val="28"/>
          <w:szCs w:val="28"/>
        </w:rPr>
        <w:t>чине в истории после 2011 года.</w:t>
      </w:r>
    </w:p>
    <w:p w:rsidR="00B54BD6" w:rsidRPr="000E1886" w:rsidRDefault="00B54BD6" w:rsidP="00B54BD6">
      <w:pPr>
        <w:rPr>
          <w:rFonts w:ascii="Times New Roman" w:hAnsi="Times New Roman" w:cs="Times New Roman"/>
          <w:sz w:val="28"/>
          <w:szCs w:val="28"/>
        </w:rPr>
      </w:pPr>
      <w:r w:rsidRPr="000E1886">
        <w:rPr>
          <w:rFonts w:ascii="Times New Roman" w:hAnsi="Times New Roman" w:cs="Times New Roman"/>
          <w:sz w:val="28"/>
          <w:szCs w:val="28"/>
        </w:rPr>
        <w:t>Хотя большая часть договоров пришлась на Северную Америку, доля Европы в этом отношении увеличилась примерно до одной трети от общего количества транзакций. Основными тенде</w:t>
      </w:r>
      <w:r w:rsidRPr="000E1886">
        <w:rPr>
          <w:rFonts w:ascii="Times New Roman" w:hAnsi="Times New Roman" w:cs="Times New Roman"/>
          <w:sz w:val="28"/>
          <w:szCs w:val="28"/>
        </w:rPr>
        <w:t>нциями на рынке были следующие:</w:t>
      </w:r>
    </w:p>
    <w:p w:rsidR="00B54BD6" w:rsidRPr="000E1886" w:rsidRDefault="00B54BD6" w:rsidP="00B54BD6">
      <w:pPr>
        <w:ind w:firstLine="708"/>
        <w:rPr>
          <w:rFonts w:ascii="Times New Roman" w:hAnsi="Times New Roman" w:cs="Times New Roman"/>
          <w:sz w:val="28"/>
          <w:szCs w:val="28"/>
        </w:rPr>
      </w:pPr>
      <w:r w:rsidRPr="000E1886">
        <w:rPr>
          <w:rFonts w:ascii="Times New Roman" w:hAnsi="Times New Roman" w:cs="Times New Roman"/>
          <w:sz w:val="28"/>
          <w:szCs w:val="28"/>
        </w:rPr>
        <w:t>сделки с участием частных инвесторов восстанавливаются после глобальной рецессии и неопределенности в связи с запланированным выходом Великобритании из Евросоюза;</w:t>
      </w:r>
    </w:p>
    <w:p w:rsidR="00B54BD6" w:rsidRPr="000E1886" w:rsidRDefault="00B54BD6" w:rsidP="00B54BD6">
      <w:pPr>
        <w:ind w:firstLine="708"/>
        <w:rPr>
          <w:rFonts w:ascii="Times New Roman" w:hAnsi="Times New Roman" w:cs="Times New Roman"/>
          <w:sz w:val="28"/>
          <w:szCs w:val="28"/>
        </w:rPr>
      </w:pPr>
      <w:r w:rsidRPr="000E1886">
        <w:rPr>
          <w:rFonts w:ascii="Times New Roman" w:hAnsi="Times New Roman" w:cs="Times New Roman"/>
          <w:sz w:val="28"/>
          <w:szCs w:val="28"/>
        </w:rPr>
        <w:t xml:space="preserve">крупные </w:t>
      </w:r>
      <w:proofErr w:type="spellStart"/>
      <w:r w:rsidRPr="000E1886">
        <w:rPr>
          <w:rFonts w:ascii="Times New Roman" w:hAnsi="Times New Roman" w:cs="Times New Roman"/>
          <w:sz w:val="28"/>
          <w:szCs w:val="28"/>
        </w:rPr>
        <w:t>кибератаки</w:t>
      </w:r>
      <w:proofErr w:type="spellEnd"/>
      <w:r w:rsidRPr="000E1886">
        <w:rPr>
          <w:rFonts w:ascii="Times New Roman" w:hAnsi="Times New Roman" w:cs="Times New Roman"/>
          <w:sz w:val="28"/>
          <w:szCs w:val="28"/>
        </w:rPr>
        <w:t xml:space="preserve"> подстегнули спрос на активы в области информационной безопасности;</w:t>
      </w:r>
    </w:p>
    <w:p w:rsidR="00B54BD6" w:rsidRPr="000E1886" w:rsidRDefault="00B54BD6" w:rsidP="00B54BD6">
      <w:pPr>
        <w:ind w:firstLine="708"/>
        <w:rPr>
          <w:rFonts w:ascii="Times New Roman" w:hAnsi="Times New Roman" w:cs="Times New Roman"/>
          <w:sz w:val="28"/>
          <w:szCs w:val="28"/>
        </w:rPr>
      </w:pPr>
      <w:r w:rsidRPr="000E1886">
        <w:rPr>
          <w:rFonts w:ascii="Times New Roman" w:hAnsi="Times New Roman" w:cs="Times New Roman"/>
          <w:sz w:val="28"/>
          <w:szCs w:val="28"/>
        </w:rPr>
        <w:t xml:space="preserve">новая волна сделок в </w:t>
      </w:r>
      <w:proofErr w:type="spellStart"/>
      <w:r w:rsidRPr="000E1886">
        <w:rPr>
          <w:rFonts w:ascii="Times New Roman" w:hAnsi="Times New Roman" w:cs="Times New Roman"/>
          <w:sz w:val="28"/>
          <w:szCs w:val="28"/>
        </w:rPr>
        <w:t>аутсорсинговой</w:t>
      </w:r>
      <w:proofErr w:type="spellEnd"/>
      <w:r w:rsidRPr="000E1886">
        <w:rPr>
          <w:rFonts w:ascii="Times New Roman" w:hAnsi="Times New Roman" w:cs="Times New Roman"/>
          <w:sz w:val="28"/>
          <w:szCs w:val="28"/>
        </w:rPr>
        <w:t xml:space="preserve"> сфере стала главным стимулятором всего рынка M&amp;A-сделок в сфере ИТ-услуг;</w:t>
      </w:r>
    </w:p>
    <w:p w:rsidR="00B54BD6" w:rsidRPr="000E1886" w:rsidRDefault="00B54BD6" w:rsidP="00B54BD6">
      <w:pPr>
        <w:ind w:firstLine="708"/>
        <w:rPr>
          <w:rFonts w:ascii="Times New Roman" w:hAnsi="Times New Roman" w:cs="Times New Roman"/>
          <w:sz w:val="28"/>
          <w:szCs w:val="28"/>
        </w:rPr>
      </w:pPr>
      <w:r w:rsidRPr="000E1886">
        <w:rPr>
          <w:rFonts w:ascii="Times New Roman" w:hAnsi="Times New Roman" w:cs="Times New Roman"/>
          <w:sz w:val="28"/>
          <w:szCs w:val="28"/>
        </w:rPr>
        <w:t>облачные проекты становятся приоритетными для инвесторов;</w:t>
      </w:r>
    </w:p>
    <w:p w:rsidR="00B54BD6" w:rsidRPr="000E1886" w:rsidRDefault="00B54BD6" w:rsidP="00B54BD6">
      <w:pPr>
        <w:ind w:firstLine="708"/>
        <w:rPr>
          <w:rFonts w:ascii="Times New Roman" w:hAnsi="Times New Roman" w:cs="Times New Roman"/>
          <w:sz w:val="28"/>
          <w:szCs w:val="28"/>
        </w:rPr>
      </w:pPr>
      <w:r w:rsidRPr="000E1886">
        <w:rPr>
          <w:rFonts w:ascii="Times New Roman" w:hAnsi="Times New Roman" w:cs="Times New Roman"/>
          <w:sz w:val="28"/>
          <w:szCs w:val="28"/>
        </w:rPr>
        <w:t>дестабилизация бизнеса крупных традиционных участников рынка ИТ-услуг порождает новые сделки;</w:t>
      </w:r>
    </w:p>
    <w:p w:rsidR="00B54BD6" w:rsidRPr="000E1886" w:rsidRDefault="00B54BD6" w:rsidP="00B54BD6">
      <w:pPr>
        <w:ind w:firstLine="708"/>
        <w:rPr>
          <w:rFonts w:ascii="Times New Roman" w:hAnsi="Times New Roman" w:cs="Times New Roman"/>
          <w:sz w:val="28"/>
          <w:szCs w:val="28"/>
        </w:rPr>
      </w:pPr>
    </w:p>
    <w:p w:rsidR="00B54BD6" w:rsidRPr="000E1886" w:rsidRDefault="00B54BD6" w:rsidP="00B54BD6">
      <w:pPr>
        <w:rPr>
          <w:rFonts w:ascii="Times New Roman" w:hAnsi="Times New Roman" w:cs="Times New Roman"/>
          <w:sz w:val="28"/>
          <w:szCs w:val="28"/>
        </w:rPr>
      </w:pPr>
      <w:r w:rsidRPr="000E1886">
        <w:rPr>
          <w:rFonts w:ascii="Times New Roman" w:hAnsi="Times New Roman" w:cs="Times New Roman"/>
          <w:sz w:val="28"/>
          <w:szCs w:val="28"/>
        </w:rPr>
        <w:t>По словам аналитиков, если прежде сделки по слияниям и поглощениям в индустрии ИТ-услуг заключались в основном между компаниями из одного региона, то в первой половине 2017 года больше половины из 50 крупнейших сделок относились к международным. В июле-декабре 2</w:t>
      </w:r>
      <w:r w:rsidRPr="000E1886">
        <w:rPr>
          <w:rFonts w:ascii="Times New Roman" w:hAnsi="Times New Roman" w:cs="Times New Roman"/>
          <w:sz w:val="28"/>
          <w:szCs w:val="28"/>
        </w:rPr>
        <w:t>016-го доля не превышала 40%.</w:t>
      </w:r>
    </w:p>
    <w:p w:rsidR="00B54BD6" w:rsidRPr="000E1886" w:rsidRDefault="00B54BD6" w:rsidP="00B54BD6">
      <w:pPr>
        <w:rPr>
          <w:rFonts w:ascii="Times New Roman" w:hAnsi="Times New Roman" w:cs="Times New Roman"/>
          <w:sz w:val="28"/>
          <w:szCs w:val="28"/>
        </w:rPr>
      </w:pPr>
    </w:p>
    <w:p w:rsidR="00B54BD6" w:rsidRPr="000E1886" w:rsidRDefault="00B54BD6" w:rsidP="00B54BD6">
      <w:pPr>
        <w:rPr>
          <w:rFonts w:ascii="Times New Roman" w:hAnsi="Times New Roman" w:cs="Times New Roman"/>
          <w:sz w:val="28"/>
          <w:szCs w:val="28"/>
        </w:rPr>
      </w:pPr>
    </w:p>
    <w:p w:rsidR="00B54BD6" w:rsidRPr="000E1886" w:rsidRDefault="00B54BD6" w:rsidP="00B54BD6">
      <w:pPr>
        <w:rPr>
          <w:rFonts w:ascii="Times New Roman" w:hAnsi="Times New Roman" w:cs="Times New Roman"/>
          <w:sz w:val="28"/>
          <w:szCs w:val="28"/>
        </w:rPr>
      </w:pPr>
    </w:p>
    <w:p w:rsidR="00B54BD6" w:rsidRPr="000E1886" w:rsidRDefault="00B54BD6" w:rsidP="00B54BD6">
      <w:pPr>
        <w:rPr>
          <w:rFonts w:ascii="Times New Roman" w:hAnsi="Times New Roman" w:cs="Times New Roman"/>
          <w:b/>
          <w:sz w:val="28"/>
          <w:szCs w:val="28"/>
        </w:rPr>
      </w:pPr>
      <w:r w:rsidRPr="000E1886">
        <w:rPr>
          <w:rFonts w:ascii="Times New Roman" w:hAnsi="Times New Roman" w:cs="Times New Roman"/>
          <w:b/>
          <w:sz w:val="28"/>
          <w:szCs w:val="28"/>
        </w:rPr>
        <w:t>Рынок ИТ-сервисов и бизнес-услуг приблизился к $1 трлн</w:t>
      </w:r>
    </w:p>
    <w:p w:rsidR="00B54BD6" w:rsidRPr="000E1886" w:rsidRDefault="00B54BD6" w:rsidP="00B54BD6">
      <w:pPr>
        <w:rPr>
          <w:rFonts w:ascii="Times New Roman" w:hAnsi="Times New Roman" w:cs="Times New Roman"/>
          <w:sz w:val="28"/>
          <w:szCs w:val="28"/>
        </w:rPr>
      </w:pPr>
      <w:r w:rsidRPr="000E1886">
        <w:rPr>
          <w:rFonts w:ascii="Times New Roman" w:hAnsi="Times New Roman" w:cs="Times New Roman"/>
          <w:sz w:val="28"/>
          <w:szCs w:val="28"/>
        </w:rPr>
        <w:t>В 2017 году выручка на мировом рынке ИТ-сервисов и услуг для бизнеса (бизнес-консалтинг и аутсорсинг основных бизнес-процессов) вплотную приблизилась к отметке в $1 трлн. Такие данные приводятся в исследовании аналитической компании IDC, о</w:t>
      </w:r>
      <w:r w:rsidRPr="000E1886">
        <w:rPr>
          <w:rFonts w:ascii="Times New Roman" w:hAnsi="Times New Roman" w:cs="Times New Roman"/>
          <w:sz w:val="28"/>
          <w:szCs w:val="28"/>
        </w:rPr>
        <w:t>публикованном 15 мая 2018 года.</w:t>
      </w:r>
    </w:p>
    <w:p w:rsidR="00B54BD6" w:rsidRPr="000E1886" w:rsidRDefault="00B54BD6" w:rsidP="00B54BD6">
      <w:pPr>
        <w:rPr>
          <w:rFonts w:ascii="Times New Roman" w:hAnsi="Times New Roman" w:cs="Times New Roman"/>
          <w:sz w:val="28"/>
          <w:szCs w:val="28"/>
        </w:rPr>
      </w:pPr>
      <w:r w:rsidRPr="000E1886">
        <w:rPr>
          <w:rFonts w:ascii="Times New Roman" w:hAnsi="Times New Roman" w:cs="Times New Roman"/>
          <w:sz w:val="28"/>
          <w:szCs w:val="28"/>
        </w:rPr>
        <w:t xml:space="preserve">Относительно 2016 года объем рынка в деньгах увеличился примерно на 4%. Прибавка оказалась немногим выше темпов роста мирового ВВП, что свидетельствует об укреплении деловой уверенности. Позитивный настрой в бизнесе-среде подкреплен улучшением перспектив глобальной экономики, </w:t>
      </w:r>
      <w:r w:rsidRPr="000E1886">
        <w:rPr>
          <w:rFonts w:ascii="Times New Roman" w:hAnsi="Times New Roman" w:cs="Times New Roman"/>
          <w:sz w:val="28"/>
          <w:szCs w:val="28"/>
        </w:rPr>
        <w:lastRenderedPageBreak/>
        <w:t>общим пониманием необходимости широкомасштабной цифровой трансформации, а также тем, что по крайне мере в отдельных сегментах новые цифровые услуги начинают компенсировать переполнение рынка традиционных сервисов, говорят в IDC.</w:t>
      </w:r>
    </w:p>
    <w:p w:rsidR="00B54BD6" w:rsidRPr="000E1886" w:rsidRDefault="00B54BD6" w:rsidP="00B54BD6">
      <w:pPr>
        <w:rPr>
          <w:rFonts w:ascii="Times New Roman" w:hAnsi="Times New Roman" w:cs="Times New Roman"/>
          <w:sz w:val="28"/>
          <w:szCs w:val="28"/>
        </w:rPr>
      </w:pPr>
    </w:p>
    <w:p w:rsidR="00B54BD6" w:rsidRPr="000E1886" w:rsidRDefault="00B54BD6" w:rsidP="00B54BD6">
      <w:pPr>
        <w:rPr>
          <w:rFonts w:ascii="Times New Roman" w:hAnsi="Times New Roman" w:cs="Times New Roman"/>
          <w:sz w:val="28"/>
          <w:szCs w:val="28"/>
        </w:rPr>
      </w:pPr>
      <w:r w:rsidRPr="000E1886">
        <w:rPr>
          <w:rFonts w:ascii="Times New Roman" w:hAnsi="Times New Roman" w:cs="Times New Roman"/>
          <w:sz w:val="28"/>
          <w:szCs w:val="28"/>
        </w:rPr>
        <w:t xml:space="preserve">Анализ динамики различных </w:t>
      </w:r>
      <w:proofErr w:type="spellStart"/>
      <w:r w:rsidRPr="000E1886">
        <w:rPr>
          <w:rFonts w:ascii="Times New Roman" w:hAnsi="Times New Roman" w:cs="Times New Roman"/>
          <w:sz w:val="28"/>
          <w:szCs w:val="28"/>
        </w:rPr>
        <w:t>субсекторов</w:t>
      </w:r>
      <w:proofErr w:type="spellEnd"/>
      <w:r w:rsidRPr="000E1886">
        <w:rPr>
          <w:rFonts w:ascii="Times New Roman" w:hAnsi="Times New Roman" w:cs="Times New Roman"/>
          <w:sz w:val="28"/>
          <w:szCs w:val="28"/>
        </w:rPr>
        <w:t xml:space="preserve"> рынка показал, что проектно-ориентированные услуги продолжают опережать по темпам роста сервисы, связанные с аутсорсингом, поддержкой и профессиональной подготовкой. По итогам 2017 года суммарная выручка от связанных с проектами услуг поднялась на 5% и достигла $366 млрд. Значительную часть от этой прибавки обеспечил сегмент бизнес-консалтинга, где специалисты зарегистрировали увеличение на 8,2%</w:t>
      </w:r>
      <w:r w:rsidRPr="000E1886">
        <w:rPr>
          <w:rFonts w:ascii="Times New Roman" w:hAnsi="Times New Roman" w:cs="Times New Roman"/>
          <w:sz w:val="28"/>
          <w:szCs w:val="28"/>
        </w:rPr>
        <w:t xml:space="preserve"> и выручку в размере $115 млрд.</w:t>
      </w:r>
    </w:p>
    <w:p w:rsidR="00B54BD6" w:rsidRPr="000E1886" w:rsidRDefault="00B54BD6" w:rsidP="00B54BD6">
      <w:pPr>
        <w:rPr>
          <w:rFonts w:ascii="Times New Roman" w:hAnsi="Times New Roman" w:cs="Times New Roman"/>
          <w:sz w:val="28"/>
          <w:szCs w:val="28"/>
        </w:rPr>
      </w:pPr>
      <w:r w:rsidRPr="000E1886">
        <w:rPr>
          <w:rFonts w:ascii="Times New Roman" w:hAnsi="Times New Roman" w:cs="Times New Roman"/>
          <w:sz w:val="28"/>
          <w:szCs w:val="28"/>
        </w:rPr>
        <w:t>Более двух третей рынка проектно-ориентированных услуг занимают сервисы в сфере ИТ-проектов, в том числе разработка программного обеспечения на заказ (</w:t>
      </w:r>
      <w:proofErr w:type="spellStart"/>
      <w:r w:rsidRPr="000E1886">
        <w:rPr>
          <w:rFonts w:ascii="Times New Roman" w:hAnsi="Times New Roman" w:cs="Times New Roman"/>
          <w:sz w:val="28"/>
          <w:szCs w:val="28"/>
        </w:rPr>
        <w:t>Custom</w:t>
      </w:r>
      <w:proofErr w:type="spellEnd"/>
      <w:r w:rsidRPr="000E1886">
        <w:rPr>
          <w:rFonts w:ascii="Times New Roman" w:hAnsi="Times New Roman" w:cs="Times New Roman"/>
          <w:sz w:val="28"/>
          <w:szCs w:val="28"/>
        </w:rPr>
        <w:t xml:space="preserve"> </w:t>
      </w:r>
      <w:proofErr w:type="spellStart"/>
      <w:r w:rsidRPr="000E1886">
        <w:rPr>
          <w:rFonts w:ascii="Times New Roman" w:hAnsi="Times New Roman" w:cs="Times New Roman"/>
          <w:sz w:val="28"/>
          <w:szCs w:val="28"/>
        </w:rPr>
        <w:t>Application</w:t>
      </w:r>
      <w:proofErr w:type="spellEnd"/>
      <w:r w:rsidRPr="000E1886">
        <w:rPr>
          <w:rFonts w:ascii="Times New Roman" w:hAnsi="Times New Roman" w:cs="Times New Roman"/>
          <w:sz w:val="28"/>
          <w:szCs w:val="28"/>
        </w:rPr>
        <w:t xml:space="preserve"> </w:t>
      </w:r>
      <w:proofErr w:type="spellStart"/>
      <w:r w:rsidRPr="000E1886">
        <w:rPr>
          <w:rFonts w:ascii="Times New Roman" w:hAnsi="Times New Roman" w:cs="Times New Roman"/>
          <w:sz w:val="28"/>
          <w:szCs w:val="28"/>
        </w:rPr>
        <w:t>Development</w:t>
      </w:r>
      <w:proofErr w:type="spellEnd"/>
      <w:r w:rsidRPr="000E1886">
        <w:rPr>
          <w:rFonts w:ascii="Times New Roman" w:hAnsi="Times New Roman" w:cs="Times New Roman"/>
          <w:sz w:val="28"/>
          <w:szCs w:val="28"/>
        </w:rPr>
        <w:t>, CAD), ИТ-консалтинг и системная интеграция. Хотя перечисленные секторы росли медленнее, чем сегмент бизнес-консалтинга, динамика в них существенно улучшилась по сравнению с 2016 годом. В итоге суммарная выручка по этим трем направлений увеличилас</w:t>
      </w:r>
      <w:r w:rsidRPr="000E1886">
        <w:rPr>
          <w:rFonts w:ascii="Times New Roman" w:hAnsi="Times New Roman" w:cs="Times New Roman"/>
          <w:sz w:val="28"/>
          <w:szCs w:val="28"/>
        </w:rPr>
        <w:t>ь на 3,7% и достигла $251 млрд.</w:t>
      </w:r>
    </w:p>
    <w:p w:rsidR="00B54BD6" w:rsidRPr="000E1886" w:rsidRDefault="00B54BD6" w:rsidP="00B54BD6">
      <w:pPr>
        <w:rPr>
          <w:rFonts w:ascii="Times New Roman" w:hAnsi="Times New Roman" w:cs="Times New Roman"/>
          <w:sz w:val="28"/>
          <w:szCs w:val="28"/>
        </w:rPr>
      </w:pPr>
      <w:r w:rsidRPr="000E1886">
        <w:rPr>
          <w:rFonts w:ascii="Times New Roman" w:hAnsi="Times New Roman" w:cs="Times New Roman"/>
          <w:sz w:val="28"/>
          <w:szCs w:val="28"/>
        </w:rPr>
        <w:t>С географической точки зрения крупнейшим рынком ИТ-сервисов и услуг для бизнеса остаются США, на втором месте страны Западной Европы. Вместе с тем, развивающиеся рынки Латинской Америки, Центральной и Восточной Европы, Ближнего Востока и Африки, а также Азиатско-Тихоокеанского региона, демонст</w:t>
      </w:r>
      <w:r w:rsidRPr="000E1886">
        <w:rPr>
          <w:rFonts w:ascii="Times New Roman" w:hAnsi="Times New Roman" w:cs="Times New Roman"/>
          <w:sz w:val="28"/>
          <w:szCs w:val="28"/>
        </w:rPr>
        <w:t>рируют более выраженный рост.</w:t>
      </w:r>
    </w:p>
    <w:p w:rsidR="00B54BD6" w:rsidRDefault="00B54BD6" w:rsidP="00B54BD6">
      <w:pPr>
        <w:rPr>
          <w:rFonts w:ascii="Times New Roman" w:hAnsi="Times New Roman" w:cs="Times New Roman"/>
          <w:sz w:val="32"/>
          <w:szCs w:val="28"/>
        </w:rPr>
      </w:pPr>
    </w:p>
    <w:p w:rsidR="000E1886" w:rsidRDefault="000E1886" w:rsidP="000E1886">
      <w:pPr>
        <w:pBdr>
          <w:bottom w:val="single" w:sz="12" w:space="1" w:color="auto"/>
        </w:pBdr>
        <w:jc w:val="center"/>
        <w:rPr>
          <w:rFonts w:ascii="Times New Roman" w:hAnsi="Times New Roman" w:cs="Times New Roman"/>
          <w:b/>
          <w:i/>
          <w:sz w:val="32"/>
          <w:szCs w:val="28"/>
        </w:rPr>
      </w:pPr>
      <w:r w:rsidRPr="000E1886">
        <w:rPr>
          <w:rFonts w:ascii="Times New Roman" w:hAnsi="Times New Roman" w:cs="Times New Roman"/>
          <w:b/>
          <w:i/>
          <w:sz w:val="32"/>
          <w:szCs w:val="28"/>
        </w:rPr>
        <w:t>2018</w:t>
      </w:r>
    </w:p>
    <w:p w:rsidR="000E1886" w:rsidRPr="000E1886" w:rsidRDefault="000E1886" w:rsidP="000E1886">
      <w:pPr>
        <w:jc w:val="center"/>
        <w:rPr>
          <w:rFonts w:ascii="Times New Roman" w:hAnsi="Times New Roman" w:cs="Times New Roman"/>
          <w:b/>
          <w:i/>
          <w:sz w:val="32"/>
          <w:szCs w:val="28"/>
        </w:rPr>
      </w:pPr>
    </w:p>
    <w:p w:rsidR="000E1886" w:rsidRDefault="000E1886" w:rsidP="00B54BD6">
      <w:pPr>
        <w:rPr>
          <w:rFonts w:ascii="Times New Roman" w:hAnsi="Times New Roman" w:cs="Times New Roman"/>
          <w:b/>
          <w:sz w:val="28"/>
          <w:szCs w:val="28"/>
        </w:rPr>
      </w:pPr>
      <w:r w:rsidRPr="000E1886">
        <w:rPr>
          <w:rFonts w:ascii="Times New Roman" w:hAnsi="Times New Roman" w:cs="Times New Roman"/>
          <w:b/>
          <w:sz w:val="28"/>
          <w:szCs w:val="28"/>
        </w:rPr>
        <w:t>Расходы на ИТ-сервисы и бизнес-услуги превысили $1 трлн — IDC</w:t>
      </w:r>
    </w:p>
    <w:p w:rsidR="000E1886" w:rsidRPr="000E1886" w:rsidRDefault="000E1886" w:rsidP="000E1886">
      <w:pPr>
        <w:rPr>
          <w:rFonts w:ascii="Times New Roman" w:hAnsi="Times New Roman" w:cs="Times New Roman"/>
          <w:sz w:val="28"/>
          <w:szCs w:val="28"/>
        </w:rPr>
      </w:pPr>
      <w:r w:rsidRPr="000E1886">
        <w:rPr>
          <w:rFonts w:ascii="Times New Roman" w:hAnsi="Times New Roman" w:cs="Times New Roman"/>
          <w:sz w:val="28"/>
          <w:szCs w:val="28"/>
        </w:rPr>
        <w:t>В 2018 году мировые расходы на ИТ-сервисы и бизнес-услуги (бизнес-консалтинг и аутсорсинг основных бизнес-процессов) впервые превысили $1 трлн. По сравнению с 2017 годом они выросли на 4,3%, что более чем на полпроцента больше динамики роста мирового ВВП, свидете</w:t>
      </w:r>
      <w:r>
        <w:rPr>
          <w:rFonts w:ascii="Times New Roman" w:hAnsi="Times New Roman" w:cs="Times New Roman"/>
          <w:sz w:val="28"/>
          <w:szCs w:val="28"/>
        </w:rPr>
        <w:t>льствуют данные аналитиков IDC.</w:t>
      </w:r>
    </w:p>
    <w:p w:rsidR="000E1886" w:rsidRPr="000E1886" w:rsidRDefault="000E1886" w:rsidP="000E1886">
      <w:pPr>
        <w:rPr>
          <w:rFonts w:ascii="Times New Roman" w:hAnsi="Times New Roman" w:cs="Times New Roman"/>
          <w:sz w:val="28"/>
          <w:szCs w:val="28"/>
        </w:rPr>
      </w:pPr>
      <w:r w:rsidRPr="000E1886">
        <w:rPr>
          <w:rFonts w:ascii="Times New Roman" w:hAnsi="Times New Roman" w:cs="Times New Roman"/>
          <w:sz w:val="28"/>
          <w:szCs w:val="28"/>
        </w:rPr>
        <w:t xml:space="preserve">По их расчетам, объем сегмента проектно-ориентированных услуг (консалтинг, системная интеграция, разработка приложений и т. </w:t>
      </w:r>
      <w:proofErr w:type="gramStart"/>
      <w:r w:rsidRPr="000E1886">
        <w:rPr>
          <w:rFonts w:ascii="Times New Roman" w:hAnsi="Times New Roman" w:cs="Times New Roman"/>
          <w:sz w:val="28"/>
          <w:szCs w:val="28"/>
        </w:rPr>
        <w:t>п. )</w:t>
      </w:r>
      <w:proofErr w:type="gramEnd"/>
      <w:r w:rsidRPr="000E1886">
        <w:rPr>
          <w:rFonts w:ascii="Times New Roman" w:hAnsi="Times New Roman" w:cs="Times New Roman"/>
          <w:sz w:val="28"/>
          <w:szCs w:val="28"/>
        </w:rPr>
        <w:t xml:space="preserve"> по </w:t>
      </w:r>
      <w:r w:rsidRPr="000E1886">
        <w:rPr>
          <w:rFonts w:ascii="Times New Roman" w:hAnsi="Times New Roman" w:cs="Times New Roman"/>
          <w:sz w:val="28"/>
          <w:szCs w:val="28"/>
        </w:rPr>
        <w:lastRenderedPageBreak/>
        <w:t xml:space="preserve">итогам 2018 года достиг $380 млрд, поднявшись на 5,8% </w:t>
      </w:r>
      <w:r>
        <w:rPr>
          <w:rFonts w:ascii="Times New Roman" w:hAnsi="Times New Roman" w:cs="Times New Roman"/>
          <w:sz w:val="28"/>
          <w:szCs w:val="28"/>
        </w:rPr>
        <w:t xml:space="preserve">относительно предыдущего года. </w:t>
      </w:r>
    </w:p>
    <w:p w:rsidR="000E1886" w:rsidRPr="000E1886" w:rsidRDefault="000E1886" w:rsidP="000E1886">
      <w:pPr>
        <w:rPr>
          <w:rFonts w:ascii="Times New Roman" w:hAnsi="Times New Roman" w:cs="Times New Roman"/>
          <w:sz w:val="28"/>
          <w:szCs w:val="28"/>
        </w:rPr>
      </w:pPr>
      <w:r w:rsidRPr="000E1886">
        <w:rPr>
          <w:rFonts w:ascii="Times New Roman" w:hAnsi="Times New Roman" w:cs="Times New Roman"/>
          <w:sz w:val="28"/>
          <w:szCs w:val="28"/>
        </w:rPr>
        <w:t>Такой подъем произошел благодаря бизнес-консалтингу и услугам разработки пользовательских приложений, годовые затраты на которые возросли на 8,3% (до $123 млрд) и 7,5% (до $46 млрд) соотв</w:t>
      </w:r>
      <w:r>
        <w:rPr>
          <w:rFonts w:ascii="Times New Roman" w:hAnsi="Times New Roman" w:cs="Times New Roman"/>
          <w:sz w:val="28"/>
          <w:szCs w:val="28"/>
        </w:rPr>
        <w:t>етственно.</w:t>
      </w:r>
    </w:p>
    <w:p w:rsidR="000E1886" w:rsidRPr="000E1886" w:rsidRDefault="000E1886" w:rsidP="000E1886">
      <w:pPr>
        <w:rPr>
          <w:rFonts w:ascii="Times New Roman" w:hAnsi="Times New Roman" w:cs="Times New Roman"/>
          <w:sz w:val="28"/>
          <w:szCs w:val="28"/>
        </w:rPr>
      </w:pPr>
      <w:r w:rsidRPr="000E1886">
        <w:rPr>
          <w:rFonts w:ascii="Times New Roman" w:hAnsi="Times New Roman" w:cs="Times New Roman"/>
          <w:sz w:val="28"/>
          <w:szCs w:val="28"/>
        </w:rPr>
        <w:t>Главным драйвером роста рынка проектно-ориентированных услуг являются США. Поскольку традиционные американские компании и правительственные учреждения продолжают проводить цифровую трансформацию, стратегический консалтинг остается критически важным в более крупных проектах. Цифровая трансформация также стимулирует разработку новых приложений и обновление старых. Ускоренный рост расходов на услуги разработки ПО соответствует восстановлению всего софтверного р</w:t>
      </w:r>
      <w:r>
        <w:rPr>
          <w:rFonts w:ascii="Times New Roman" w:hAnsi="Times New Roman" w:cs="Times New Roman"/>
          <w:sz w:val="28"/>
          <w:szCs w:val="28"/>
        </w:rPr>
        <w:t>ынка, говорится в исследовании.</w:t>
      </w:r>
    </w:p>
    <w:p w:rsidR="000E1886" w:rsidRPr="000E1886" w:rsidRDefault="000E1886" w:rsidP="000E1886">
      <w:pPr>
        <w:rPr>
          <w:rFonts w:ascii="Times New Roman" w:hAnsi="Times New Roman" w:cs="Times New Roman"/>
          <w:sz w:val="28"/>
          <w:szCs w:val="28"/>
        </w:rPr>
      </w:pPr>
      <w:r w:rsidRPr="000E1886">
        <w:rPr>
          <w:rFonts w:ascii="Times New Roman" w:hAnsi="Times New Roman" w:cs="Times New Roman"/>
          <w:sz w:val="28"/>
          <w:szCs w:val="28"/>
        </w:rPr>
        <w:t>Мировые расходы на управляемые сервисы (</w:t>
      </w:r>
      <w:proofErr w:type="spellStart"/>
      <w:r w:rsidRPr="000E1886">
        <w:rPr>
          <w:rFonts w:ascii="Times New Roman" w:hAnsi="Times New Roman" w:cs="Times New Roman"/>
          <w:sz w:val="28"/>
          <w:szCs w:val="28"/>
        </w:rPr>
        <w:t>managed</w:t>
      </w:r>
      <w:proofErr w:type="spellEnd"/>
      <w:r w:rsidRPr="000E1886">
        <w:rPr>
          <w:rFonts w:ascii="Times New Roman" w:hAnsi="Times New Roman" w:cs="Times New Roman"/>
          <w:sz w:val="28"/>
          <w:szCs w:val="28"/>
        </w:rPr>
        <w:t xml:space="preserve"> </w:t>
      </w:r>
      <w:proofErr w:type="spellStart"/>
      <w:r w:rsidRPr="000E1886">
        <w:rPr>
          <w:rFonts w:ascii="Times New Roman" w:hAnsi="Times New Roman" w:cs="Times New Roman"/>
          <w:sz w:val="28"/>
          <w:szCs w:val="28"/>
        </w:rPr>
        <w:t>services</w:t>
      </w:r>
      <w:proofErr w:type="spellEnd"/>
      <w:r w:rsidRPr="000E1886">
        <w:rPr>
          <w:rFonts w:ascii="Times New Roman" w:hAnsi="Times New Roman" w:cs="Times New Roman"/>
          <w:sz w:val="28"/>
          <w:szCs w:val="28"/>
        </w:rPr>
        <w:t>) в 2018 году оказались равными $473 млрд, что на 3,6% больше, чем годом ранее. Это примерно соответствуе</w:t>
      </w:r>
      <w:r>
        <w:rPr>
          <w:rFonts w:ascii="Times New Roman" w:hAnsi="Times New Roman" w:cs="Times New Roman"/>
          <w:sz w:val="28"/>
          <w:szCs w:val="28"/>
        </w:rPr>
        <w:t>т темпам роста глобального ВВП.</w:t>
      </w:r>
    </w:p>
    <w:p w:rsidR="000E1886" w:rsidRPr="000E1886" w:rsidRDefault="000E1886" w:rsidP="000E1886">
      <w:pPr>
        <w:rPr>
          <w:rFonts w:ascii="Times New Roman" w:hAnsi="Times New Roman" w:cs="Times New Roman"/>
          <w:sz w:val="28"/>
          <w:szCs w:val="28"/>
        </w:rPr>
      </w:pPr>
      <w:r w:rsidRPr="000E1886">
        <w:rPr>
          <w:rFonts w:ascii="Times New Roman" w:hAnsi="Times New Roman" w:cs="Times New Roman"/>
          <w:sz w:val="28"/>
          <w:szCs w:val="28"/>
        </w:rPr>
        <w:t>Продажи услуг, связанных с приложениями (управление облачными и локальными программами), в 2018 году повысились на 5,6% и составили $80 млрд. Динамика оказалась выше, чем в сегменте аутсорсинга бизнес-процессо</w:t>
      </w:r>
      <w:r>
        <w:rPr>
          <w:rFonts w:ascii="Times New Roman" w:hAnsi="Times New Roman" w:cs="Times New Roman"/>
          <w:sz w:val="28"/>
          <w:szCs w:val="28"/>
        </w:rPr>
        <w:t>в и управления инфраструктурой.</w:t>
      </w:r>
    </w:p>
    <w:p w:rsidR="000E1886" w:rsidRPr="000E1886" w:rsidRDefault="000E1886" w:rsidP="000E1886">
      <w:pPr>
        <w:rPr>
          <w:rFonts w:ascii="Times New Roman" w:hAnsi="Times New Roman" w:cs="Times New Roman"/>
          <w:sz w:val="28"/>
          <w:szCs w:val="28"/>
        </w:rPr>
      </w:pPr>
      <w:r w:rsidRPr="000E1886">
        <w:rPr>
          <w:rFonts w:ascii="Times New Roman" w:hAnsi="Times New Roman" w:cs="Times New Roman"/>
          <w:sz w:val="28"/>
          <w:szCs w:val="28"/>
        </w:rPr>
        <w:t xml:space="preserve">Аутсорсинг разработки и сопровождения приложений стал для клиентов средством доступа к новым технологиям, таким как облачные вычисления, машинное обучение, аналитика, а также средством </w:t>
      </w:r>
      <w:proofErr w:type="gramStart"/>
      <w:r w:rsidRPr="000E1886">
        <w:rPr>
          <w:rFonts w:ascii="Times New Roman" w:hAnsi="Times New Roman" w:cs="Times New Roman"/>
          <w:sz w:val="28"/>
          <w:szCs w:val="28"/>
        </w:rPr>
        <w:t>обновления</w:t>
      </w:r>
      <w:proofErr w:type="gramEnd"/>
      <w:r w:rsidRPr="000E1886">
        <w:rPr>
          <w:rFonts w:ascii="Times New Roman" w:hAnsi="Times New Roman" w:cs="Times New Roman"/>
          <w:sz w:val="28"/>
          <w:szCs w:val="28"/>
        </w:rPr>
        <w:t xml:space="preserve"> устаревшего ПО силами сторонних поставщиков. В IDC считают, что связанные с приложениями управляемые сервисы будут и дальше превосходить другие сегменты аутсорсинга.</w:t>
      </w:r>
    </w:p>
    <w:p w:rsidR="000E1886" w:rsidRPr="000E1886" w:rsidRDefault="000E1886" w:rsidP="000E1886">
      <w:pPr>
        <w:rPr>
          <w:rFonts w:ascii="Times New Roman" w:hAnsi="Times New Roman" w:cs="Times New Roman"/>
          <w:sz w:val="28"/>
          <w:szCs w:val="28"/>
        </w:rPr>
      </w:pPr>
    </w:p>
    <w:p w:rsidR="000E1886" w:rsidRPr="000E1886" w:rsidRDefault="000E1886" w:rsidP="000E1886">
      <w:pPr>
        <w:rPr>
          <w:rFonts w:ascii="Times New Roman" w:hAnsi="Times New Roman" w:cs="Times New Roman"/>
          <w:sz w:val="28"/>
          <w:szCs w:val="28"/>
        </w:rPr>
      </w:pPr>
    </w:p>
    <w:p w:rsidR="000E1886" w:rsidRPr="000E1886" w:rsidRDefault="000E1886" w:rsidP="000E1886">
      <w:pPr>
        <w:rPr>
          <w:rFonts w:ascii="Times New Roman" w:hAnsi="Times New Roman" w:cs="Times New Roman"/>
          <w:sz w:val="28"/>
          <w:szCs w:val="28"/>
        </w:rPr>
      </w:pPr>
      <w:r w:rsidRPr="000E1886">
        <w:rPr>
          <w:rFonts w:ascii="Times New Roman" w:hAnsi="Times New Roman" w:cs="Times New Roman"/>
          <w:sz w:val="28"/>
          <w:szCs w:val="28"/>
        </w:rPr>
        <w:t>Спрос на ИТ-аутсорсинг продолжает идти на спад из-за снижения или нулевого роста расходов на развитых рынках. Этот регресс в 2018 году был в какой-то степени компенсирован умеренным ростом рынка аутсорсинга г</w:t>
      </w:r>
      <w:r>
        <w:rPr>
          <w:rFonts w:ascii="Times New Roman" w:hAnsi="Times New Roman" w:cs="Times New Roman"/>
          <w:sz w:val="28"/>
          <w:szCs w:val="28"/>
        </w:rPr>
        <w:t>оризонтальных бизнес-процессов.</w:t>
      </w:r>
    </w:p>
    <w:p w:rsidR="000E1886" w:rsidRPr="000E1886" w:rsidRDefault="000E1886" w:rsidP="000E1886">
      <w:pPr>
        <w:rPr>
          <w:rFonts w:ascii="Times New Roman" w:hAnsi="Times New Roman" w:cs="Times New Roman"/>
          <w:sz w:val="28"/>
          <w:szCs w:val="28"/>
        </w:rPr>
      </w:pPr>
      <w:r w:rsidRPr="000E1886">
        <w:rPr>
          <w:rFonts w:ascii="Times New Roman" w:hAnsi="Times New Roman" w:cs="Times New Roman"/>
          <w:sz w:val="28"/>
          <w:szCs w:val="28"/>
        </w:rPr>
        <w:t xml:space="preserve">Крупнейшим рынком ИТ-сервисов и услуг для бизнеса были Соединенные Штаты, где выручка в 2018 году достигла $459 млрд, увеличившись на 4,6% по сравнению с 2017-м. В стране наблюдается устойчивый рост как корпоративных, так и государственных расходов на информационные технологии, несмотря на политическую неопределенность и небольшой рост </w:t>
      </w:r>
      <w:proofErr w:type="spellStart"/>
      <w:r w:rsidRPr="000E1886">
        <w:rPr>
          <w:rFonts w:ascii="Times New Roman" w:hAnsi="Times New Roman" w:cs="Times New Roman"/>
          <w:sz w:val="28"/>
          <w:szCs w:val="28"/>
        </w:rPr>
        <w:lastRenderedPageBreak/>
        <w:t>госзатрат</w:t>
      </w:r>
      <w:proofErr w:type="spellEnd"/>
      <w:r w:rsidRPr="000E1886">
        <w:rPr>
          <w:rFonts w:ascii="Times New Roman" w:hAnsi="Times New Roman" w:cs="Times New Roman"/>
          <w:sz w:val="28"/>
          <w:szCs w:val="28"/>
        </w:rPr>
        <w:t xml:space="preserve"> в целом. Финансирование новых ИТ-проектов, направленных на развитие новых возможностей и инструментов, компенсирует продолжающееся отрицательное давление </w:t>
      </w:r>
      <w:r>
        <w:rPr>
          <w:rFonts w:ascii="Times New Roman" w:hAnsi="Times New Roman" w:cs="Times New Roman"/>
          <w:sz w:val="28"/>
          <w:szCs w:val="28"/>
        </w:rPr>
        <w:t>на услуги широкого потребления.</w:t>
      </w:r>
    </w:p>
    <w:p w:rsidR="000E1886" w:rsidRPr="000E1886" w:rsidRDefault="000E1886" w:rsidP="000E1886">
      <w:pPr>
        <w:rPr>
          <w:rFonts w:ascii="Times New Roman" w:hAnsi="Times New Roman" w:cs="Times New Roman"/>
          <w:sz w:val="28"/>
          <w:szCs w:val="28"/>
        </w:rPr>
      </w:pPr>
      <w:r w:rsidRPr="000E1886">
        <w:rPr>
          <w:rFonts w:ascii="Times New Roman" w:hAnsi="Times New Roman" w:cs="Times New Roman"/>
          <w:sz w:val="28"/>
          <w:szCs w:val="28"/>
        </w:rPr>
        <w:t>Западная Европа остается вторым по величине сервисным рынком. Его объем в 2018 году достиг $266 млрд и вырос почти на 3% — вдвое быстрее, чем реальный ВВП в регионе. Западноевропейский рынок показал рост во многом благодаря услугам, связанным с разрабо</w:t>
      </w:r>
      <w:r>
        <w:rPr>
          <w:rFonts w:ascii="Times New Roman" w:hAnsi="Times New Roman" w:cs="Times New Roman"/>
          <w:sz w:val="28"/>
          <w:szCs w:val="28"/>
        </w:rPr>
        <w:t>ткой и поддержкой приложений.</w:t>
      </w:r>
    </w:p>
    <w:p w:rsidR="000E1886" w:rsidRDefault="000E1886" w:rsidP="000E1886">
      <w:pPr>
        <w:rPr>
          <w:rFonts w:ascii="Times New Roman" w:hAnsi="Times New Roman" w:cs="Times New Roman"/>
          <w:sz w:val="28"/>
          <w:szCs w:val="28"/>
        </w:rPr>
      </w:pPr>
      <w:r w:rsidRPr="000E1886">
        <w:rPr>
          <w:rFonts w:ascii="Times New Roman" w:hAnsi="Times New Roman" w:cs="Times New Roman"/>
          <w:sz w:val="28"/>
          <w:szCs w:val="28"/>
        </w:rPr>
        <w:t>Рост сервисного рынка в Азиатско-Тихоокеанском регионе (исключая Японию) несколько снизился — до 6,2% (до $110 млрд), что частично отражает экономическое беспокойство по поводу надвигающейся торговой войной между США и Китаем и замедление экономического роста на ключевых развитых рынках, таких как Австралия, Новая Зеландия и Южная Корея. В Японии расходы на ИТ-сервисы и бизнес-услуги в 2018 году немного увеличились.</w:t>
      </w:r>
    </w:p>
    <w:p w:rsidR="0002467C" w:rsidRDefault="0002467C" w:rsidP="000E1886">
      <w:pPr>
        <w:rPr>
          <w:rFonts w:ascii="Times New Roman" w:hAnsi="Times New Roman" w:cs="Times New Roman"/>
          <w:sz w:val="28"/>
          <w:szCs w:val="28"/>
        </w:rPr>
      </w:pPr>
    </w:p>
    <w:p w:rsidR="0002467C" w:rsidRDefault="0002467C" w:rsidP="0002467C">
      <w:pPr>
        <w:pBdr>
          <w:bottom w:val="single" w:sz="12" w:space="1" w:color="auto"/>
        </w:pBdr>
        <w:jc w:val="center"/>
        <w:rPr>
          <w:rFonts w:ascii="Times New Roman" w:hAnsi="Times New Roman" w:cs="Times New Roman"/>
          <w:b/>
          <w:i/>
          <w:sz w:val="32"/>
          <w:szCs w:val="28"/>
        </w:rPr>
      </w:pPr>
      <w:r w:rsidRPr="0002467C">
        <w:rPr>
          <w:rFonts w:ascii="Times New Roman" w:hAnsi="Times New Roman" w:cs="Times New Roman"/>
          <w:b/>
          <w:i/>
          <w:sz w:val="32"/>
          <w:szCs w:val="28"/>
        </w:rPr>
        <w:t>2019</w:t>
      </w:r>
    </w:p>
    <w:p w:rsidR="0002467C" w:rsidRPr="0002467C" w:rsidRDefault="0002467C" w:rsidP="0002467C">
      <w:pPr>
        <w:jc w:val="center"/>
        <w:rPr>
          <w:rFonts w:ascii="Times New Roman" w:hAnsi="Times New Roman" w:cs="Times New Roman"/>
          <w:b/>
          <w:i/>
          <w:sz w:val="32"/>
          <w:szCs w:val="28"/>
        </w:rPr>
      </w:pPr>
    </w:p>
    <w:p w:rsidR="0002467C" w:rsidRPr="0002467C" w:rsidRDefault="0002467C" w:rsidP="0002467C">
      <w:pPr>
        <w:rPr>
          <w:rFonts w:ascii="Times New Roman" w:hAnsi="Times New Roman" w:cs="Times New Roman"/>
          <w:b/>
          <w:sz w:val="28"/>
          <w:szCs w:val="28"/>
        </w:rPr>
      </w:pPr>
      <w:r w:rsidRPr="0002467C">
        <w:rPr>
          <w:rFonts w:ascii="Times New Roman" w:hAnsi="Times New Roman" w:cs="Times New Roman"/>
          <w:b/>
          <w:sz w:val="28"/>
          <w:szCs w:val="28"/>
        </w:rPr>
        <w:t>Рынок ИТ- и бизнес-услуг увеличился на 5% — IDC</w:t>
      </w:r>
    </w:p>
    <w:p w:rsidR="0002467C" w:rsidRPr="0002467C" w:rsidRDefault="0002467C" w:rsidP="0002467C">
      <w:pPr>
        <w:rPr>
          <w:rFonts w:ascii="Times New Roman" w:hAnsi="Times New Roman" w:cs="Times New Roman"/>
          <w:sz w:val="28"/>
          <w:szCs w:val="28"/>
        </w:rPr>
      </w:pPr>
      <w:r w:rsidRPr="0002467C">
        <w:rPr>
          <w:rFonts w:ascii="Times New Roman" w:hAnsi="Times New Roman" w:cs="Times New Roman"/>
          <w:sz w:val="28"/>
          <w:szCs w:val="28"/>
        </w:rPr>
        <w:t>По данным аналитиков IDC, объем мирового рынка ИТ-сервисов и бизнес-услуг (бизнес-консалтинг и аутсорсинг основных бизнес-процессов) в 2019 году увеличился на 5%. Без учёта колебания валю</w:t>
      </w:r>
      <w:r>
        <w:rPr>
          <w:rFonts w:ascii="Times New Roman" w:hAnsi="Times New Roman" w:cs="Times New Roman"/>
          <w:sz w:val="28"/>
          <w:szCs w:val="28"/>
        </w:rPr>
        <w:t>тных курсов рост составил 2,4%.</w:t>
      </w:r>
    </w:p>
    <w:p w:rsidR="0002467C" w:rsidRPr="0002467C" w:rsidRDefault="0002467C" w:rsidP="0002467C">
      <w:pPr>
        <w:rPr>
          <w:rFonts w:ascii="Times New Roman" w:hAnsi="Times New Roman" w:cs="Times New Roman"/>
          <w:sz w:val="28"/>
          <w:szCs w:val="28"/>
        </w:rPr>
      </w:pPr>
      <w:r w:rsidRPr="0002467C">
        <w:rPr>
          <w:rFonts w:ascii="Times New Roman" w:hAnsi="Times New Roman" w:cs="Times New Roman"/>
          <w:sz w:val="28"/>
          <w:szCs w:val="28"/>
        </w:rPr>
        <w:t>В бесплатной выборке к исследованию, которая была опубликована на сайте IDC, не указывается размер расходов на ИТ- и бизнес-услуги. Но, учитывая, что ранее эксперты сообщали о показателе чуть более чем в $1 трлн по итогам 2018 года, в 2019-м получается объ</w:t>
      </w:r>
      <w:r>
        <w:rPr>
          <w:rFonts w:ascii="Times New Roman" w:hAnsi="Times New Roman" w:cs="Times New Roman"/>
          <w:sz w:val="28"/>
          <w:szCs w:val="28"/>
        </w:rPr>
        <w:t>ём рынка примерно в $1,05 трлн.</w:t>
      </w:r>
    </w:p>
    <w:p w:rsidR="0002467C" w:rsidRPr="0002467C" w:rsidRDefault="0002467C" w:rsidP="0002467C">
      <w:pPr>
        <w:rPr>
          <w:rFonts w:ascii="Times New Roman" w:hAnsi="Times New Roman" w:cs="Times New Roman"/>
          <w:sz w:val="28"/>
          <w:szCs w:val="28"/>
        </w:rPr>
      </w:pPr>
      <w:r w:rsidRPr="0002467C">
        <w:rPr>
          <w:rFonts w:ascii="Times New Roman" w:hAnsi="Times New Roman" w:cs="Times New Roman"/>
          <w:sz w:val="28"/>
          <w:szCs w:val="28"/>
        </w:rPr>
        <w:t>По словам специалистов, рынок ИТ-сервисов и бизнес-услуг увеличивает темпы роста два года подряд: в 2017 году они измерялись 4%, в 2018-м — 4,3%. Динамика увеличивается, несмотря на замедление роста мирового ВВ</w:t>
      </w:r>
      <w:r>
        <w:rPr>
          <w:rFonts w:ascii="Times New Roman" w:hAnsi="Times New Roman" w:cs="Times New Roman"/>
          <w:sz w:val="28"/>
          <w:szCs w:val="28"/>
        </w:rPr>
        <w:t>П до чуть более 3% в 2019 году.</w:t>
      </w:r>
    </w:p>
    <w:p w:rsidR="0002467C" w:rsidRPr="0002467C" w:rsidRDefault="0002467C" w:rsidP="0002467C">
      <w:pPr>
        <w:rPr>
          <w:rFonts w:ascii="Times New Roman" w:hAnsi="Times New Roman" w:cs="Times New Roman"/>
          <w:sz w:val="28"/>
          <w:szCs w:val="28"/>
        </w:rPr>
      </w:pPr>
      <w:r w:rsidRPr="0002467C">
        <w:rPr>
          <w:rFonts w:ascii="Times New Roman" w:hAnsi="Times New Roman" w:cs="Times New Roman"/>
          <w:sz w:val="28"/>
          <w:szCs w:val="28"/>
        </w:rPr>
        <w:t>Такая ситуация в значительной степени в 2019 году отражала здоровую обстановку с корпоративными ИТ-бюджетами в компаниях, которые проявляли осторожность, но все еще строили оптимистичные бизнес-прогноз</w:t>
      </w:r>
      <w:r>
        <w:rPr>
          <w:rFonts w:ascii="Times New Roman" w:hAnsi="Times New Roman" w:cs="Times New Roman"/>
          <w:sz w:val="28"/>
          <w:szCs w:val="28"/>
        </w:rPr>
        <w:t>ы, считают аналитики.</w:t>
      </w:r>
    </w:p>
    <w:p w:rsidR="0002467C" w:rsidRPr="0002467C" w:rsidRDefault="0002467C" w:rsidP="0002467C">
      <w:pPr>
        <w:rPr>
          <w:rFonts w:ascii="Times New Roman" w:hAnsi="Times New Roman" w:cs="Times New Roman"/>
          <w:sz w:val="28"/>
          <w:szCs w:val="28"/>
        </w:rPr>
      </w:pPr>
      <w:r w:rsidRPr="0002467C">
        <w:rPr>
          <w:rFonts w:ascii="Times New Roman" w:hAnsi="Times New Roman" w:cs="Times New Roman"/>
          <w:sz w:val="28"/>
          <w:szCs w:val="28"/>
        </w:rPr>
        <w:lastRenderedPageBreak/>
        <w:t xml:space="preserve">Сервисный рынок в странах Северной и Южной Америки в 2019 году показал 5,2-процентный спад, до $485,6 млрд. При этом правительство США и бизнес в первом квартале 2020 года начали откладывать новые проекты, чтобы отложить дискреционные решения из-за неопределенности на рынке в связи с пандемией </w:t>
      </w:r>
      <w:proofErr w:type="spellStart"/>
      <w:r w:rsidRPr="0002467C">
        <w:rPr>
          <w:rFonts w:ascii="Times New Roman" w:hAnsi="Times New Roman" w:cs="Times New Roman"/>
          <w:sz w:val="28"/>
          <w:szCs w:val="28"/>
        </w:rPr>
        <w:t>коронавируса</w:t>
      </w:r>
      <w:proofErr w:type="spellEnd"/>
      <w:r w:rsidRPr="0002467C">
        <w:rPr>
          <w:rFonts w:ascii="Times New Roman" w:hAnsi="Times New Roman" w:cs="Times New Roman"/>
          <w:sz w:val="28"/>
          <w:szCs w:val="28"/>
        </w:rPr>
        <w:t xml:space="preserve"> COVID-19. Ориентированные на проекты сегменты рассматриваемого рынка, такие как консалтинг, разработка пользовательских приложений, системная интеграция и т. д., в большей степени с</w:t>
      </w:r>
      <w:r>
        <w:rPr>
          <w:rFonts w:ascii="Times New Roman" w:hAnsi="Times New Roman" w:cs="Times New Roman"/>
          <w:sz w:val="28"/>
          <w:szCs w:val="28"/>
        </w:rPr>
        <w:t>толкнулись с падением доходов.</w:t>
      </w:r>
    </w:p>
    <w:p w:rsidR="0002467C" w:rsidRPr="0002467C" w:rsidRDefault="0002467C" w:rsidP="0002467C">
      <w:pPr>
        <w:rPr>
          <w:rFonts w:ascii="Times New Roman" w:hAnsi="Times New Roman" w:cs="Times New Roman"/>
          <w:sz w:val="28"/>
          <w:szCs w:val="28"/>
        </w:rPr>
      </w:pPr>
      <w:r w:rsidRPr="0002467C">
        <w:rPr>
          <w:rFonts w:ascii="Times New Roman" w:hAnsi="Times New Roman" w:cs="Times New Roman"/>
          <w:sz w:val="28"/>
          <w:szCs w:val="28"/>
        </w:rPr>
        <w:t>Расходы на технологические и бизнес-услуги в Латинской Америке в 2019 году возросли на 7,2%. В 2020-м ситуация в этом регионе начала ухудшаться из-за карантина во многих странах, обесценения валют и слабого спроса Китая на п</w:t>
      </w:r>
      <w:r>
        <w:rPr>
          <w:rFonts w:ascii="Times New Roman" w:hAnsi="Times New Roman" w:cs="Times New Roman"/>
          <w:sz w:val="28"/>
          <w:szCs w:val="28"/>
        </w:rPr>
        <w:t>родукцию местного производства.</w:t>
      </w:r>
    </w:p>
    <w:p w:rsidR="0002467C" w:rsidRPr="0002467C" w:rsidRDefault="0002467C" w:rsidP="0002467C">
      <w:pPr>
        <w:rPr>
          <w:rFonts w:ascii="Times New Roman" w:hAnsi="Times New Roman" w:cs="Times New Roman"/>
          <w:sz w:val="28"/>
          <w:szCs w:val="28"/>
        </w:rPr>
      </w:pPr>
      <w:r w:rsidRPr="0002467C">
        <w:rPr>
          <w:rFonts w:ascii="Times New Roman" w:hAnsi="Times New Roman" w:cs="Times New Roman"/>
          <w:sz w:val="28"/>
          <w:szCs w:val="28"/>
        </w:rPr>
        <w:t>В 2019 году объём сервисного рынка в странах EMEA (Европа, Ближний Восток, Африка) увеличился на 4,4%, в Азиатско-Тихоокеанском регионе — на 5,5%. В Китае затраты на ИТ- и биз</w:t>
      </w:r>
      <w:r>
        <w:rPr>
          <w:rFonts w:ascii="Times New Roman" w:hAnsi="Times New Roman" w:cs="Times New Roman"/>
          <w:sz w:val="28"/>
          <w:szCs w:val="28"/>
        </w:rPr>
        <w:t>нес-услуги увеличились на 7,6%.</w:t>
      </w:r>
    </w:p>
    <w:p w:rsidR="0002467C" w:rsidRPr="0002467C" w:rsidRDefault="0002467C" w:rsidP="0002467C">
      <w:pPr>
        <w:rPr>
          <w:rFonts w:ascii="Times New Roman" w:hAnsi="Times New Roman" w:cs="Times New Roman"/>
          <w:b/>
          <w:sz w:val="28"/>
          <w:szCs w:val="28"/>
        </w:rPr>
      </w:pPr>
      <w:r w:rsidRPr="0002467C">
        <w:rPr>
          <w:rFonts w:ascii="Times New Roman" w:hAnsi="Times New Roman" w:cs="Times New Roman"/>
          <w:b/>
          <w:sz w:val="28"/>
          <w:szCs w:val="28"/>
        </w:rPr>
        <w:t>Объем мирового рынка ИТ-сервисов и бизнес-услуг (бизнес-консалтинг и аутсорсинг основных бизнес-процессов) в 2019 году увеличился на 5%</w:t>
      </w:r>
    </w:p>
    <w:p w:rsidR="0002467C" w:rsidRPr="0002467C" w:rsidRDefault="0002467C" w:rsidP="0002467C">
      <w:pPr>
        <w:rPr>
          <w:rFonts w:ascii="Times New Roman" w:hAnsi="Times New Roman" w:cs="Times New Roman"/>
          <w:sz w:val="28"/>
          <w:szCs w:val="28"/>
        </w:rPr>
      </w:pPr>
      <w:r w:rsidRPr="0002467C">
        <w:rPr>
          <w:rFonts w:ascii="Times New Roman" w:hAnsi="Times New Roman" w:cs="Times New Roman"/>
          <w:sz w:val="28"/>
          <w:szCs w:val="28"/>
        </w:rPr>
        <w:t>Главным драйвером роста западноевропейского рынка стали заказы на разработку приложений, их обслуживание и т. п. Цифровая трансформация стимулирует разработку новых приложений, а также обновле</w:t>
      </w:r>
      <w:r>
        <w:rPr>
          <w:rFonts w:ascii="Times New Roman" w:hAnsi="Times New Roman" w:cs="Times New Roman"/>
          <w:sz w:val="28"/>
          <w:szCs w:val="28"/>
        </w:rPr>
        <w:t>ние старых, указывают эксперты.</w:t>
      </w:r>
    </w:p>
    <w:p w:rsidR="0002467C" w:rsidRDefault="0002467C" w:rsidP="0002467C">
      <w:pPr>
        <w:rPr>
          <w:rFonts w:ascii="Times New Roman" w:hAnsi="Times New Roman" w:cs="Times New Roman"/>
          <w:sz w:val="28"/>
          <w:szCs w:val="28"/>
        </w:rPr>
      </w:pPr>
      <w:r w:rsidRPr="0002467C">
        <w:rPr>
          <w:rFonts w:ascii="Times New Roman" w:hAnsi="Times New Roman" w:cs="Times New Roman"/>
          <w:sz w:val="28"/>
          <w:szCs w:val="28"/>
        </w:rPr>
        <w:t xml:space="preserve">В Центральной и Восточной Европе расходы на ИТ- и бизнес-услуги в 2019 году продемонстрировали рост второй год кряду. Однако аналитики предупреждают, что из-за </w:t>
      </w:r>
      <w:proofErr w:type="spellStart"/>
      <w:r w:rsidRPr="0002467C">
        <w:rPr>
          <w:rFonts w:ascii="Times New Roman" w:hAnsi="Times New Roman" w:cs="Times New Roman"/>
          <w:sz w:val="28"/>
          <w:szCs w:val="28"/>
        </w:rPr>
        <w:t>коронавируса</w:t>
      </w:r>
      <w:proofErr w:type="spellEnd"/>
      <w:r w:rsidRPr="0002467C">
        <w:rPr>
          <w:rFonts w:ascii="Times New Roman" w:hAnsi="Times New Roman" w:cs="Times New Roman"/>
          <w:sz w:val="28"/>
          <w:szCs w:val="28"/>
        </w:rPr>
        <w:t xml:space="preserve"> COVID-19 в 2020 году этот региональный рынок просядет во многом из-за России. По прогнозам исследователей, затраты на технологические и бизнес-услуги на российском рынке в 2020-м сократятся на 20%, а одной из причин этого спада станет дешевеющая нефть. На Россию приходится почти треть продаж ИТ- и бизнес-услуг в Центральной и Восточной Европе.</w:t>
      </w:r>
    </w:p>
    <w:p w:rsidR="00B13828" w:rsidRDefault="00B13828" w:rsidP="0002467C">
      <w:pPr>
        <w:rPr>
          <w:rFonts w:ascii="Times New Roman" w:hAnsi="Times New Roman" w:cs="Times New Roman"/>
          <w:sz w:val="28"/>
          <w:szCs w:val="28"/>
        </w:rPr>
      </w:pPr>
    </w:p>
    <w:p w:rsidR="00B13828" w:rsidRDefault="00B13828" w:rsidP="00B13828">
      <w:pPr>
        <w:pBdr>
          <w:bottom w:val="single" w:sz="12" w:space="1" w:color="auto"/>
        </w:pBdr>
        <w:jc w:val="center"/>
        <w:rPr>
          <w:rFonts w:ascii="Times New Roman" w:hAnsi="Times New Roman" w:cs="Times New Roman"/>
          <w:b/>
          <w:i/>
          <w:sz w:val="32"/>
          <w:szCs w:val="28"/>
        </w:rPr>
      </w:pPr>
      <w:r w:rsidRPr="00B13828">
        <w:rPr>
          <w:rFonts w:ascii="Times New Roman" w:hAnsi="Times New Roman" w:cs="Times New Roman"/>
          <w:b/>
          <w:i/>
          <w:sz w:val="32"/>
          <w:szCs w:val="28"/>
        </w:rPr>
        <w:t>2020</w:t>
      </w:r>
    </w:p>
    <w:p w:rsidR="00B13828" w:rsidRPr="00B13828" w:rsidRDefault="00B13828" w:rsidP="00B13828">
      <w:pPr>
        <w:jc w:val="center"/>
        <w:rPr>
          <w:rFonts w:ascii="Times New Roman" w:hAnsi="Times New Roman" w:cs="Times New Roman"/>
          <w:b/>
          <w:i/>
          <w:sz w:val="28"/>
          <w:szCs w:val="28"/>
        </w:rPr>
      </w:pPr>
    </w:p>
    <w:p w:rsidR="00B13828" w:rsidRPr="00B13828" w:rsidRDefault="00B13828" w:rsidP="00B13828">
      <w:pPr>
        <w:rPr>
          <w:rFonts w:ascii="Times New Roman" w:hAnsi="Times New Roman" w:cs="Times New Roman"/>
          <w:b/>
          <w:sz w:val="28"/>
          <w:szCs w:val="28"/>
        </w:rPr>
      </w:pPr>
      <w:r w:rsidRPr="00B13828">
        <w:rPr>
          <w:rFonts w:ascii="Times New Roman" w:hAnsi="Times New Roman" w:cs="Times New Roman"/>
          <w:b/>
          <w:sz w:val="28"/>
          <w:szCs w:val="28"/>
        </w:rPr>
        <w:t>Снижение рынка ИТ- и бизнес-услуг на 1,16%, до $1 трлн - IDC</w:t>
      </w:r>
    </w:p>
    <w:p w:rsidR="00B13828" w:rsidRPr="00B13828" w:rsidRDefault="00B13828" w:rsidP="00B13828">
      <w:pPr>
        <w:rPr>
          <w:rFonts w:ascii="Times New Roman" w:hAnsi="Times New Roman" w:cs="Times New Roman"/>
          <w:sz w:val="28"/>
          <w:szCs w:val="28"/>
        </w:rPr>
      </w:pPr>
      <w:r w:rsidRPr="00B13828">
        <w:rPr>
          <w:rFonts w:ascii="Times New Roman" w:hAnsi="Times New Roman" w:cs="Times New Roman"/>
          <w:sz w:val="28"/>
          <w:szCs w:val="28"/>
        </w:rPr>
        <w:t>В 2020 году объем мирового рынка технологических сервисов и бизнес-услуг (бизнес-консалтинг и аутсорсинг основных бизнес-процессов) упал на 1,16% в сравнении с 2019-м, но в абсолютном выражении показатель остался выше $1 трлн. Такие данные приводятся в исследовании IDC.</w:t>
      </w:r>
    </w:p>
    <w:p w:rsidR="00B13828" w:rsidRPr="00B13828" w:rsidRDefault="00B13828" w:rsidP="00B13828">
      <w:pPr>
        <w:rPr>
          <w:rFonts w:ascii="Times New Roman" w:hAnsi="Times New Roman" w:cs="Times New Roman"/>
          <w:sz w:val="28"/>
          <w:szCs w:val="28"/>
        </w:rPr>
      </w:pPr>
    </w:p>
    <w:p w:rsidR="00B13828" w:rsidRPr="00B13828" w:rsidRDefault="00B13828" w:rsidP="00B13828">
      <w:pPr>
        <w:rPr>
          <w:rFonts w:ascii="Times New Roman" w:hAnsi="Times New Roman" w:cs="Times New Roman"/>
          <w:sz w:val="28"/>
          <w:szCs w:val="28"/>
        </w:rPr>
      </w:pPr>
      <w:r w:rsidRPr="00B13828">
        <w:rPr>
          <w:rFonts w:ascii="Times New Roman" w:hAnsi="Times New Roman" w:cs="Times New Roman"/>
          <w:sz w:val="28"/>
          <w:szCs w:val="28"/>
        </w:rPr>
        <w:t>По словам экспертов, глобальные расходы на ИТ- и бизнес-услуги в 2020 году сократились не столь сильно, как ожидалось изначально. Это произошло в силу не</w:t>
      </w:r>
      <w:r>
        <w:rPr>
          <w:rFonts w:ascii="Times New Roman" w:hAnsi="Times New Roman" w:cs="Times New Roman"/>
          <w:sz w:val="28"/>
          <w:szCs w:val="28"/>
        </w:rPr>
        <w:t>скольких причин, среди которых:</w:t>
      </w:r>
    </w:p>
    <w:p w:rsidR="00B13828" w:rsidRPr="00B13828" w:rsidRDefault="00B13828" w:rsidP="00B13828">
      <w:pPr>
        <w:ind w:firstLine="708"/>
        <w:rPr>
          <w:rFonts w:ascii="Times New Roman" w:hAnsi="Times New Roman" w:cs="Times New Roman"/>
          <w:sz w:val="28"/>
          <w:szCs w:val="28"/>
        </w:rPr>
      </w:pPr>
      <w:r w:rsidRPr="00B13828">
        <w:rPr>
          <w:rFonts w:ascii="Times New Roman" w:hAnsi="Times New Roman" w:cs="Times New Roman"/>
          <w:sz w:val="28"/>
          <w:szCs w:val="28"/>
        </w:rPr>
        <w:t>улучшение экономических перспектив;</w:t>
      </w:r>
    </w:p>
    <w:p w:rsidR="00B13828" w:rsidRPr="00B13828" w:rsidRDefault="00B13828" w:rsidP="00B13828">
      <w:pPr>
        <w:ind w:firstLine="708"/>
        <w:rPr>
          <w:rFonts w:ascii="Times New Roman" w:hAnsi="Times New Roman" w:cs="Times New Roman"/>
          <w:sz w:val="28"/>
          <w:szCs w:val="28"/>
        </w:rPr>
      </w:pPr>
      <w:r w:rsidRPr="00B13828">
        <w:rPr>
          <w:rFonts w:ascii="Times New Roman" w:hAnsi="Times New Roman" w:cs="Times New Roman"/>
          <w:sz w:val="28"/>
          <w:szCs w:val="28"/>
        </w:rPr>
        <w:t>растущая уверенность бизнеса;</w:t>
      </w:r>
    </w:p>
    <w:p w:rsidR="00B13828" w:rsidRPr="00B13828" w:rsidRDefault="00B13828" w:rsidP="00B13828">
      <w:pPr>
        <w:ind w:firstLine="708"/>
        <w:rPr>
          <w:rFonts w:ascii="Times New Roman" w:hAnsi="Times New Roman" w:cs="Times New Roman"/>
          <w:sz w:val="28"/>
          <w:szCs w:val="28"/>
        </w:rPr>
      </w:pPr>
      <w:r w:rsidRPr="00B13828">
        <w:rPr>
          <w:rFonts w:ascii="Times New Roman" w:hAnsi="Times New Roman" w:cs="Times New Roman"/>
          <w:sz w:val="28"/>
          <w:szCs w:val="28"/>
        </w:rPr>
        <w:t>появление новой нормальности, при которой компании начинают практиковать более долгосрочные инвестиции в технологические и бизнес-услуги.</w:t>
      </w:r>
    </w:p>
    <w:p w:rsidR="00B13828" w:rsidRDefault="00B13828" w:rsidP="00B13828">
      <w:pPr>
        <w:rPr>
          <w:rFonts w:ascii="Times New Roman" w:hAnsi="Times New Roman" w:cs="Times New Roman"/>
          <w:sz w:val="28"/>
          <w:szCs w:val="28"/>
        </w:rPr>
      </w:pPr>
    </w:p>
    <w:p w:rsidR="00B13828" w:rsidRPr="00B13828" w:rsidRDefault="00B13828" w:rsidP="00B13828">
      <w:pPr>
        <w:rPr>
          <w:rFonts w:ascii="Times New Roman" w:hAnsi="Times New Roman" w:cs="Times New Roman"/>
          <w:sz w:val="28"/>
          <w:szCs w:val="28"/>
        </w:rPr>
      </w:pPr>
      <w:r w:rsidRPr="00B13828">
        <w:rPr>
          <w:rFonts w:ascii="Times New Roman" w:hAnsi="Times New Roman" w:cs="Times New Roman"/>
          <w:sz w:val="28"/>
          <w:szCs w:val="28"/>
        </w:rPr>
        <w:t>В докладе отмечается, что рыночные результаты в 2020 году, особенно в третьем и четвертом кварталах, оказались выше ож</w:t>
      </w:r>
      <w:r>
        <w:rPr>
          <w:rFonts w:ascii="Times New Roman" w:hAnsi="Times New Roman" w:cs="Times New Roman"/>
          <w:sz w:val="28"/>
          <w:szCs w:val="28"/>
        </w:rPr>
        <w:t>иданий.</w:t>
      </w:r>
    </w:p>
    <w:p w:rsidR="00B13828" w:rsidRPr="00B13828" w:rsidRDefault="00B13828" w:rsidP="00B13828">
      <w:pPr>
        <w:rPr>
          <w:rFonts w:ascii="Times New Roman" w:hAnsi="Times New Roman" w:cs="Times New Roman"/>
          <w:sz w:val="28"/>
          <w:szCs w:val="28"/>
        </w:rPr>
      </w:pPr>
      <w:r w:rsidRPr="00B13828">
        <w:rPr>
          <w:rFonts w:ascii="Times New Roman" w:hAnsi="Times New Roman" w:cs="Times New Roman"/>
          <w:sz w:val="28"/>
          <w:szCs w:val="28"/>
        </w:rPr>
        <w:t xml:space="preserve">В странах Европы, Ближнего Востока и Африки (EMEA), а также Азиатско-Тихоокеанского региона позитивное влияние на рынок технологических и бизнес-услуг оказали крупные государственные проекты в сфере цифровых технологий и уверенность бизнеса в том, что власти смогут справиться с экономическими проблемами и трудностями </w:t>
      </w:r>
      <w:r>
        <w:rPr>
          <w:rFonts w:ascii="Times New Roman" w:hAnsi="Times New Roman" w:cs="Times New Roman"/>
          <w:sz w:val="28"/>
          <w:szCs w:val="28"/>
        </w:rPr>
        <w:t xml:space="preserve">пандемии </w:t>
      </w:r>
      <w:proofErr w:type="spellStart"/>
      <w:r>
        <w:rPr>
          <w:rFonts w:ascii="Times New Roman" w:hAnsi="Times New Roman" w:cs="Times New Roman"/>
          <w:sz w:val="28"/>
          <w:szCs w:val="28"/>
        </w:rPr>
        <w:t>коронавируса</w:t>
      </w:r>
      <w:proofErr w:type="spellEnd"/>
      <w:r>
        <w:rPr>
          <w:rFonts w:ascii="Times New Roman" w:hAnsi="Times New Roman" w:cs="Times New Roman"/>
          <w:sz w:val="28"/>
          <w:szCs w:val="28"/>
        </w:rPr>
        <w:t xml:space="preserve"> COVID-19.</w:t>
      </w:r>
    </w:p>
    <w:p w:rsidR="00B13828" w:rsidRPr="00B13828" w:rsidRDefault="00B13828" w:rsidP="00B13828">
      <w:pPr>
        <w:rPr>
          <w:rFonts w:ascii="Times New Roman" w:hAnsi="Times New Roman" w:cs="Times New Roman"/>
          <w:b/>
          <w:sz w:val="28"/>
          <w:szCs w:val="28"/>
        </w:rPr>
      </w:pPr>
      <w:r w:rsidRPr="00B13828">
        <w:rPr>
          <w:rFonts w:ascii="Times New Roman" w:hAnsi="Times New Roman" w:cs="Times New Roman"/>
          <w:b/>
          <w:sz w:val="28"/>
          <w:szCs w:val="28"/>
        </w:rPr>
        <w:t>В 2020 году рынок ИТ- и бизнес-услуг снизился на 1,16%</w:t>
      </w:r>
    </w:p>
    <w:p w:rsidR="00B13828" w:rsidRPr="00B13828" w:rsidRDefault="00B13828" w:rsidP="00B13828">
      <w:pPr>
        <w:rPr>
          <w:rFonts w:ascii="Times New Roman" w:hAnsi="Times New Roman" w:cs="Times New Roman"/>
          <w:sz w:val="28"/>
          <w:szCs w:val="28"/>
        </w:rPr>
      </w:pPr>
      <w:r w:rsidRPr="00B13828">
        <w:rPr>
          <w:rFonts w:ascii="Times New Roman" w:hAnsi="Times New Roman" w:cs="Times New Roman"/>
          <w:sz w:val="28"/>
          <w:szCs w:val="28"/>
        </w:rPr>
        <w:t>Кроме того, большинство производителей уверены, что кризис подтолкнул организации и потребителей к цифровому миру, что в долгосрочной перспективе окажет более чем положительное воздействие. Масштабы этой миграции будут выше, а сроки ее реализации - меньше, чем ожидалос</w:t>
      </w:r>
      <w:r>
        <w:rPr>
          <w:rFonts w:ascii="Times New Roman" w:hAnsi="Times New Roman" w:cs="Times New Roman"/>
          <w:sz w:val="28"/>
          <w:szCs w:val="28"/>
        </w:rPr>
        <w:t>ь ранее, считают исследователи.</w:t>
      </w:r>
    </w:p>
    <w:p w:rsidR="00B13828" w:rsidRPr="00B13828" w:rsidRDefault="00B13828" w:rsidP="00B13828">
      <w:pPr>
        <w:rPr>
          <w:rFonts w:ascii="Times New Roman" w:hAnsi="Times New Roman" w:cs="Times New Roman"/>
          <w:sz w:val="28"/>
          <w:szCs w:val="28"/>
        </w:rPr>
      </w:pPr>
      <w:r w:rsidRPr="00B13828">
        <w:rPr>
          <w:rFonts w:ascii="Times New Roman" w:hAnsi="Times New Roman" w:cs="Times New Roman"/>
          <w:sz w:val="28"/>
          <w:szCs w:val="28"/>
        </w:rPr>
        <w:t>Согласно ожиданиям аналитиков, расходы на ИТ- и бизнес-услуги в Северной и Южной Америки в 2021 году увеличатся на 2,5%, в США, в частности, - на 2,4%. Аналитики обращают внимание на рост американского рынка бизнес-консалтинга, связанный с тем, что экономика страна стала восстанавливаться быстрее, чем ожидалось. Кроме того, в США наблюдалось активное внедрение облачных технологий, что благоприятно сказалось на сегменте услуг</w:t>
      </w:r>
      <w:r>
        <w:rPr>
          <w:rFonts w:ascii="Times New Roman" w:hAnsi="Times New Roman" w:cs="Times New Roman"/>
          <w:sz w:val="28"/>
          <w:szCs w:val="28"/>
        </w:rPr>
        <w:t xml:space="preserve"> управления (</w:t>
      </w:r>
      <w:proofErr w:type="spellStart"/>
      <w:r>
        <w:rPr>
          <w:rFonts w:ascii="Times New Roman" w:hAnsi="Times New Roman" w:cs="Times New Roman"/>
          <w:sz w:val="28"/>
          <w:szCs w:val="28"/>
        </w:rPr>
        <w:t>managed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services</w:t>
      </w:r>
      <w:proofErr w:type="spellEnd"/>
      <w:r>
        <w:rPr>
          <w:rFonts w:ascii="Times New Roman" w:hAnsi="Times New Roman" w:cs="Times New Roman"/>
          <w:sz w:val="28"/>
          <w:szCs w:val="28"/>
        </w:rPr>
        <w:t>).</w:t>
      </w:r>
    </w:p>
    <w:p w:rsidR="00B13828" w:rsidRPr="00B13828" w:rsidRDefault="00B13828" w:rsidP="00B13828">
      <w:pPr>
        <w:rPr>
          <w:rFonts w:ascii="Times New Roman" w:hAnsi="Times New Roman" w:cs="Times New Roman"/>
          <w:sz w:val="28"/>
          <w:szCs w:val="28"/>
        </w:rPr>
      </w:pPr>
      <w:r w:rsidRPr="00B13828">
        <w:rPr>
          <w:rFonts w:ascii="Times New Roman" w:hAnsi="Times New Roman" w:cs="Times New Roman"/>
          <w:sz w:val="28"/>
          <w:szCs w:val="28"/>
        </w:rPr>
        <w:t>В Европе объем этого рынка, как подсчитали в IDC, в 2020 году вырос более чем на 3%. Причем в Центральной и Восточной Европе динамика была выше, хотя в абсолютном выражении затраты на ИТ- и бизнес-сервисы в этом регионе ощутимо ниже, чем в Западной Европе.</w:t>
      </w:r>
    </w:p>
    <w:p w:rsidR="00B13828" w:rsidRPr="00B13828" w:rsidRDefault="00B13828" w:rsidP="00B13828">
      <w:pPr>
        <w:rPr>
          <w:rFonts w:ascii="Times New Roman" w:hAnsi="Times New Roman" w:cs="Times New Roman"/>
          <w:sz w:val="28"/>
          <w:szCs w:val="28"/>
        </w:rPr>
      </w:pPr>
    </w:p>
    <w:p w:rsidR="00B13828" w:rsidRPr="00B13828" w:rsidRDefault="00B13828" w:rsidP="00B13828">
      <w:pPr>
        <w:rPr>
          <w:rFonts w:ascii="Times New Roman" w:hAnsi="Times New Roman" w:cs="Times New Roman"/>
          <w:sz w:val="28"/>
          <w:szCs w:val="28"/>
        </w:rPr>
      </w:pPr>
    </w:p>
    <w:p w:rsidR="00B13828" w:rsidRPr="00B13828" w:rsidRDefault="00B13828" w:rsidP="00B13828">
      <w:pPr>
        <w:rPr>
          <w:rFonts w:ascii="Times New Roman" w:hAnsi="Times New Roman" w:cs="Times New Roman"/>
          <w:sz w:val="28"/>
          <w:szCs w:val="28"/>
        </w:rPr>
      </w:pPr>
      <w:r w:rsidRPr="00B13828">
        <w:rPr>
          <w:rFonts w:ascii="Times New Roman" w:hAnsi="Times New Roman" w:cs="Times New Roman"/>
          <w:sz w:val="28"/>
          <w:szCs w:val="28"/>
        </w:rPr>
        <w:t>В Азиатско-Тихоокеанском регионе общий рост рынка ИТ- и бизнес-услуг в 2020 году оставался выше, чем в других частях мира. В связи кратко- и среднесрочные перспективы в этих странах ожидаются более оптими</w:t>
      </w:r>
      <w:r>
        <w:rPr>
          <w:rFonts w:ascii="Times New Roman" w:hAnsi="Times New Roman" w:cs="Times New Roman"/>
          <w:sz w:val="28"/>
          <w:szCs w:val="28"/>
        </w:rPr>
        <w:t>стичными, чем говорилось ранее.</w:t>
      </w:r>
    </w:p>
    <w:p w:rsidR="00B13828" w:rsidRPr="00B13828" w:rsidRDefault="00B13828" w:rsidP="00B13828">
      <w:pPr>
        <w:rPr>
          <w:rFonts w:ascii="Times New Roman" w:hAnsi="Times New Roman" w:cs="Times New Roman"/>
          <w:sz w:val="28"/>
          <w:szCs w:val="28"/>
        </w:rPr>
      </w:pPr>
      <w:r w:rsidRPr="00B13828">
        <w:rPr>
          <w:rFonts w:ascii="Times New Roman" w:hAnsi="Times New Roman" w:cs="Times New Roman"/>
          <w:sz w:val="28"/>
          <w:szCs w:val="28"/>
        </w:rPr>
        <w:t xml:space="preserve">В IDC уверены, что вызванные </w:t>
      </w:r>
      <w:proofErr w:type="spellStart"/>
      <w:r w:rsidRPr="00B13828">
        <w:rPr>
          <w:rFonts w:ascii="Times New Roman" w:hAnsi="Times New Roman" w:cs="Times New Roman"/>
          <w:sz w:val="28"/>
          <w:szCs w:val="28"/>
        </w:rPr>
        <w:t>коронавирусной</w:t>
      </w:r>
      <w:proofErr w:type="spellEnd"/>
      <w:r w:rsidRPr="00B13828">
        <w:rPr>
          <w:rFonts w:ascii="Times New Roman" w:hAnsi="Times New Roman" w:cs="Times New Roman"/>
          <w:sz w:val="28"/>
          <w:szCs w:val="28"/>
        </w:rPr>
        <w:t xml:space="preserve"> пандемией проблемы создают колоссальные бизнес-возможности для ИКТ-</w:t>
      </w:r>
      <w:proofErr w:type="spellStart"/>
      <w:r w:rsidRPr="00B13828">
        <w:rPr>
          <w:rFonts w:ascii="Times New Roman" w:hAnsi="Times New Roman" w:cs="Times New Roman"/>
          <w:sz w:val="28"/>
          <w:szCs w:val="28"/>
        </w:rPr>
        <w:t>вендоров</w:t>
      </w:r>
      <w:proofErr w:type="spellEnd"/>
      <w:r w:rsidRPr="00B13828">
        <w:rPr>
          <w:rFonts w:ascii="Times New Roman" w:hAnsi="Times New Roman" w:cs="Times New Roman"/>
          <w:sz w:val="28"/>
          <w:szCs w:val="28"/>
        </w:rPr>
        <w:t>. Они, в частности, связаны с развитием новых цифровых платформ, бесконтактных платежей и технологий работы с большими данными (</w:t>
      </w:r>
      <w:proofErr w:type="spellStart"/>
      <w:r w:rsidRPr="00B13828">
        <w:rPr>
          <w:rFonts w:ascii="Times New Roman" w:hAnsi="Times New Roman" w:cs="Times New Roman"/>
          <w:sz w:val="28"/>
          <w:szCs w:val="28"/>
        </w:rPr>
        <w:t>Big</w:t>
      </w:r>
      <w:proofErr w:type="spellEnd"/>
      <w:r w:rsidRPr="00B13828">
        <w:rPr>
          <w:rFonts w:ascii="Times New Roman" w:hAnsi="Times New Roman" w:cs="Times New Roman"/>
          <w:sz w:val="28"/>
          <w:szCs w:val="28"/>
        </w:rPr>
        <w:t xml:space="preserve"> </w:t>
      </w:r>
      <w:proofErr w:type="spellStart"/>
      <w:r w:rsidRPr="00B13828">
        <w:rPr>
          <w:rFonts w:ascii="Times New Roman" w:hAnsi="Times New Roman" w:cs="Times New Roman"/>
          <w:sz w:val="28"/>
          <w:szCs w:val="28"/>
        </w:rPr>
        <w:t>Data</w:t>
      </w:r>
      <w:proofErr w:type="spellEnd"/>
      <w:r w:rsidRPr="00B13828">
        <w:rPr>
          <w:rFonts w:ascii="Times New Roman" w:hAnsi="Times New Roman" w:cs="Times New Roman"/>
          <w:sz w:val="28"/>
          <w:szCs w:val="28"/>
        </w:rPr>
        <w:t>), которые позволяют улу</w:t>
      </w:r>
      <w:r>
        <w:rPr>
          <w:rFonts w:ascii="Times New Roman" w:hAnsi="Times New Roman" w:cs="Times New Roman"/>
          <w:sz w:val="28"/>
          <w:szCs w:val="28"/>
        </w:rPr>
        <w:t>чшать государственные операции.</w:t>
      </w:r>
    </w:p>
    <w:p w:rsidR="00B13828" w:rsidRPr="00B13828" w:rsidRDefault="00B13828" w:rsidP="00B13828">
      <w:pPr>
        <w:rPr>
          <w:rFonts w:ascii="Times New Roman" w:hAnsi="Times New Roman" w:cs="Times New Roman"/>
          <w:sz w:val="28"/>
          <w:szCs w:val="28"/>
        </w:rPr>
      </w:pPr>
      <w:r w:rsidRPr="00B13828">
        <w:rPr>
          <w:rFonts w:ascii="Times New Roman" w:hAnsi="Times New Roman" w:cs="Times New Roman"/>
          <w:sz w:val="28"/>
          <w:szCs w:val="28"/>
        </w:rPr>
        <w:t>Другие возможности связаны с медицинскими онлайн-услугами, поскольку вирус стимулирует ускорение цифровой трансформации систем здравоохранения. Кроме того, создаются новые возможности для внедрения роботов, дистанционного обучения и электронной коммерции, а также развития</w:t>
      </w:r>
      <w:r>
        <w:rPr>
          <w:rFonts w:ascii="Times New Roman" w:hAnsi="Times New Roman" w:cs="Times New Roman"/>
          <w:sz w:val="28"/>
          <w:szCs w:val="28"/>
        </w:rPr>
        <w:t xml:space="preserve"> умных городов, сообщают в IDC.</w:t>
      </w:r>
    </w:p>
    <w:p w:rsidR="00B13828" w:rsidRPr="00B13828" w:rsidRDefault="00B13828" w:rsidP="00B13828">
      <w:pPr>
        <w:rPr>
          <w:rFonts w:ascii="Times New Roman" w:hAnsi="Times New Roman" w:cs="Times New Roman"/>
          <w:b/>
          <w:sz w:val="28"/>
          <w:szCs w:val="28"/>
        </w:rPr>
      </w:pPr>
      <w:r w:rsidRPr="00B13828">
        <w:rPr>
          <w:rFonts w:ascii="Times New Roman" w:hAnsi="Times New Roman" w:cs="Times New Roman"/>
          <w:b/>
          <w:sz w:val="28"/>
          <w:szCs w:val="28"/>
        </w:rPr>
        <w:t>Определены лидеры среди компаний-разработчиков цифровых продуктов</w:t>
      </w:r>
    </w:p>
    <w:p w:rsidR="00B13828" w:rsidRPr="00B13828" w:rsidRDefault="00B13828" w:rsidP="00B13828">
      <w:pPr>
        <w:rPr>
          <w:rFonts w:ascii="Times New Roman" w:hAnsi="Times New Roman" w:cs="Times New Roman"/>
          <w:sz w:val="28"/>
          <w:szCs w:val="28"/>
        </w:rPr>
      </w:pPr>
      <w:r w:rsidRPr="00B13828">
        <w:rPr>
          <w:rFonts w:ascii="Times New Roman" w:hAnsi="Times New Roman" w:cs="Times New Roman"/>
          <w:sz w:val="28"/>
          <w:szCs w:val="28"/>
        </w:rPr>
        <w:t xml:space="preserve">Компания </w:t>
      </w:r>
      <w:proofErr w:type="spellStart"/>
      <w:r w:rsidRPr="00B13828">
        <w:rPr>
          <w:rFonts w:ascii="Times New Roman" w:hAnsi="Times New Roman" w:cs="Times New Roman"/>
          <w:sz w:val="28"/>
          <w:szCs w:val="28"/>
        </w:rPr>
        <w:t>Forrester</w:t>
      </w:r>
      <w:proofErr w:type="spellEnd"/>
      <w:r w:rsidRPr="00B13828">
        <w:rPr>
          <w:rFonts w:ascii="Times New Roman" w:hAnsi="Times New Roman" w:cs="Times New Roman"/>
          <w:sz w:val="28"/>
          <w:szCs w:val="28"/>
        </w:rPr>
        <w:t xml:space="preserve"> 29 июля 2020 года представила "рейтинг наиболее эффективных компаний-разработчиков цифровых продуктов". В рамках комплексной оценки все участники оценивались по 29 критериям, в топ рейтинга попали 12 провайдеров: BCG, </w:t>
      </w:r>
      <w:proofErr w:type="spellStart"/>
      <w:r w:rsidRPr="00B13828">
        <w:rPr>
          <w:rFonts w:ascii="Times New Roman" w:hAnsi="Times New Roman" w:cs="Times New Roman"/>
          <w:sz w:val="28"/>
          <w:szCs w:val="28"/>
        </w:rPr>
        <w:t>Bresslergroup</w:t>
      </w:r>
      <w:proofErr w:type="spellEnd"/>
      <w:r w:rsidRPr="00B13828">
        <w:rPr>
          <w:rFonts w:ascii="Times New Roman" w:hAnsi="Times New Roman" w:cs="Times New Roman"/>
          <w:sz w:val="28"/>
          <w:szCs w:val="28"/>
        </w:rPr>
        <w:t xml:space="preserve">, </w:t>
      </w:r>
      <w:proofErr w:type="spellStart"/>
      <w:r w:rsidRPr="00B13828">
        <w:rPr>
          <w:rFonts w:ascii="Times New Roman" w:hAnsi="Times New Roman" w:cs="Times New Roman"/>
          <w:sz w:val="28"/>
          <w:szCs w:val="28"/>
        </w:rPr>
        <w:t>Cognizant</w:t>
      </w:r>
      <w:proofErr w:type="spellEnd"/>
      <w:r w:rsidRPr="00B13828">
        <w:rPr>
          <w:rFonts w:ascii="Times New Roman" w:hAnsi="Times New Roman" w:cs="Times New Roman"/>
          <w:sz w:val="28"/>
          <w:szCs w:val="28"/>
        </w:rPr>
        <w:t xml:space="preserve">, EPAM, </w:t>
      </w:r>
      <w:proofErr w:type="spellStart"/>
      <w:r w:rsidRPr="00B13828">
        <w:rPr>
          <w:rFonts w:ascii="Times New Roman" w:hAnsi="Times New Roman" w:cs="Times New Roman"/>
          <w:sz w:val="28"/>
          <w:szCs w:val="28"/>
        </w:rPr>
        <w:t>frog</w:t>
      </w:r>
      <w:proofErr w:type="spellEnd"/>
      <w:r w:rsidRPr="00B13828">
        <w:rPr>
          <w:rFonts w:ascii="Times New Roman" w:hAnsi="Times New Roman" w:cs="Times New Roman"/>
          <w:sz w:val="28"/>
          <w:szCs w:val="28"/>
        </w:rPr>
        <w:t xml:space="preserve">, </w:t>
      </w:r>
      <w:proofErr w:type="spellStart"/>
      <w:r w:rsidRPr="00B13828">
        <w:rPr>
          <w:rFonts w:ascii="Times New Roman" w:hAnsi="Times New Roman" w:cs="Times New Roman"/>
          <w:sz w:val="28"/>
          <w:szCs w:val="28"/>
        </w:rPr>
        <w:t>Harman</w:t>
      </w:r>
      <w:proofErr w:type="spellEnd"/>
      <w:r w:rsidRPr="00B13828">
        <w:rPr>
          <w:rFonts w:ascii="Times New Roman" w:hAnsi="Times New Roman" w:cs="Times New Roman"/>
          <w:sz w:val="28"/>
          <w:szCs w:val="28"/>
        </w:rPr>
        <w:t xml:space="preserve">, </w:t>
      </w:r>
      <w:proofErr w:type="spellStart"/>
      <w:r w:rsidRPr="00B13828">
        <w:rPr>
          <w:rFonts w:ascii="Times New Roman" w:hAnsi="Times New Roman" w:cs="Times New Roman"/>
          <w:sz w:val="28"/>
          <w:szCs w:val="28"/>
        </w:rPr>
        <w:t>Huge</w:t>
      </w:r>
      <w:proofErr w:type="spellEnd"/>
      <w:r w:rsidRPr="00B13828">
        <w:rPr>
          <w:rFonts w:ascii="Times New Roman" w:hAnsi="Times New Roman" w:cs="Times New Roman"/>
          <w:sz w:val="28"/>
          <w:szCs w:val="28"/>
        </w:rPr>
        <w:t xml:space="preserve">, </w:t>
      </w:r>
      <w:proofErr w:type="spellStart"/>
      <w:r w:rsidRPr="00B13828">
        <w:rPr>
          <w:rFonts w:ascii="Times New Roman" w:hAnsi="Times New Roman" w:cs="Times New Roman"/>
          <w:sz w:val="28"/>
          <w:szCs w:val="28"/>
        </w:rPr>
        <w:t>Slalom</w:t>
      </w:r>
      <w:proofErr w:type="spellEnd"/>
      <w:r w:rsidRPr="00B13828">
        <w:rPr>
          <w:rFonts w:ascii="Times New Roman" w:hAnsi="Times New Roman" w:cs="Times New Roman"/>
          <w:sz w:val="28"/>
          <w:szCs w:val="28"/>
        </w:rPr>
        <w:t xml:space="preserve">, </w:t>
      </w:r>
      <w:proofErr w:type="spellStart"/>
      <w:r w:rsidRPr="00B13828">
        <w:rPr>
          <w:rFonts w:ascii="Times New Roman" w:hAnsi="Times New Roman" w:cs="Times New Roman"/>
          <w:sz w:val="28"/>
          <w:szCs w:val="28"/>
        </w:rPr>
        <w:t>ThoughtWork</w:t>
      </w:r>
      <w:r>
        <w:rPr>
          <w:rFonts w:ascii="Times New Roman" w:hAnsi="Times New Roman" w:cs="Times New Roman"/>
          <w:sz w:val="28"/>
          <w:szCs w:val="28"/>
        </w:rPr>
        <w:t>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Virtusa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WillowTree</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Wipro</w:t>
      </w:r>
      <w:proofErr w:type="spellEnd"/>
      <w:r>
        <w:rPr>
          <w:rFonts w:ascii="Times New Roman" w:hAnsi="Times New Roman" w:cs="Times New Roman"/>
          <w:sz w:val="28"/>
          <w:szCs w:val="28"/>
        </w:rPr>
        <w:t>.</w:t>
      </w:r>
    </w:p>
    <w:p w:rsidR="00B13828" w:rsidRPr="00B13828" w:rsidRDefault="00B13828" w:rsidP="00B13828">
      <w:pPr>
        <w:rPr>
          <w:rFonts w:ascii="Times New Roman" w:hAnsi="Times New Roman" w:cs="Times New Roman"/>
          <w:sz w:val="28"/>
          <w:szCs w:val="28"/>
        </w:rPr>
      </w:pPr>
      <w:r w:rsidRPr="00B13828">
        <w:rPr>
          <w:rFonts w:ascii="Times New Roman" w:hAnsi="Times New Roman" w:cs="Times New Roman"/>
          <w:sz w:val="28"/>
          <w:szCs w:val="28"/>
        </w:rPr>
        <w:t xml:space="preserve">В рамках исследования особое внимание уделяется комплексности поддержки провайдерами создаваемого цифрового продукта. Таким образом, кроме качества собственно разрабатываемых решений оцениваются такие параметры, как процесс разработки продукта, апробация, время доставки на рынок, поддержка готового продукта, оценка удовлетворенности клиентов, формирование моделей </w:t>
      </w:r>
      <w:proofErr w:type="spellStart"/>
      <w:r w:rsidRPr="00B13828">
        <w:rPr>
          <w:rFonts w:ascii="Times New Roman" w:hAnsi="Times New Roman" w:cs="Times New Roman"/>
          <w:sz w:val="28"/>
          <w:szCs w:val="28"/>
        </w:rPr>
        <w:t>коммерсализации</w:t>
      </w:r>
      <w:proofErr w:type="spellEnd"/>
      <w:r w:rsidRPr="00B13828">
        <w:rPr>
          <w:rFonts w:ascii="Times New Roman" w:hAnsi="Times New Roman" w:cs="Times New Roman"/>
          <w:sz w:val="28"/>
          <w:szCs w:val="28"/>
        </w:rPr>
        <w:t xml:space="preserve"> и развития продукта и многие другие. Одним из условий включения в рейтинг стал обязательный запуск как минимум одного нового цифро</w:t>
      </w:r>
      <w:r>
        <w:rPr>
          <w:rFonts w:ascii="Times New Roman" w:hAnsi="Times New Roman" w:cs="Times New Roman"/>
          <w:sz w:val="28"/>
          <w:szCs w:val="28"/>
        </w:rPr>
        <w:t>вого продукта в 2019 году.</w:t>
      </w:r>
    </w:p>
    <w:p w:rsidR="00B13828" w:rsidRPr="00B13828" w:rsidRDefault="00B13828" w:rsidP="00B13828">
      <w:pPr>
        <w:rPr>
          <w:rFonts w:ascii="Times New Roman" w:hAnsi="Times New Roman" w:cs="Times New Roman"/>
          <w:sz w:val="28"/>
          <w:szCs w:val="28"/>
        </w:rPr>
      </w:pPr>
      <w:r w:rsidRPr="00B13828">
        <w:rPr>
          <w:rFonts w:ascii="Times New Roman" w:hAnsi="Times New Roman" w:cs="Times New Roman"/>
          <w:sz w:val="28"/>
          <w:szCs w:val="28"/>
        </w:rPr>
        <w:t>Все критерии оценки были сгруппированы в три группы высокого уровня: качество предл</w:t>
      </w:r>
      <w:r>
        <w:rPr>
          <w:rFonts w:ascii="Times New Roman" w:hAnsi="Times New Roman" w:cs="Times New Roman"/>
          <w:sz w:val="28"/>
          <w:szCs w:val="28"/>
        </w:rPr>
        <w:t>ожения, стратегия и доля рынка.</w:t>
      </w:r>
    </w:p>
    <w:p w:rsidR="00B13828" w:rsidRPr="000E1886" w:rsidRDefault="00B13828" w:rsidP="00B13828">
      <w:pPr>
        <w:rPr>
          <w:rFonts w:ascii="Times New Roman" w:hAnsi="Times New Roman" w:cs="Times New Roman"/>
          <w:sz w:val="28"/>
          <w:szCs w:val="28"/>
        </w:rPr>
      </w:pPr>
      <w:proofErr w:type="spellStart"/>
      <w:r w:rsidRPr="00B13828">
        <w:rPr>
          <w:rFonts w:ascii="Times New Roman" w:hAnsi="Times New Roman" w:cs="Times New Roman"/>
          <w:sz w:val="28"/>
          <w:szCs w:val="28"/>
        </w:rPr>
        <w:t>Forrester</w:t>
      </w:r>
      <w:proofErr w:type="spellEnd"/>
      <w:r w:rsidRPr="00B13828">
        <w:rPr>
          <w:rFonts w:ascii="Times New Roman" w:hAnsi="Times New Roman" w:cs="Times New Roman"/>
          <w:sz w:val="28"/>
          <w:szCs w:val="28"/>
        </w:rPr>
        <w:t xml:space="preserve"> определяет разработку цифрового продукта как совокупность сервисных возможностей, необходимых для разработки, проектирования и вывода на рынок, а также масштабирования нового цифрового продукта, который затем предлагается заказчиком своим клиентам. Для целей данного исследования в качестве «цифрового продукта» рассматриваются только такие, которые сами по себе могут быть объектом покупки итоговым </w:t>
      </w:r>
      <w:r w:rsidRPr="00B13828">
        <w:rPr>
          <w:rFonts w:ascii="Times New Roman" w:hAnsi="Times New Roman" w:cs="Times New Roman"/>
          <w:sz w:val="28"/>
          <w:szCs w:val="28"/>
        </w:rPr>
        <w:lastRenderedPageBreak/>
        <w:t>пользователем. Так, приложения могут считаться цифровым продуктом только в случае необходимости их оплаты потребителем или покупки на их базе контента, который н</w:t>
      </w:r>
      <w:bookmarkStart w:id="0" w:name="_GoBack"/>
      <w:bookmarkEnd w:id="0"/>
      <w:r w:rsidRPr="00B13828">
        <w:rPr>
          <w:rFonts w:ascii="Times New Roman" w:hAnsi="Times New Roman" w:cs="Times New Roman"/>
          <w:sz w:val="28"/>
          <w:szCs w:val="28"/>
        </w:rPr>
        <w:t xml:space="preserve">евозможно реализовать в другой форме или через другой канал, но не в тех случаях, </w:t>
      </w:r>
      <w:proofErr w:type="gramStart"/>
      <w:r w:rsidRPr="00B13828">
        <w:rPr>
          <w:rFonts w:ascii="Times New Roman" w:hAnsi="Times New Roman" w:cs="Times New Roman"/>
          <w:sz w:val="28"/>
          <w:szCs w:val="28"/>
        </w:rPr>
        <w:t>когда то</w:t>
      </w:r>
      <w:proofErr w:type="gramEnd"/>
      <w:r w:rsidRPr="00B13828">
        <w:rPr>
          <w:rFonts w:ascii="Times New Roman" w:hAnsi="Times New Roman" w:cs="Times New Roman"/>
          <w:sz w:val="28"/>
          <w:szCs w:val="28"/>
        </w:rPr>
        <w:t xml:space="preserve"> или иное приложение расширяет уже существовавшие ранее коммерческие возможности компании-клиента. (Например, приложение авиакомпании не является цифровым продуктом, а приложение онлайн-кинотеатра - является).</w:t>
      </w:r>
    </w:p>
    <w:sectPr w:rsidR="00B13828" w:rsidRPr="000E18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996"/>
    <w:rsid w:val="0002467C"/>
    <w:rsid w:val="000E1886"/>
    <w:rsid w:val="001C5996"/>
    <w:rsid w:val="00AC4DD3"/>
    <w:rsid w:val="00B13828"/>
    <w:rsid w:val="00B54BD6"/>
    <w:rsid w:val="00B729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9E3B98-FE52-4584-BB89-01160FBDA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90310">
      <w:bodyDiv w:val="1"/>
      <w:marLeft w:val="0"/>
      <w:marRight w:val="0"/>
      <w:marTop w:val="0"/>
      <w:marBottom w:val="0"/>
      <w:divBdr>
        <w:top w:val="none" w:sz="0" w:space="0" w:color="auto"/>
        <w:left w:val="none" w:sz="0" w:space="0" w:color="auto"/>
        <w:bottom w:val="none" w:sz="0" w:space="0" w:color="auto"/>
        <w:right w:val="none" w:sz="0" w:space="0" w:color="auto"/>
      </w:divBdr>
    </w:div>
    <w:div w:id="153226584">
      <w:bodyDiv w:val="1"/>
      <w:marLeft w:val="0"/>
      <w:marRight w:val="0"/>
      <w:marTop w:val="0"/>
      <w:marBottom w:val="0"/>
      <w:divBdr>
        <w:top w:val="none" w:sz="0" w:space="0" w:color="auto"/>
        <w:left w:val="none" w:sz="0" w:space="0" w:color="auto"/>
        <w:bottom w:val="none" w:sz="0" w:space="0" w:color="auto"/>
        <w:right w:val="none" w:sz="0" w:space="0" w:color="auto"/>
      </w:divBdr>
    </w:div>
    <w:div w:id="256400614">
      <w:bodyDiv w:val="1"/>
      <w:marLeft w:val="0"/>
      <w:marRight w:val="0"/>
      <w:marTop w:val="0"/>
      <w:marBottom w:val="0"/>
      <w:divBdr>
        <w:top w:val="none" w:sz="0" w:space="0" w:color="auto"/>
        <w:left w:val="none" w:sz="0" w:space="0" w:color="auto"/>
        <w:bottom w:val="none" w:sz="0" w:space="0" w:color="auto"/>
        <w:right w:val="none" w:sz="0" w:space="0" w:color="auto"/>
      </w:divBdr>
    </w:div>
    <w:div w:id="412318767">
      <w:bodyDiv w:val="1"/>
      <w:marLeft w:val="0"/>
      <w:marRight w:val="0"/>
      <w:marTop w:val="0"/>
      <w:marBottom w:val="0"/>
      <w:divBdr>
        <w:top w:val="none" w:sz="0" w:space="0" w:color="auto"/>
        <w:left w:val="none" w:sz="0" w:space="0" w:color="auto"/>
        <w:bottom w:val="none" w:sz="0" w:space="0" w:color="auto"/>
        <w:right w:val="none" w:sz="0" w:space="0" w:color="auto"/>
      </w:divBdr>
      <w:divsChild>
        <w:div w:id="1165128584">
          <w:marLeft w:val="0"/>
          <w:marRight w:val="0"/>
          <w:marTop w:val="0"/>
          <w:marBottom w:val="120"/>
          <w:divBdr>
            <w:top w:val="single" w:sz="2" w:space="0" w:color="auto"/>
            <w:left w:val="single" w:sz="2" w:space="0" w:color="auto"/>
            <w:bottom w:val="single" w:sz="2" w:space="0" w:color="auto"/>
            <w:right w:val="single" w:sz="2" w:space="0" w:color="auto"/>
          </w:divBdr>
          <w:divsChild>
            <w:div w:id="1636327356">
              <w:marLeft w:val="0"/>
              <w:marRight w:val="0"/>
              <w:marTop w:val="0"/>
              <w:marBottom w:val="0"/>
              <w:divBdr>
                <w:top w:val="none" w:sz="0" w:space="0" w:color="auto"/>
                <w:left w:val="none" w:sz="0" w:space="0" w:color="auto"/>
                <w:bottom w:val="none" w:sz="0" w:space="0" w:color="auto"/>
                <w:right w:val="none" w:sz="0" w:space="0" w:color="auto"/>
              </w:divBdr>
            </w:div>
          </w:divsChild>
        </w:div>
        <w:div w:id="161244742">
          <w:marLeft w:val="0"/>
          <w:marRight w:val="0"/>
          <w:marTop w:val="0"/>
          <w:marBottom w:val="120"/>
          <w:divBdr>
            <w:top w:val="single" w:sz="2" w:space="0" w:color="auto"/>
            <w:left w:val="single" w:sz="2" w:space="0" w:color="auto"/>
            <w:bottom w:val="single" w:sz="2" w:space="0" w:color="auto"/>
            <w:right w:val="single" w:sz="2" w:space="0" w:color="auto"/>
          </w:divBdr>
          <w:divsChild>
            <w:div w:id="1523930215">
              <w:marLeft w:val="0"/>
              <w:marRight w:val="0"/>
              <w:marTop w:val="0"/>
              <w:marBottom w:val="0"/>
              <w:divBdr>
                <w:top w:val="none" w:sz="0" w:space="0" w:color="auto"/>
                <w:left w:val="none" w:sz="0" w:space="0" w:color="auto"/>
                <w:bottom w:val="none" w:sz="0" w:space="0" w:color="auto"/>
                <w:right w:val="none" w:sz="0" w:space="0" w:color="auto"/>
              </w:divBdr>
            </w:div>
          </w:divsChild>
        </w:div>
        <w:div w:id="1087386643">
          <w:marLeft w:val="0"/>
          <w:marRight w:val="0"/>
          <w:marTop w:val="0"/>
          <w:marBottom w:val="75"/>
          <w:divBdr>
            <w:top w:val="none" w:sz="0" w:space="0" w:color="auto"/>
            <w:left w:val="none" w:sz="0" w:space="0" w:color="auto"/>
            <w:bottom w:val="none" w:sz="0" w:space="0" w:color="auto"/>
            <w:right w:val="none" w:sz="0" w:space="0" w:color="auto"/>
          </w:divBdr>
        </w:div>
        <w:div w:id="1480802925">
          <w:marLeft w:val="0"/>
          <w:marRight w:val="0"/>
          <w:marTop w:val="0"/>
          <w:marBottom w:val="75"/>
          <w:divBdr>
            <w:top w:val="none" w:sz="0" w:space="0" w:color="auto"/>
            <w:left w:val="none" w:sz="0" w:space="0" w:color="auto"/>
            <w:bottom w:val="none" w:sz="0" w:space="0" w:color="auto"/>
            <w:right w:val="none" w:sz="0" w:space="0" w:color="auto"/>
          </w:divBdr>
        </w:div>
        <w:div w:id="279144786">
          <w:marLeft w:val="0"/>
          <w:marRight w:val="0"/>
          <w:marTop w:val="0"/>
          <w:marBottom w:val="120"/>
          <w:divBdr>
            <w:top w:val="single" w:sz="2" w:space="0" w:color="auto"/>
            <w:left w:val="single" w:sz="2" w:space="0" w:color="auto"/>
            <w:bottom w:val="single" w:sz="2" w:space="0" w:color="auto"/>
            <w:right w:val="single" w:sz="2" w:space="0" w:color="auto"/>
          </w:divBdr>
        </w:div>
      </w:divsChild>
    </w:div>
    <w:div w:id="461269641">
      <w:bodyDiv w:val="1"/>
      <w:marLeft w:val="0"/>
      <w:marRight w:val="0"/>
      <w:marTop w:val="0"/>
      <w:marBottom w:val="0"/>
      <w:divBdr>
        <w:top w:val="none" w:sz="0" w:space="0" w:color="auto"/>
        <w:left w:val="none" w:sz="0" w:space="0" w:color="auto"/>
        <w:bottom w:val="none" w:sz="0" w:space="0" w:color="auto"/>
        <w:right w:val="none" w:sz="0" w:space="0" w:color="auto"/>
      </w:divBdr>
      <w:divsChild>
        <w:div w:id="107118214">
          <w:marLeft w:val="0"/>
          <w:marRight w:val="0"/>
          <w:marTop w:val="0"/>
          <w:marBottom w:val="120"/>
          <w:divBdr>
            <w:top w:val="single" w:sz="2" w:space="0" w:color="auto"/>
            <w:left w:val="single" w:sz="2" w:space="0" w:color="auto"/>
            <w:bottom w:val="single" w:sz="2" w:space="0" w:color="auto"/>
            <w:right w:val="single" w:sz="2" w:space="0" w:color="auto"/>
          </w:divBdr>
          <w:divsChild>
            <w:div w:id="431053577">
              <w:marLeft w:val="0"/>
              <w:marRight w:val="0"/>
              <w:marTop w:val="0"/>
              <w:marBottom w:val="0"/>
              <w:divBdr>
                <w:top w:val="none" w:sz="0" w:space="0" w:color="auto"/>
                <w:left w:val="none" w:sz="0" w:space="0" w:color="auto"/>
                <w:bottom w:val="none" w:sz="0" w:space="0" w:color="auto"/>
                <w:right w:val="none" w:sz="0" w:space="0" w:color="auto"/>
              </w:divBdr>
            </w:div>
          </w:divsChild>
        </w:div>
        <w:div w:id="1318531783">
          <w:marLeft w:val="0"/>
          <w:marRight w:val="0"/>
          <w:marTop w:val="0"/>
          <w:marBottom w:val="120"/>
          <w:divBdr>
            <w:top w:val="single" w:sz="2" w:space="0" w:color="auto"/>
            <w:left w:val="single" w:sz="2" w:space="0" w:color="auto"/>
            <w:bottom w:val="single" w:sz="2" w:space="0" w:color="auto"/>
            <w:right w:val="single" w:sz="2" w:space="0" w:color="auto"/>
          </w:divBdr>
          <w:divsChild>
            <w:div w:id="1654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52305">
      <w:bodyDiv w:val="1"/>
      <w:marLeft w:val="0"/>
      <w:marRight w:val="0"/>
      <w:marTop w:val="0"/>
      <w:marBottom w:val="0"/>
      <w:divBdr>
        <w:top w:val="none" w:sz="0" w:space="0" w:color="auto"/>
        <w:left w:val="none" w:sz="0" w:space="0" w:color="auto"/>
        <w:bottom w:val="none" w:sz="0" w:space="0" w:color="auto"/>
        <w:right w:val="none" w:sz="0" w:space="0" w:color="auto"/>
      </w:divBdr>
    </w:div>
    <w:div w:id="741635173">
      <w:bodyDiv w:val="1"/>
      <w:marLeft w:val="0"/>
      <w:marRight w:val="0"/>
      <w:marTop w:val="0"/>
      <w:marBottom w:val="0"/>
      <w:divBdr>
        <w:top w:val="none" w:sz="0" w:space="0" w:color="auto"/>
        <w:left w:val="none" w:sz="0" w:space="0" w:color="auto"/>
        <w:bottom w:val="none" w:sz="0" w:space="0" w:color="auto"/>
        <w:right w:val="none" w:sz="0" w:space="0" w:color="auto"/>
      </w:divBdr>
      <w:divsChild>
        <w:div w:id="1070270632">
          <w:marLeft w:val="0"/>
          <w:marRight w:val="0"/>
          <w:marTop w:val="0"/>
          <w:marBottom w:val="120"/>
          <w:divBdr>
            <w:top w:val="single" w:sz="2" w:space="0" w:color="auto"/>
            <w:left w:val="single" w:sz="2" w:space="0" w:color="auto"/>
            <w:bottom w:val="single" w:sz="2" w:space="0" w:color="auto"/>
            <w:right w:val="single" w:sz="2" w:space="0" w:color="auto"/>
          </w:divBdr>
          <w:divsChild>
            <w:div w:id="1823622868">
              <w:marLeft w:val="0"/>
              <w:marRight w:val="0"/>
              <w:marTop w:val="100"/>
              <w:marBottom w:val="100"/>
              <w:divBdr>
                <w:top w:val="none" w:sz="0" w:space="0" w:color="auto"/>
                <w:left w:val="none" w:sz="0" w:space="0" w:color="auto"/>
                <w:bottom w:val="none" w:sz="0" w:space="0" w:color="auto"/>
                <w:right w:val="none" w:sz="0" w:space="0" w:color="auto"/>
              </w:divBdr>
            </w:div>
          </w:divsChild>
        </w:div>
        <w:div w:id="422265251">
          <w:marLeft w:val="0"/>
          <w:marRight w:val="0"/>
          <w:marTop w:val="0"/>
          <w:marBottom w:val="120"/>
          <w:divBdr>
            <w:top w:val="single" w:sz="2" w:space="0" w:color="auto"/>
            <w:left w:val="single" w:sz="2" w:space="0" w:color="auto"/>
            <w:bottom w:val="single" w:sz="2" w:space="0" w:color="auto"/>
            <w:right w:val="single" w:sz="2" w:space="0" w:color="auto"/>
          </w:divBdr>
          <w:divsChild>
            <w:div w:id="81398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1849">
      <w:bodyDiv w:val="1"/>
      <w:marLeft w:val="0"/>
      <w:marRight w:val="0"/>
      <w:marTop w:val="0"/>
      <w:marBottom w:val="0"/>
      <w:divBdr>
        <w:top w:val="none" w:sz="0" w:space="0" w:color="auto"/>
        <w:left w:val="none" w:sz="0" w:space="0" w:color="auto"/>
        <w:bottom w:val="none" w:sz="0" w:space="0" w:color="auto"/>
        <w:right w:val="none" w:sz="0" w:space="0" w:color="auto"/>
      </w:divBdr>
    </w:div>
    <w:div w:id="986082656">
      <w:bodyDiv w:val="1"/>
      <w:marLeft w:val="0"/>
      <w:marRight w:val="0"/>
      <w:marTop w:val="0"/>
      <w:marBottom w:val="0"/>
      <w:divBdr>
        <w:top w:val="none" w:sz="0" w:space="0" w:color="auto"/>
        <w:left w:val="none" w:sz="0" w:space="0" w:color="auto"/>
        <w:bottom w:val="none" w:sz="0" w:space="0" w:color="auto"/>
        <w:right w:val="none" w:sz="0" w:space="0" w:color="auto"/>
      </w:divBdr>
    </w:div>
    <w:div w:id="1070421171">
      <w:bodyDiv w:val="1"/>
      <w:marLeft w:val="0"/>
      <w:marRight w:val="0"/>
      <w:marTop w:val="0"/>
      <w:marBottom w:val="0"/>
      <w:divBdr>
        <w:top w:val="none" w:sz="0" w:space="0" w:color="auto"/>
        <w:left w:val="none" w:sz="0" w:space="0" w:color="auto"/>
        <w:bottom w:val="none" w:sz="0" w:space="0" w:color="auto"/>
        <w:right w:val="none" w:sz="0" w:space="0" w:color="auto"/>
      </w:divBdr>
      <w:divsChild>
        <w:div w:id="1074741341">
          <w:marLeft w:val="0"/>
          <w:marRight w:val="0"/>
          <w:marTop w:val="0"/>
          <w:marBottom w:val="120"/>
          <w:divBdr>
            <w:top w:val="single" w:sz="2" w:space="0" w:color="auto"/>
            <w:left w:val="single" w:sz="2" w:space="0" w:color="auto"/>
            <w:bottom w:val="single" w:sz="2" w:space="0" w:color="auto"/>
            <w:right w:val="single" w:sz="2" w:space="0" w:color="auto"/>
          </w:divBdr>
          <w:divsChild>
            <w:div w:id="10746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0632">
      <w:bodyDiv w:val="1"/>
      <w:marLeft w:val="0"/>
      <w:marRight w:val="0"/>
      <w:marTop w:val="0"/>
      <w:marBottom w:val="0"/>
      <w:divBdr>
        <w:top w:val="none" w:sz="0" w:space="0" w:color="auto"/>
        <w:left w:val="none" w:sz="0" w:space="0" w:color="auto"/>
        <w:bottom w:val="none" w:sz="0" w:space="0" w:color="auto"/>
        <w:right w:val="none" w:sz="0" w:space="0" w:color="auto"/>
      </w:divBdr>
    </w:div>
    <w:div w:id="1323775253">
      <w:bodyDiv w:val="1"/>
      <w:marLeft w:val="0"/>
      <w:marRight w:val="0"/>
      <w:marTop w:val="0"/>
      <w:marBottom w:val="0"/>
      <w:divBdr>
        <w:top w:val="none" w:sz="0" w:space="0" w:color="auto"/>
        <w:left w:val="none" w:sz="0" w:space="0" w:color="auto"/>
        <w:bottom w:val="none" w:sz="0" w:space="0" w:color="auto"/>
        <w:right w:val="none" w:sz="0" w:space="0" w:color="auto"/>
      </w:divBdr>
    </w:div>
    <w:div w:id="1398169665">
      <w:bodyDiv w:val="1"/>
      <w:marLeft w:val="0"/>
      <w:marRight w:val="0"/>
      <w:marTop w:val="0"/>
      <w:marBottom w:val="0"/>
      <w:divBdr>
        <w:top w:val="none" w:sz="0" w:space="0" w:color="auto"/>
        <w:left w:val="none" w:sz="0" w:space="0" w:color="auto"/>
        <w:bottom w:val="none" w:sz="0" w:space="0" w:color="auto"/>
        <w:right w:val="none" w:sz="0" w:space="0" w:color="auto"/>
      </w:divBdr>
      <w:divsChild>
        <w:div w:id="911355494">
          <w:marLeft w:val="0"/>
          <w:marRight w:val="0"/>
          <w:marTop w:val="0"/>
          <w:marBottom w:val="120"/>
          <w:divBdr>
            <w:top w:val="single" w:sz="2" w:space="0" w:color="auto"/>
            <w:left w:val="single" w:sz="2" w:space="0" w:color="auto"/>
            <w:bottom w:val="single" w:sz="2" w:space="0" w:color="auto"/>
            <w:right w:val="single" w:sz="2" w:space="0" w:color="auto"/>
          </w:divBdr>
          <w:divsChild>
            <w:div w:id="9671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9390">
      <w:bodyDiv w:val="1"/>
      <w:marLeft w:val="0"/>
      <w:marRight w:val="0"/>
      <w:marTop w:val="0"/>
      <w:marBottom w:val="0"/>
      <w:divBdr>
        <w:top w:val="none" w:sz="0" w:space="0" w:color="auto"/>
        <w:left w:val="none" w:sz="0" w:space="0" w:color="auto"/>
        <w:bottom w:val="none" w:sz="0" w:space="0" w:color="auto"/>
        <w:right w:val="none" w:sz="0" w:space="0" w:color="auto"/>
      </w:divBdr>
    </w:div>
    <w:div w:id="1474523543">
      <w:bodyDiv w:val="1"/>
      <w:marLeft w:val="0"/>
      <w:marRight w:val="0"/>
      <w:marTop w:val="0"/>
      <w:marBottom w:val="0"/>
      <w:divBdr>
        <w:top w:val="none" w:sz="0" w:space="0" w:color="auto"/>
        <w:left w:val="none" w:sz="0" w:space="0" w:color="auto"/>
        <w:bottom w:val="none" w:sz="0" w:space="0" w:color="auto"/>
        <w:right w:val="none" w:sz="0" w:space="0" w:color="auto"/>
      </w:divBdr>
    </w:div>
    <w:div w:id="1501000769">
      <w:bodyDiv w:val="1"/>
      <w:marLeft w:val="0"/>
      <w:marRight w:val="0"/>
      <w:marTop w:val="0"/>
      <w:marBottom w:val="0"/>
      <w:divBdr>
        <w:top w:val="none" w:sz="0" w:space="0" w:color="auto"/>
        <w:left w:val="none" w:sz="0" w:space="0" w:color="auto"/>
        <w:bottom w:val="none" w:sz="0" w:space="0" w:color="auto"/>
        <w:right w:val="none" w:sz="0" w:space="0" w:color="auto"/>
      </w:divBdr>
    </w:div>
    <w:div w:id="1706632823">
      <w:bodyDiv w:val="1"/>
      <w:marLeft w:val="0"/>
      <w:marRight w:val="0"/>
      <w:marTop w:val="0"/>
      <w:marBottom w:val="0"/>
      <w:divBdr>
        <w:top w:val="none" w:sz="0" w:space="0" w:color="auto"/>
        <w:left w:val="none" w:sz="0" w:space="0" w:color="auto"/>
        <w:bottom w:val="none" w:sz="0" w:space="0" w:color="auto"/>
        <w:right w:val="none" w:sz="0" w:space="0" w:color="auto"/>
      </w:divBdr>
      <w:divsChild>
        <w:div w:id="1424257425">
          <w:marLeft w:val="0"/>
          <w:marRight w:val="0"/>
          <w:marTop w:val="0"/>
          <w:marBottom w:val="75"/>
          <w:divBdr>
            <w:top w:val="none" w:sz="0" w:space="0" w:color="auto"/>
            <w:left w:val="none" w:sz="0" w:space="0" w:color="auto"/>
            <w:bottom w:val="none" w:sz="0" w:space="0" w:color="auto"/>
            <w:right w:val="none" w:sz="0" w:space="0" w:color="auto"/>
          </w:divBdr>
        </w:div>
      </w:divsChild>
    </w:div>
    <w:div w:id="1763986241">
      <w:bodyDiv w:val="1"/>
      <w:marLeft w:val="0"/>
      <w:marRight w:val="0"/>
      <w:marTop w:val="0"/>
      <w:marBottom w:val="0"/>
      <w:divBdr>
        <w:top w:val="none" w:sz="0" w:space="0" w:color="auto"/>
        <w:left w:val="none" w:sz="0" w:space="0" w:color="auto"/>
        <w:bottom w:val="none" w:sz="0" w:space="0" w:color="auto"/>
        <w:right w:val="none" w:sz="0" w:space="0" w:color="auto"/>
      </w:divBdr>
    </w:div>
    <w:div w:id="1896774968">
      <w:bodyDiv w:val="1"/>
      <w:marLeft w:val="0"/>
      <w:marRight w:val="0"/>
      <w:marTop w:val="0"/>
      <w:marBottom w:val="0"/>
      <w:divBdr>
        <w:top w:val="none" w:sz="0" w:space="0" w:color="auto"/>
        <w:left w:val="none" w:sz="0" w:space="0" w:color="auto"/>
        <w:bottom w:val="none" w:sz="0" w:space="0" w:color="auto"/>
        <w:right w:val="none" w:sz="0" w:space="0" w:color="auto"/>
      </w:divBdr>
    </w:div>
    <w:div w:id="1999458809">
      <w:bodyDiv w:val="1"/>
      <w:marLeft w:val="0"/>
      <w:marRight w:val="0"/>
      <w:marTop w:val="0"/>
      <w:marBottom w:val="0"/>
      <w:divBdr>
        <w:top w:val="none" w:sz="0" w:space="0" w:color="auto"/>
        <w:left w:val="none" w:sz="0" w:space="0" w:color="auto"/>
        <w:bottom w:val="none" w:sz="0" w:space="0" w:color="auto"/>
        <w:right w:val="none" w:sz="0" w:space="0" w:color="auto"/>
      </w:divBdr>
    </w:div>
    <w:div w:id="2045135211">
      <w:bodyDiv w:val="1"/>
      <w:marLeft w:val="0"/>
      <w:marRight w:val="0"/>
      <w:marTop w:val="0"/>
      <w:marBottom w:val="0"/>
      <w:divBdr>
        <w:top w:val="none" w:sz="0" w:space="0" w:color="auto"/>
        <w:left w:val="none" w:sz="0" w:space="0" w:color="auto"/>
        <w:bottom w:val="none" w:sz="0" w:space="0" w:color="auto"/>
        <w:right w:val="none" w:sz="0" w:space="0" w:color="auto"/>
      </w:divBdr>
      <w:divsChild>
        <w:div w:id="173230702">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15</Pages>
  <Words>4415</Words>
  <Characters>25168</Characters>
  <Application>Microsoft Office Word</Application>
  <DocSecurity>0</DocSecurity>
  <Lines>209</Lines>
  <Paragraphs>59</Paragraphs>
  <ScaleCrop>false</ScaleCrop>
  <Company/>
  <LinksUpToDate>false</LinksUpToDate>
  <CharactersWithSpaces>29524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2023-03-26T12:28:00Z</dcterms:created>
  <dcterms:modified xsi:type="dcterms:W3CDTF">2023-03-26T12:47:00Z</dcterms:modified>
</cp:coreProperties>
</file>