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Чистый приведенный доход: его свойства, методика расчета.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Внутренняя норма доходности: содержание, методика расчета.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Определение срока окупаемости инвестиций.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Время как фактор в финансовых расчетах.Принцип неравноценности денег во времени.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Классификация процентов.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Формула наращения по простым процентам.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Практика начисления простых процентов.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Простые переменные ставки.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Реинвестирование по простым процентным ставкам.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Банковский или коммерческий учёт.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Наращение по учётной ставке.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Сравнение ставки наращения и учётной ставки. Прямая и обратная задачи.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Совмещение начисления процентов по ставке наращения и дисконтирования по учётной ставке.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Формула наращения по сложным процентам.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Сравнение наращения по простым и сложным процентам.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Номинальная процентная ставка.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Эффективная процентная ставка.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Эквивалентные процентные ставки.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Конвертация валюты и начисление процентов.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Формула наращенной суммы с конвертацией валюты.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Потоки платежей и финансовые ренты(аннуитеты).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Финансовые ренты (аннуитеты) и их основные параметры.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Классификация финансовых рент.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Обобщенные параметры потоков платежей. Расчет современной стоимости постоянной p-срочной ренты постнумерандо.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Лизинг, как один из видов производственных инвестиций.  </w:t>
      </w:r>
    </w:p>
    <w:sectPr>
      <w:pgSz w:h="16834" w:w="11909" w:orient="portrait"/>
      <w:pgMar w:bottom="954.9737532808422" w:top="1440" w:left="1440" w:right="1540.866141732284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