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Calibri" w:hAnsi="Calibri" w:cs="Calibri"/>
          <w:sz w:val="24"/>
          <w:szCs w:val="24"/>
        </w:rPr>
        <w:t xml:space="preserve">Course Work Report</w:t>
      </w:r>
    </w:p>
    <w:p>
      <w:r>
        <w:rPr>
          <w:rFonts w:ascii="Calibri" w:hAnsi="Calibri" w:cs="Calibri"/>
          <w:sz w:val="24"/>
          <w:szCs w:val="24"/>
        </w:rPr>
        <w:t xml:space="preserve">Semester: 6</w:t>
      </w:r>
    </w:p>
    <w:p/>
    <w:p>
      <w:r>
        <w:rPr>
          <w:rFonts w:ascii="Calibri" w:hAnsi="Calibri" w:cs="Calibri"/>
          <w:sz w:val="24"/>
          <w:szCs w:val="24"/>
        </w:rPr>
        <w:t xml:space="preserve">Introduction</w:t>
      </w:r>
    </w:p>
    <w:p>
      <w:r>
        <w:rPr>
          <w:rFonts w:ascii="Calibri" w:hAnsi="Calibri" w:cs="Calibri"/>
          <w:sz w:val="24"/>
          <w:szCs w:val="24"/>
        </w:rPr>
        <w:t xml:space="preserve">The report investigates architecture tradeoffs for scalable verification services in academic environments.</w:t>
      </w:r>
    </w:p>
    <w:p/>
    <w:p>
      <w:r>
        <w:rPr>
          <w:rFonts w:ascii="Calibri" w:hAnsi="Calibri" w:cs="Calibri"/>
          <w:sz w:val="24"/>
          <w:szCs w:val="24"/>
        </w:rPr>
        <w:t xml:space="preserve">Analysis</w:t>
      </w:r>
    </w:p>
    <w:p>
      <w:r>
        <w:rPr>
          <w:rFonts w:ascii="Calibri" w:hAnsi="Calibri" w:cs="Calibri"/>
          <w:sz w:val="24"/>
          <w:szCs w:val="24"/>
        </w:rPr>
        <w:t xml:space="preserve">Comparative analysis highlights latency and traceability tradeoffs across deterministic and hybrid approaches.</w:t>
      </w:r>
    </w:p>
    <w:p/>
    <w:p>
      <w:r>
        <w:rPr>
          <w:rFonts w:ascii="Calibri" w:hAnsi="Calibri" w:cs="Calibri"/>
          <w:sz w:val="24"/>
          <w:szCs w:val="24"/>
        </w:rPr>
        <w:t xml:space="preserve">Conclusion</w:t>
      </w:r>
    </w:p>
    <w:p>
      <w:r>
        <w:rPr>
          <w:rFonts w:ascii="Calibri" w:hAnsi="Calibri" w:cs="Calibri"/>
          <w:sz w:val="24"/>
          <w:szCs w:val="24"/>
        </w:rPr>
        <w:t xml:space="preserve">The selected architecture balances predictable execution, data integrity, and maintainable rule evolution.</w:t>
      </w:r>
    </w:p>
    <w:p/>
    <w:p>
      <w:r>
        <w:rPr>
          <w:rFonts w:ascii="Calibri" w:hAnsi="Calibri" w:cs="Calibri"/>
          <w:sz w:val="24"/>
          <w:szCs w:val="24"/>
        </w:rPr>
        <w:t xml:space="preserve">References</w:t>
      </w:r>
    </w:p>
    <w:p>
      <w:r>
        <w:rPr>
          <w:rFonts w:ascii="Calibri" w:hAnsi="Calibri" w:cs="Calibri"/>
          <w:sz w:val="24"/>
          <w:szCs w:val="24"/>
        </w:rPr>
        <w:t xml:space="preserve">[1] University architecture handbook, 2024.</w:t>
      </w:r>
    </w:p>
    <w:p>
      <w:r>
        <w:rPr>
          <w:rFonts w:ascii="Calibri" w:hAnsi="Calibri" w:cs="Calibri"/>
          <w:sz w:val="24"/>
          <w:szCs w:val="24"/>
        </w:rPr>
        <w:t xml:space="preserve">[2] Internal performance benchmark report, revision 3.</w:t>
      </w:r>
    </w:p>
    <w:p/>
    <w:sectPr>
      <w:pgSz w:w="11906" w:h="16838"/>
      <w:pgMar w:top="1440" w:right="1440" w:bottom="1440" w:left="1440" w:header="708" w:footer="708" w:gutter="0"/>
    </w:sectPr>
  </w:body>
</w:document>
</file>