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rFonts w:ascii="Times New Roman" w:hAnsi="Times New Roman" w:eastAsia="Times New Roman"/>
          <w:b/>
          <w:color w:val="000000"/>
          <w:sz w:val="32"/>
        </w:rPr>
        <w:t>Анализ стандартов документации</w:t>
      </w:r>
    </w:p>
    <w:p>
      <w:pPr>
        <w:spacing w:after="120"/>
        <w:ind w:firstLine="0"/>
        <w:jc w:val="center"/>
      </w:pPr>
      <w:r>
        <w:rPr>
          <w:rFonts w:ascii="Times New Roman" w:hAnsi="Times New Roman" w:eastAsia="Times New Roman"/>
          <w:b/>
          <w:color w:val="000000"/>
          <w:sz w:val="32"/>
        </w:rPr>
        <w:t>ГОСТ 19 и ГОСТ 34 и их современные аналоги</w:t>
      </w:r>
    </w:p>
    <w:p>
      <w:pPr>
        <w:spacing w:after="240"/>
        <w:ind w:firstLine="0"/>
        <w:jc w:val="center"/>
      </w:pPr>
      <w:r>
        <w:rPr>
          <w:rFonts w:ascii="Times New Roman" w:hAnsi="Times New Roman" w:eastAsia="Times New Roman"/>
          <w:b w:val="0"/>
          <w:color w:val="000000"/>
          <w:sz w:val="28"/>
        </w:rPr>
        <w:t>Курсовая работа «Информационная система учёта заявок сервисного центра»</w:t>
      </w:r>
    </w:p>
    <w:p>
      <w:pPr>
        <w:pStyle w:val="Heading1"/>
      </w:pPr>
      <w:r>
        <w:t>1. Зачем сопоставлять стандарты</w:t>
      </w:r>
    </w:p>
    <w:p>
      <w:r>
        <w:t>Курсовая описывает информационную систему, у которой есть программная часть: веб-API на Python (FastAPI). На такую работу одновременно смотрят два комплекта стандартов. ГОСТ 19 (Единая система программной документации, ЕСПД) задает документы на программу как на изделие. ГОСТ 34 задает документы на автоматизированную систему в целом: от технического задания до испытаний и руководства пользователя. Оба комплекта отвечают на один вопрос — что должно быть описано, чтобы систему можно было разработать, проверить и передать. Отличается носитель. В ЕСПД и ГОСТ 34 это бумажный или файловый комплект с фиксированными разделами. В текущей разработке те же роли выполняют репозиторий, Markdown, спецификация OpenAPI и автоматические тесты pytest.</w:t>
      </w:r>
    </w:p>
    <w:p>
      <w:r>
        <w:t>Ниже каждый классический документ сопоставлен с артефактом, который реально ведётся в этом репозитории или появится в пояснительной записке. Полный бумажный комплект по всем пунктам ГОСТ не воспроизводится: для курсовой достаточно сохранить назначение документа и выбрать современный носитель.</w:t>
      </w:r>
    </w:p>
    <w:p>
      <w:pPr>
        <w:pStyle w:val="Heading1"/>
      </w:pPr>
      <w:r>
        <w:t>2. Что требует ГОСТ 19</w:t>
      </w:r>
    </w:p>
    <w:p>
      <w:r>
        <w:t>ГОСТ 19.101-77 делит программные документы на эксплуатационные и документы, описывающие разработку. Для учебной системы учёта заявок существенны следующие.</w:t>
      </w:r>
    </w:p>
    <w:p>
      <w:r>
        <w:t>Техническое задание по ГОСТ 19.201-78 фиксирует основание для разработки, назначение программы, требования к функциям, входным и выходным данным, надёжности и составу документации. Пока тема курсовой зафиксирована в README и в описании репозитория, роль технического задания выполняют постановка в issue и этот комплект требований. Позже требования предметной области оформляются отдельным текстом пояснительной записки.</w:t>
      </w:r>
    </w:p>
    <w:p>
      <w:r>
        <w:t>Спецификация по ГОСТ 19.202-78 перечисляет состав программы и программных документов. В репозитории тот же перечень даёт файл requirements.txt вместе с деревом пакета Python: видно, из каких модулей состоит система и какие библиотеки она тянет.</w:t>
      </w:r>
    </w:p>
    <w:p>
      <w:r>
        <w:t>Текст программы по ГОСТ 19.401-78 — это исходный текст с комментариями. Его заменяет каталог исходников в Git. История коммитов добавляет то, чего не было в распечатке: кто и зачем менял конкретные строки.</w:t>
      </w:r>
    </w:p>
    <w:p>
      <w:r>
        <w:t>Описание программы по ГОСТ 19.402-78 рассказывает о назначении, логике и используемых методах. Для веб-API эту роль делят README, docstring публичных функций и документ OpenAPI, который Swagger UI показывает в браузере по адресу /docs. FastAPI собирает этот документ из аннотаций типов и описаний функций. Контракт эндпоинта не нужно переписывать вручную в отдельную таблицу, если он генерируется из кода.</w:t>
      </w:r>
    </w:p>
    <w:p>
      <w:r>
        <w:t>Пояснительная записка по ГОСТ 19.404-79 содержит обоснование решений, описание алгоритмов и ожидаемые технико-экономические показатели. В курсовой её носитель — документы Word в папке «КР». Этот файл как раз такой документ: он обосновывает, какие классические разделы чем заменены.</w:t>
      </w:r>
    </w:p>
    <w:p>
      <w:r>
        <w:t>Программа и методика испытаний по ГОСТ 19.301-79 задаёт объект, порядок и методы испытаний, а также тестовые примеры. Исполняемый аналог — каталог tests с pytest и файл конвейера .github/workflows/python.yml. Конвейер при каждом pull request ставит зависимости и прогоняет тесты. Это не отменяет ручную проверку Swagger, но убирает необходимость заново описывать команды проверки в отдельном бумажном разделе.</w:t>
      </w:r>
    </w:p>
    <w:p>
      <w:r>
        <w:t>Руководство системного программиста (ГОСТ 19.503-79) описывает установку и настройку среды. Ему соответствует отчёт об установке инструментов: версии Python, PostgreSQL, DBeaver и способ запуска API.</w:t>
      </w:r>
    </w:p>
    <w:p>
      <w:r>
        <w:t>Руководство программиста (ГОСТ 19.504-79) объясняет, как сопровождать программу. В репозитории это conventions.md: PEP 8, docstring, формат коммитов и правила веток.</w:t>
      </w:r>
    </w:p>
    <w:p>
      <w:r>
        <w:t>Руководство оператора (ГОСТ 19.505-79) объясняет действия пользователя. У API нет оконного интерфейса, поэтому роль руководства на текущем шаге выполняет Swagger UI: список операций, параметры и пример ответа. Когда появится клиентская часть, рядом ляжет отдельное руководство пользователя.</w:t>
      </w:r>
    </w:p>
    <w:p>
      <w:r>
        <w:t>Ведомость эксплуатационных документов (ГОСТ 19.507-79) — оглавление комплекта. Его заменяет содержание папки «КР» и раздел состава в README.</w:t>
      </w:r>
    </w:p>
    <w:p>
      <w:pPr>
        <w:pStyle w:val="Heading1"/>
      </w:pPr>
      <w:r>
        <w:t>3. Что требует ГОСТ 34</w:t>
      </w:r>
    </w:p>
    <w:p>
      <w:r>
        <w:t>ГОСТ 34 относится не к отдельной программе, а к автоматизированной системе. Учёт заявок — как раз такая система: в ней есть данные, роли пользователей и программный компонент. Поэтому рядом с ЕСПД смотрятся документы комплекса 34.</w:t>
      </w:r>
    </w:p>
    <w:p>
      <w:r>
        <w:t>ГОСТ 34.601-90 делит создание системы на стадии: исследование, техническое задание, эскизный и технический проекты, рабочая документация, ввод в действие, сопровождение. В итерационной разработке те же стадии не выбрасываются, а сжимаются в короткий цикл. Один issue — это кусок постановки, ветка feature и pull request — рабочая документация этого куска, зелёный прогон тестов — предварительное испытание. Для курсовой сознательно выбран объём MVP: система должна уметь базовый сценарий, а не закрывать все функции сервисного центра сразу.</w:t>
      </w:r>
    </w:p>
    <w:p>
      <w:r>
        <w:t>ГОСТ 34.602-89 задаёт состав технического задания на автоматизированную систему: характеристики объекта, цели, требования к функциям, видам обеспечения, составу работ и порядку контроля. Это более широкий документ, чем ТЗ по ГОСТ 19.201-78: кроме программы там есть информационное и организационное обеспечение. В проекте цель системы записана в README (регистрация заявки и смена статуса). Детальная постановка предметной области — отдельный текст пояснительной записки, а не файл исходника.</w:t>
      </w:r>
    </w:p>
    <w:p>
      <w:r>
        <w:t>ГОСТ 34.201-89 и руководящий документ РД 50-34.698-90 перечисляют конкретные документы на систему. Для этой курсовой важны три из них. Описание постановки задачи фиксирует, какие функции автоматизируются. Описание организации информационной базы фиксирует состав данных. Описание программного обеспечения фиксирует стек и функции программ. Руководство пользователя из того же комплекта совпадает по роли с руководством оператора ГОСТ 19.505-79.</w:t>
      </w:r>
    </w:p>
    <w:p>
      <w:r>
        <w:t>ГОСТ 34.603-92 делит испытания автоматизированной системы на предварительные, опытную эксплуатацию и приёмочные. Предварительным испытаниям соответствуют локальный запуск и тесты pytest. Приёмочным — проверка преподавателем открытого pull request и страницы Swagger. Отдельную программу и методику по форме ГОСТ имеет смысл писать в пояснительной записке, когда стабилизируется сценарий заявки. До этого момента методика уже исполняется конвейером, а не только обещается текстом.</w:t>
      </w:r>
    </w:p>
    <w:p>
      <w:pPr>
        <w:pStyle w:val="Heading1"/>
      </w:pPr>
      <w:r>
        <w:t>4. Сводное сопоставление</w:t>
      </w:r>
    </w:p>
    <w:p>
      <w:r>
        <w:t>Таблица сводит документ, стандарт и тот артефакт, которым этот документ заменён или дополнен в репозитории. Если артефакт ещё не создан, в последней колонке указано, на каком шаге он появляется.</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val="clear"/>
          </w:tcPr>
          <w:p>
            <w:pPr>
              <w:spacing w:after="40"/>
              <w:ind w:firstLine="0"/>
              <w:jc w:val="center"/>
            </w:pPr>
            <w:r/>
            <w:r>
              <w:rPr>
                <w:rFonts w:ascii="Times New Roman" w:hAnsi="Times New Roman" w:eastAsia="Times New Roman"/>
                <w:b/>
                <w:color w:val="000000"/>
                <w:sz w:val="24"/>
              </w:rPr>
              <w:t>Документ</w:t>
            </w:r>
          </w:p>
        </w:tc>
        <w:tc>
          <w:tcPr>
            <w:tcW w:type="dxa" w:w="3230"/>
            <w:shd w:fill="D9E2F3" w:val="clear"/>
          </w:tcPr>
          <w:p>
            <w:pPr>
              <w:spacing w:after="40"/>
              <w:ind w:firstLine="0"/>
              <w:jc w:val="center"/>
            </w:pPr>
            <w:r/>
            <w:r>
              <w:rPr>
                <w:rFonts w:ascii="Times New Roman" w:hAnsi="Times New Roman" w:eastAsia="Times New Roman"/>
                <w:b/>
                <w:color w:val="000000"/>
                <w:sz w:val="24"/>
              </w:rPr>
              <w:t>Стандарт</w:t>
            </w:r>
          </w:p>
        </w:tc>
        <w:tc>
          <w:tcPr>
            <w:tcW w:type="dxa" w:w="3230"/>
            <w:shd w:fill="D9E2F3" w:val="clear"/>
          </w:tcPr>
          <w:p>
            <w:pPr>
              <w:spacing w:after="40"/>
              <w:ind w:firstLine="0"/>
              <w:jc w:val="center"/>
            </w:pPr>
            <w:r/>
            <w:r>
              <w:rPr>
                <w:rFonts w:ascii="Times New Roman" w:hAnsi="Times New Roman" w:eastAsia="Times New Roman"/>
                <w:b/>
                <w:color w:val="000000"/>
                <w:sz w:val="24"/>
              </w:rPr>
              <w:t>Чем заменён в проекте</w:t>
            </w:r>
          </w:p>
        </w:tc>
      </w:tr>
      <w:tr>
        <w:tc>
          <w:tcPr>
            <w:tcW w:type="dxa" w:w="3230"/>
          </w:tcPr>
          <w:p>
            <w:pPr>
              <w:spacing w:after="40"/>
              <w:ind w:firstLine="0"/>
              <w:jc w:val="left"/>
            </w:pPr>
            <w:r/>
            <w:r>
              <w:rPr>
                <w:rFonts w:ascii="Times New Roman" w:hAnsi="Times New Roman" w:eastAsia="Times New Roman"/>
                <w:b w:val="0"/>
                <w:color w:val="000000"/>
                <w:sz w:val="22"/>
              </w:rPr>
              <w:t>Техническое задание на программу</w:t>
            </w:r>
          </w:p>
        </w:tc>
        <w:tc>
          <w:tcPr>
            <w:tcW w:type="dxa" w:w="3230"/>
          </w:tcPr>
          <w:p>
            <w:pPr>
              <w:spacing w:after="40"/>
              <w:ind w:firstLine="0"/>
              <w:jc w:val="left"/>
            </w:pPr>
            <w:r/>
            <w:r>
              <w:rPr>
                <w:rFonts w:ascii="Times New Roman" w:hAnsi="Times New Roman" w:eastAsia="Times New Roman"/>
                <w:b w:val="0"/>
                <w:color w:val="000000"/>
                <w:sz w:val="22"/>
              </w:rPr>
              <w:t>ГОСТ 19.201-78</w:t>
            </w:r>
          </w:p>
        </w:tc>
        <w:tc>
          <w:tcPr>
            <w:tcW w:type="dxa" w:w="3230"/>
          </w:tcPr>
          <w:p>
            <w:pPr>
              <w:spacing w:after="40"/>
              <w:ind w:firstLine="0"/>
              <w:jc w:val="left"/>
            </w:pPr>
            <w:r/>
            <w:r>
              <w:rPr>
                <w:rFonts w:ascii="Times New Roman" w:hAnsi="Times New Roman" w:eastAsia="Times New Roman"/>
                <w:b w:val="0"/>
                <w:color w:val="000000"/>
                <w:sz w:val="22"/>
              </w:rPr>
              <w:t>Issue с постановкой задачи, README с целью системы</w:t>
            </w:r>
          </w:p>
        </w:tc>
      </w:tr>
      <w:tr>
        <w:tc>
          <w:tcPr>
            <w:tcW w:type="dxa" w:w="3230"/>
          </w:tcPr>
          <w:p>
            <w:pPr>
              <w:spacing w:after="40"/>
              <w:ind w:firstLine="0"/>
              <w:jc w:val="left"/>
            </w:pPr>
            <w:r/>
            <w:r>
              <w:rPr>
                <w:rFonts w:ascii="Times New Roman" w:hAnsi="Times New Roman" w:eastAsia="Times New Roman"/>
                <w:b w:val="0"/>
                <w:color w:val="000000"/>
                <w:sz w:val="22"/>
              </w:rPr>
              <w:t>Техническое задание на АС</w:t>
            </w:r>
          </w:p>
        </w:tc>
        <w:tc>
          <w:tcPr>
            <w:tcW w:type="dxa" w:w="3230"/>
          </w:tcPr>
          <w:p>
            <w:pPr>
              <w:spacing w:after="40"/>
              <w:ind w:firstLine="0"/>
              <w:jc w:val="left"/>
            </w:pPr>
            <w:r/>
            <w:r>
              <w:rPr>
                <w:rFonts w:ascii="Times New Roman" w:hAnsi="Times New Roman" w:eastAsia="Times New Roman"/>
                <w:b w:val="0"/>
                <w:color w:val="000000"/>
                <w:sz w:val="22"/>
              </w:rPr>
              <w:t>ГОСТ 34.602-89</w:t>
            </w:r>
          </w:p>
        </w:tc>
        <w:tc>
          <w:tcPr>
            <w:tcW w:type="dxa" w:w="3230"/>
          </w:tcPr>
          <w:p>
            <w:pPr>
              <w:spacing w:after="40"/>
              <w:ind w:firstLine="0"/>
              <w:jc w:val="left"/>
            </w:pPr>
            <w:r/>
            <w:r>
              <w:rPr>
                <w:rFonts w:ascii="Times New Roman" w:hAnsi="Times New Roman" w:eastAsia="Times New Roman"/>
                <w:b w:val="0"/>
                <w:color w:val="000000"/>
                <w:sz w:val="22"/>
              </w:rPr>
              <w:t>Тот же текст плюс требования к данным и ролям в пояснительной записке</w:t>
            </w:r>
          </w:p>
        </w:tc>
      </w:tr>
      <w:tr>
        <w:tc>
          <w:tcPr>
            <w:tcW w:type="dxa" w:w="3230"/>
          </w:tcPr>
          <w:p>
            <w:pPr>
              <w:spacing w:after="40"/>
              <w:ind w:firstLine="0"/>
              <w:jc w:val="left"/>
            </w:pPr>
            <w:r/>
            <w:r>
              <w:rPr>
                <w:rFonts w:ascii="Times New Roman" w:hAnsi="Times New Roman" w:eastAsia="Times New Roman"/>
                <w:b w:val="0"/>
                <w:color w:val="000000"/>
                <w:sz w:val="22"/>
              </w:rPr>
              <w:t>Стадии создания</w:t>
            </w:r>
          </w:p>
        </w:tc>
        <w:tc>
          <w:tcPr>
            <w:tcW w:type="dxa" w:w="3230"/>
          </w:tcPr>
          <w:p>
            <w:pPr>
              <w:spacing w:after="40"/>
              <w:ind w:firstLine="0"/>
              <w:jc w:val="left"/>
            </w:pPr>
            <w:r/>
            <w:r>
              <w:rPr>
                <w:rFonts w:ascii="Times New Roman" w:hAnsi="Times New Roman" w:eastAsia="Times New Roman"/>
                <w:b w:val="0"/>
                <w:color w:val="000000"/>
                <w:sz w:val="22"/>
              </w:rPr>
              <w:t>ГОСТ 34.601-90</w:t>
            </w:r>
          </w:p>
        </w:tc>
        <w:tc>
          <w:tcPr>
            <w:tcW w:type="dxa" w:w="3230"/>
          </w:tcPr>
          <w:p>
            <w:pPr>
              <w:spacing w:after="40"/>
              <w:ind w:firstLine="0"/>
              <w:jc w:val="left"/>
            </w:pPr>
            <w:r/>
            <w:r>
              <w:rPr>
                <w:rFonts w:ascii="Times New Roman" w:hAnsi="Times New Roman" w:eastAsia="Times New Roman"/>
                <w:b w:val="0"/>
                <w:color w:val="000000"/>
                <w:sz w:val="22"/>
              </w:rPr>
              <w:t>Цикл issue → ветка feature/&lt;номер&gt; → pull request в master</w:t>
            </w:r>
          </w:p>
        </w:tc>
      </w:tr>
      <w:tr>
        <w:tc>
          <w:tcPr>
            <w:tcW w:type="dxa" w:w="3230"/>
          </w:tcPr>
          <w:p>
            <w:pPr>
              <w:spacing w:after="40"/>
              <w:ind w:firstLine="0"/>
              <w:jc w:val="left"/>
            </w:pPr>
            <w:r/>
            <w:r>
              <w:rPr>
                <w:rFonts w:ascii="Times New Roman" w:hAnsi="Times New Roman" w:eastAsia="Times New Roman"/>
                <w:b w:val="0"/>
                <w:color w:val="000000"/>
                <w:sz w:val="22"/>
              </w:rPr>
              <w:t>Спецификация</w:t>
            </w:r>
          </w:p>
        </w:tc>
        <w:tc>
          <w:tcPr>
            <w:tcW w:type="dxa" w:w="3230"/>
          </w:tcPr>
          <w:p>
            <w:pPr>
              <w:spacing w:after="40"/>
              <w:ind w:firstLine="0"/>
              <w:jc w:val="left"/>
            </w:pPr>
            <w:r/>
            <w:r>
              <w:rPr>
                <w:rFonts w:ascii="Times New Roman" w:hAnsi="Times New Roman" w:eastAsia="Times New Roman"/>
                <w:b w:val="0"/>
                <w:color w:val="000000"/>
                <w:sz w:val="22"/>
              </w:rPr>
              <w:t>ГОСТ 19.202-78</w:t>
            </w:r>
          </w:p>
        </w:tc>
        <w:tc>
          <w:tcPr>
            <w:tcW w:type="dxa" w:w="3230"/>
          </w:tcPr>
          <w:p>
            <w:pPr>
              <w:spacing w:after="40"/>
              <w:ind w:firstLine="0"/>
              <w:jc w:val="left"/>
            </w:pPr>
            <w:r/>
            <w:r>
              <w:rPr>
                <w:rFonts w:ascii="Times New Roman" w:hAnsi="Times New Roman" w:eastAsia="Times New Roman"/>
                <w:b w:val="0"/>
                <w:color w:val="000000"/>
                <w:sz w:val="22"/>
              </w:rPr>
              <w:t>requirements.txt и дерево пакета service_requests</w:t>
            </w:r>
          </w:p>
        </w:tc>
      </w:tr>
      <w:tr>
        <w:tc>
          <w:tcPr>
            <w:tcW w:type="dxa" w:w="3230"/>
          </w:tcPr>
          <w:p>
            <w:pPr>
              <w:spacing w:after="40"/>
              <w:ind w:firstLine="0"/>
              <w:jc w:val="left"/>
            </w:pPr>
            <w:r/>
            <w:r>
              <w:rPr>
                <w:rFonts w:ascii="Times New Roman" w:hAnsi="Times New Roman" w:eastAsia="Times New Roman"/>
                <w:b w:val="0"/>
                <w:color w:val="000000"/>
                <w:sz w:val="22"/>
              </w:rPr>
              <w:t>Текст программы</w:t>
            </w:r>
          </w:p>
        </w:tc>
        <w:tc>
          <w:tcPr>
            <w:tcW w:type="dxa" w:w="3230"/>
          </w:tcPr>
          <w:p>
            <w:pPr>
              <w:spacing w:after="40"/>
              <w:ind w:firstLine="0"/>
              <w:jc w:val="left"/>
            </w:pPr>
            <w:r/>
            <w:r>
              <w:rPr>
                <w:rFonts w:ascii="Times New Roman" w:hAnsi="Times New Roman" w:eastAsia="Times New Roman"/>
                <w:b w:val="0"/>
                <w:color w:val="000000"/>
                <w:sz w:val="22"/>
              </w:rPr>
              <w:t>ГОСТ 19.401-78</w:t>
            </w:r>
          </w:p>
        </w:tc>
        <w:tc>
          <w:tcPr>
            <w:tcW w:type="dxa" w:w="3230"/>
          </w:tcPr>
          <w:p>
            <w:pPr>
              <w:spacing w:after="40"/>
              <w:ind w:firstLine="0"/>
              <w:jc w:val="left"/>
            </w:pPr>
            <w:r/>
            <w:r>
              <w:rPr>
                <w:rFonts w:ascii="Times New Roman" w:hAnsi="Times New Roman" w:eastAsia="Times New Roman"/>
                <w:b w:val="0"/>
                <w:color w:val="000000"/>
                <w:sz w:val="22"/>
              </w:rPr>
              <w:t>Каталог исходников в Git</w:t>
            </w:r>
          </w:p>
        </w:tc>
      </w:tr>
      <w:tr>
        <w:tc>
          <w:tcPr>
            <w:tcW w:type="dxa" w:w="3230"/>
          </w:tcPr>
          <w:p>
            <w:pPr>
              <w:spacing w:after="40"/>
              <w:ind w:firstLine="0"/>
              <w:jc w:val="left"/>
            </w:pPr>
            <w:r/>
            <w:r>
              <w:rPr>
                <w:rFonts w:ascii="Times New Roman" w:hAnsi="Times New Roman" w:eastAsia="Times New Roman"/>
                <w:b w:val="0"/>
                <w:color w:val="000000"/>
                <w:sz w:val="22"/>
              </w:rPr>
              <w:t>Описание программы</w:t>
            </w:r>
          </w:p>
        </w:tc>
        <w:tc>
          <w:tcPr>
            <w:tcW w:type="dxa" w:w="3230"/>
          </w:tcPr>
          <w:p>
            <w:pPr>
              <w:spacing w:after="40"/>
              <w:ind w:firstLine="0"/>
              <w:jc w:val="left"/>
            </w:pPr>
            <w:r/>
            <w:r>
              <w:rPr>
                <w:rFonts w:ascii="Times New Roman" w:hAnsi="Times New Roman" w:eastAsia="Times New Roman"/>
                <w:b w:val="0"/>
                <w:color w:val="000000"/>
                <w:sz w:val="22"/>
              </w:rPr>
              <w:t>ГОСТ 19.402-78</w:t>
            </w:r>
          </w:p>
        </w:tc>
        <w:tc>
          <w:tcPr>
            <w:tcW w:type="dxa" w:w="3230"/>
          </w:tcPr>
          <w:p>
            <w:pPr>
              <w:spacing w:after="40"/>
              <w:ind w:firstLine="0"/>
              <w:jc w:val="left"/>
            </w:pPr>
            <w:r/>
            <w:r>
              <w:rPr>
                <w:rFonts w:ascii="Times New Roman" w:hAnsi="Times New Roman" w:eastAsia="Times New Roman"/>
                <w:b w:val="0"/>
                <w:color w:val="000000"/>
                <w:sz w:val="22"/>
              </w:rPr>
              <w:t>README, docstring, OpenAPI / Swagger на /docs</w:t>
            </w:r>
          </w:p>
        </w:tc>
      </w:tr>
      <w:tr>
        <w:tc>
          <w:tcPr>
            <w:tcW w:type="dxa" w:w="3230"/>
          </w:tcPr>
          <w:p>
            <w:pPr>
              <w:spacing w:after="40"/>
              <w:ind w:firstLine="0"/>
              <w:jc w:val="left"/>
            </w:pPr>
            <w:r/>
            <w:r>
              <w:rPr>
                <w:rFonts w:ascii="Times New Roman" w:hAnsi="Times New Roman" w:eastAsia="Times New Roman"/>
                <w:b w:val="0"/>
                <w:color w:val="000000"/>
                <w:sz w:val="22"/>
              </w:rPr>
              <w:t>Пояснительная записка</w:t>
            </w:r>
          </w:p>
        </w:tc>
        <w:tc>
          <w:tcPr>
            <w:tcW w:type="dxa" w:w="3230"/>
          </w:tcPr>
          <w:p>
            <w:pPr>
              <w:spacing w:after="40"/>
              <w:ind w:firstLine="0"/>
              <w:jc w:val="left"/>
            </w:pPr>
            <w:r/>
            <w:r>
              <w:rPr>
                <w:rFonts w:ascii="Times New Roman" w:hAnsi="Times New Roman" w:eastAsia="Times New Roman"/>
                <w:b w:val="0"/>
                <w:color w:val="000000"/>
                <w:sz w:val="22"/>
              </w:rPr>
              <w:t>ГОСТ 19.404-79</w:t>
            </w:r>
          </w:p>
        </w:tc>
        <w:tc>
          <w:tcPr>
            <w:tcW w:type="dxa" w:w="3230"/>
          </w:tcPr>
          <w:p>
            <w:pPr>
              <w:spacing w:after="40"/>
              <w:ind w:firstLine="0"/>
              <w:jc w:val="left"/>
            </w:pPr>
            <w:r/>
            <w:r>
              <w:rPr>
                <w:rFonts w:ascii="Times New Roman" w:hAnsi="Times New Roman" w:eastAsia="Times New Roman"/>
                <w:b w:val="0"/>
                <w:color w:val="000000"/>
                <w:sz w:val="22"/>
              </w:rPr>
              <w:t>Документы Word в папке КР</w:t>
            </w:r>
          </w:p>
        </w:tc>
      </w:tr>
      <w:tr>
        <w:tc>
          <w:tcPr>
            <w:tcW w:type="dxa" w:w="3230"/>
          </w:tcPr>
          <w:p>
            <w:pPr>
              <w:spacing w:after="40"/>
              <w:ind w:firstLine="0"/>
              <w:jc w:val="left"/>
            </w:pPr>
            <w:r/>
            <w:r>
              <w:rPr>
                <w:rFonts w:ascii="Times New Roman" w:hAnsi="Times New Roman" w:eastAsia="Times New Roman"/>
                <w:b w:val="0"/>
                <w:color w:val="000000"/>
                <w:sz w:val="22"/>
              </w:rPr>
              <w:t>Описание постановки задачи</w:t>
            </w:r>
          </w:p>
        </w:tc>
        <w:tc>
          <w:tcPr>
            <w:tcW w:type="dxa" w:w="3230"/>
          </w:tcPr>
          <w:p>
            <w:pPr>
              <w:spacing w:after="40"/>
              <w:ind w:firstLine="0"/>
              <w:jc w:val="left"/>
            </w:pPr>
            <w:r/>
            <w:r>
              <w:rPr>
                <w:rFonts w:ascii="Times New Roman" w:hAnsi="Times New Roman" w:eastAsia="Times New Roman"/>
                <w:b w:val="0"/>
                <w:color w:val="000000"/>
                <w:sz w:val="22"/>
              </w:rPr>
              <w:t>РД 50-34.698-90</w:t>
            </w:r>
          </w:p>
        </w:tc>
        <w:tc>
          <w:tcPr>
            <w:tcW w:type="dxa" w:w="3230"/>
          </w:tcPr>
          <w:p>
            <w:pPr>
              <w:spacing w:after="40"/>
              <w:ind w:firstLine="0"/>
              <w:jc w:val="left"/>
            </w:pPr>
            <w:r/>
            <w:r>
              <w:rPr>
                <w:rFonts w:ascii="Times New Roman" w:hAnsi="Times New Roman" w:eastAsia="Times New Roman"/>
                <w:b w:val="0"/>
                <w:color w:val="000000"/>
                <w:sz w:val="22"/>
              </w:rPr>
              <w:t>Раздел предметной области в пояснительной записке</w:t>
            </w:r>
          </w:p>
        </w:tc>
      </w:tr>
      <w:tr>
        <w:tc>
          <w:tcPr>
            <w:tcW w:type="dxa" w:w="3230"/>
          </w:tcPr>
          <w:p>
            <w:pPr>
              <w:spacing w:after="40"/>
              <w:ind w:firstLine="0"/>
              <w:jc w:val="left"/>
            </w:pPr>
            <w:r/>
            <w:r>
              <w:rPr>
                <w:rFonts w:ascii="Times New Roman" w:hAnsi="Times New Roman" w:eastAsia="Times New Roman"/>
                <w:b w:val="0"/>
                <w:color w:val="000000"/>
                <w:sz w:val="22"/>
              </w:rPr>
              <w:t>Описание информационной базы</w:t>
            </w:r>
          </w:p>
        </w:tc>
        <w:tc>
          <w:tcPr>
            <w:tcW w:type="dxa" w:w="3230"/>
          </w:tcPr>
          <w:p>
            <w:pPr>
              <w:spacing w:after="40"/>
              <w:ind w:firstLine="0"/>
              <w:jc w:val="left"/>
            </w:pPr>
            <w:r/>
            <w:r>
              <w:rPr>
                <w:rFonts w:ascii="Times New Roman" w:hAnsi="Times New Roman" w:eastAsia="Times New Roman"/>
                <w:b w:val="0"/>
                <w:color w:val="000000"/>
                <w:sz w:val="22"/>
              </w:rPr>
              <w:t>РД 50-34.698-90</w:t>
            </w:r>
          </w:p>
        </w:tc>
        <w:tc>
          <w:tcPr>
            <w:tcW w:type="dxa" w:w="3230"/>
          </w:tcPr>
          <w:p>
            <w:pPr>
              <w:spacing w:after="40"/>
              <w:ind w:firstLine="0"/>
              <w:jc w:val="left"/>
            </w:pPr>
            <w:r/>
            <w:r>
              <w:rPr>
                <w:rFonts w:ascii="Times New Roman" w:hAnsi="Times New Roman" w:eastAsia="Times New Roman"/>
                <w:b w:val="0"/>
                <w:color w:val="000000"/>
                <w:sz w:val="22"/>
              </w:rPr>
              <w:t>Схема PostgreSQL, когда появятся таблицы заявок</w:t>
            </w:r>
          </w:p>
        </w:tc>
      </w:tr>
      <w:tr>
        <w:tc>
          <w:tcPr>
            <w:tcW w:type="dxa" w:w="3230"/>
          </w:tcPr>
          <w:p>
            <w:pPr>
              <w:spacing w:after="40"/>
              <w:ind w:firstLine="0"/>
              <w:jc w:val="left"/>
            </w:pPr>
            <w:r/>
            <w:r>
              <w:rPr>
                <w:rFonts w:ascii="Times New Roman" w:hAnsi="Times New Roman" w:eastAsia="Times New Roman"/>
                <w:b w:val="0"/>
                <w:color w:val="000000"/>
                <w:sz w:val="22"/>
              </w:rPr>
              <w:t>Описание программного обеспечения</w:t>
            </w:r>
          </w:p>
        </w:tc>
        <w:tc>
          <w:tcPr>
            <w:tcW w:type="dxa" w:w="3230"/>
          </w:tcPr>
          <w:p>
            <w:pPr>
              <w:spacing w:after="40"/>
              <w:ind w:firstLine="0"/>
              <w:jc w:val="left"/>
            </w:pPr>
            <w:r/>
            <w:r>
              <w:rPr>
                <w:rFonts w:ascii="Times New Roman" w:hAnsi="Times New Roman" w:eastAsia="Times New Roman"/>
                <w:b w:val="0"/>
                <w:color w:val="000000"/>
                <w:sz w:val="22"/>
              </w:rPr>
              <w:t>РД 50-34.698-90</w:t>
            </w:r>
          </w:p>
        </w:tc>
        <w:tc>
          <w:tcPr>
            <w:tcW w:type="dxa" w:w="3230"/>
          </w:tcPr>
          <w:p>
            <w:pPr>
              <w:spacing w:after="40"/>
              <w:ind w:firstLine="0"/>
              <w:jc w:val="left"/>
            </w:pPr>
            <w:r/>
            <w:r>
              <w:rPr>
                <w:rFonts w:ascii="Times New Roman" w:hAnsi="Times New Roman" w:eastAsia="Times New Roman"/>
                <w:b w:val="0"/>
                <w:color w:val="000000"/>
                <w:sz w:val="22"/>
              </w:rPr>
              <w:t>README: Python, FastAPI, PostgreSQL, Swagger</w:t>
            </w:r>
          </w:p>
        </w:tc>
      </w:tr>
      <w:tr>
        <w:tc>
          <w:tcPr>
            <w:tcW w:type="dxa" w:w="3230"/>
          </w:tcPr>
          <w:p>
            <w:pPr>
              <w:spacing w:after="40"/>
              <w:ind w:firstLine="0"/>
              <w:jc w:val="left"/>
            </w:pPr>
            <w:r/>
            <w:r>
              <w:rPr>
                <w:rFonts w:ascii="Times New Roman" w:hAnsi="Times New Roman" w:eastAsia="Times New Roman"/>
                <w:b w:val="0"/>
                <w:color w:val="000000"/>
                <w:sz w:val="22"/>
              </w:rPr>
              <w:t>Программа и методика испытаний</w:t>
            </w:r>
          </w:p>
        </w:tc>
        <w:tc>
          <w:tcPr>
            <w:tcW w:type="dxa" w:w="3230"/>
          </w:tcPr>
          <w:p>
            <w:pPr>
              <w:spacing w:after="40"/>
              <w:ind w:firstLine="0"/>
              <w:jc w:val="left"/>
            </w:pPr>
            <w:r/>
            <w:r>
              <w:rPr>
                <w:rFonts w:ascii="Times New Roman" w:hAnsi="Times New Roman" w:eastAsia="Times New Roman"/>
                <w:b w:val="0"/>
                <w:color w:val="000000"/>
                <w:sz w:val="22"/>
              </w:rPr>
              <w:t>ГОСТ 19.301-79, ГОСТ 34.603-92</w:t>
            </w:r>
          </w:p>
        </w:tc>
        <w:tc>
          <w:tcPr>
            <w:tcW w:type="dxa" w:w="3230"/>
          </w:tcPr>
          <w:p>
            <w:pPr>
              <w:spacing w:after="40"/>
              <w:ind w:firstLine="0"/>
              <w:jc w:val="left"/>
            </w:pPr>
            <w:r/>
            <w:r>
              <w:rPr>
                <w:rFonts w:ascii="Times New Roman" w:hAnsi="Times New Roman" w:eastAsia="Times New Roman"/>
                <w:b w:val="0"/>
                <w:color w:val="000000"/>
                <w:sz w:val="22"/>
              </w:rPr>
              <w:t>Каталог tests и .github/workflows/python.yml</w:t>
            </w:r>
          </w:p>
        </w:tc>
      </w:tr>
      <w:tr>
        <w:tc>
          <w:tcPr>
            <w:tcW w:type="dxa" w:w="3230"/>
          </w:tcPr>
          <w:p>
            <w:pPr>
              <w:spacing w:after="40"/>
              <w:ind w:firstLine="0"/>
              <w:jc w:val="left"/>
            </w:pPr>
            <w:r/>
            <w:r>
              <w:rPr>
                <w:rFonts w:ascii="Times New Roman" w:hAnsi="Times New Roman" w:eastAsia="Times New Roman"/>
                <w:b w:val="0"/>
                <w:color w:val="000000"/>
                <w:sz w:val="22"/>
              </w:rPr>
              <w:t>Руководство системного программиста</w:t>
            </w:r>
          </w:p>
        </w:tc>
        <w:tc>
          <w:tcPr>
            <w:tcW w:type="dxa" w:w="3230"/>
          </w:tcPr>
          <w:p>
            <w:pPr>
              <w:spacing w:after="40"/>
              <w:ind w:firstLine="0"/>
              <w:jc w:val="left"/>
            </w:pPr>
            <w:r/>
            <w:r>
              <w:rPr>
                <w:rFonts w:ascii="Times New Roman" w:hAnsi="Times New Roman" w:eastAsia="Times New Roman"/>
                <w:b w:val="0"/>
                <w:color w:val="000000"/>
                <w:sz w:val="22"/>
              </w:rPr>
              <w:t>ГОСТ 19.503-79</w:t>
            </w:r>
          </w:p>
        </w:tc>
        <w:tc>
          <w:tcPr>
            <w:tcW w:type="dxa" w:w="3230"/>
          </w:tcPr>
          <w:p>
            <w:pPr>
              <w:spacing w:after="40"/>
              <w:ind w:firstLine="0"/>
              <w:jc w:val="left"/>
            </w:pPr>
            <w:r/>
            <w:r>
              <w:rPr>
                <w:rFonts w:ascii="Times New Roman" w:hAnsi="Times New Roman" w:eastAsia="Times New Roman"/>
                <w:b w:val="0"/>
                <w:color w:val="000000"/>
                <w:sz w:val="22"/>
              </w:rPr>
              <w:t>Отчёт об установке ПО</w:t>
            </w:r>
          </w:p>
        </w:tc>
      </w:tr>
      <w:tr>
        <w:tc>
          <w:tcPr>
            <w:tcW w:type="dxa" w:w="3230"/>
          </w:tcPr>
          <w:p>
            <w:pPr>
              <w:spacing w:after="40"/>
              <w:ind w:firstLine="0"/>
              <w:jc w:val="left"/>
            </w:pPr>
            <w:r/>
            <w:r>
              <w:rPr>
                <w:rFonts w:ascii="Times New Roman" w:hAnsi="Times New Roman" w:eastAsia="Times New Roman"/>
                <w:b w:val="0"/>
                <w:color w:val="000000"/>
                <w:sz w:val="22"/>
              </w:rPr>
              <w:t>Руководство программиста</w:t>
            </w:r>
          </w:p>
        </w:tc>
        <w:tc>
          <w:tcPr>
            <w:tcW w:type="dxa" w:w="3230"/>
          </w:tcPr>
          <w:p>
            <w:pPr>
              <w:spacing w:after="40"/>
              <w:ind w:firstLine="0"/>
              <w:jc w:val="left"/>
            </w:pPr>
            <w:r/>
            <w:r>
              <w:rPr>
                <w:rFonts w:ascii="Times New Roman" w:hAnsi="Times New Roman" w:eastAsia="Times New Roman"/>
                <w:b w:val="0"/>
                <w:color w:val="000000"/>
                <w:sz w:val="22"/>
              </w:rPr>
              <w:t>ГОСТ 19.504-79</w:t>
            </w:r>
          </w:p>
        </w:tc>
        <w:tc>
          <w:tcPr>
            <w:tcW w:type="dxa" w:w="3230"/>
          </w:tcPr>
          <w:p>
            <w:pPr>
              <w:spacing w:after="40"/>
              <w:ind w:firstLine="0"/>
              <w:jc w:val="left"/>
            </w:pPr>
            <w:r/>
            <w:r>
              <w:rPr>
                <w:rFonts w:ascii="Times New Roman" w:hAnsi="Times New Roman" w:eastAsia="Times New Roman"/>
                <w:b w:val="0"/>
                <w:color w:val="000000"/>
                <w:sz w:val="22"/>
              </w:rPr>
              <w:t>conventions.md и документ OpenAPI</w:t>
            </w:r>
          </w:p>
        </w:tc>
      </w:tr>
      <w:tr>
        <w:tc>
          <w:tcPr>
            <w:tcW w:type="dxa" w:w="3230"/>
          </w:tcPr>
          <w:p>
            <w:pPr>
              <w:spacing w:after="40"/>
              <w:ind w:firstLine="0"/>
              <w:jc w:val="left"/>
            </w:pPr>
            <w:r/>
            <w:r>
              <w:rPr>
                <w:rFonts w:ascii="Times New Roman" w:hAnsi="Times New Roman" w:eastAsia="Times New Roman"/>
                <w:b w:val="0"/>
                <w:color w:val="000000"/>
                <w:sz w:val="22"/>
              </w:rPr>
              <w:t>Руководство оператора / пользователя</w:t>
            </w:r>
          </w:p>
        </w:tc>
        <w:tc>
          <w:tcPr>
            <w:tcW w:type="dxa" w:w="3230"/>
          </w:tcPr>
          <w:p>
            <w:pPr>
              <w:spacing w:after="40"/>
              <w:ind w:firstLine="0"/>
              <w:jc w:val="left"/>
            </w:pPr>
            <w:r/>
            <w:r>
              <w:rPr>
                <w:rFonts w:ascii="Times New Roman" w:hAnsi="Times New Roman" w:eastAsia="Times New Roman"/>
                <w:b w:val="0"/>
                <w:color w:val="000000"/>
                <w:sz w:val="22"/>
              </w:rPr>
              <w:t>ГОСТ 19.505-79, РД 50-34.698-90</w:t>
            </w:r>
          </w:p>
        </w:tc>
        <w:tc>
          <w:tcPr>
            <w:tcW w:type="dxa" w:w="3230"/>
          </w:tcPr>
          <w:p>
            <w:pPr>
              <w:spacing w:after="40"/>
              <w:ind w:firstLine="0"/>
              <w:jc w:val="left"/>
            </w:pPr>
            <w:r/>
            <w:r>
              <w:rPr>
                <w:rFonts w:ascii="Times New Roman" w:hAnsi="Times New Roman" w:eastAsia="Times New Roman"/>
                <w:b w:val="0"/>
                <w:color w:val="000000"/>
                <w:sz w:val="22"/>
              </w:rPr>
              <w:t>Swagger UI (/docs), позже отдельное руководство</w:t>
            </w:r>
          </w:p>
        </w:tc>
      </w:tr>
      <w:tr>
        <w:tc>
          <w:tcPr>
            <w:tcW w:type="dxa" w:w="3230"/>
          </w:tcPr>
          <w:p>
            <w:pPr>
              <w:spacing w:after="40"/>
              <w:ind w:firstLine="0"/>
              <w:jc w:val="left"/>
            </w:pPr>
            <w:r/>
            <w:r>
              <w:rPr>
                <w:rFonts w:ascii="Times New Roman" w:hAnsi="Times New Roman" w:eastAsia="Times New Roman"/>
                <w:b w:val="0"/>
                <w:color w:val="000000"/>
                <w:sz w:val="22"/>
              </w:rPr>
              <w:t>Ведомость эксплуатационных документов</w:t>
            </w:r>
          </w:p>
        </w:tc>
        <w:tc>
          <w:tcPr>
            <w:tcW w:type="dxa" w:w="3230"/>
          </w:tcPr>
          <w:p>
            <w:pPr>
              <w:spacing w:after="40"/>
              <w:ind w:firstLine="0"/>
              <w:jc w:val="left"/>
            </w:pPr>
            <w:r/>
            <w:r>
              <w:rPr>
                <w:rFonts w:ascii="Times New Roman" w:hAnsi="Times New Roman" w:eastAsia="Times New Roman"/>
                <w:b w:val="0"/>
                <w:color w:val="000000"/>
                <w:sz w:val="22"/>
              </w:rPr>
              <w:t>ГОСТ 19.507-79</w:t>
            </w:r>
          </w:p>
        </w:tc>
        <w:tc>
          <w:tcPr>
            <w:tcW w:type="dxa" w:w="3230"/>
          </w:tcPr>
          <w:p>
            <w:pPr>
              <w:spacing w:after="40"/>
              <w:ind w:firstLine="0"/>
              <w:jc w:val="left"/>
            </w:pPr>
            <w:r/>
            <w:r>
              <w:rPr>
                <w:rFonts w:ascii="Times New Roman" w:hAnsi="Times New Roman" w:eastAsia="Times New Roman"/>
                <w:b w:val="0"/>
                <w:color w:val="000000"/>
                <w:sz w:val="22"/>
              </w:rPr>
              <w:t>Состав папки КР и README</w:t>
            </w:r>
          </w:p>
        </w:tc>
      </w:tr>
      <w:tr>
        <w:tc>
          <w:tcPr>
            <w:tcW w:type="dxa" w:w="3230"/>
          </w:tcPr>
          <w:p>
            <w:pPr>
              <w:spacing w:after="40"/>
              <w:ind w:firstLine="0"/>
              <w:jc w:val="left"/>
            </w:pPr>
            <w:r/>
            <w:r>
              <w:rPr>
                <w:rFonts w:ascii="Times New Roman" w:hAnsi="Times New Roman" w:eastAsia="Times New Roman"/>
                <w:b w:val="0"/>
                <w:color w:val="000000"/>
                <w:sz w:val="22"/>
              </w:rPr>
              <w:t>Виды и комплектность документов на АС</w:t>
            </w:r>
          </w:p>
        </w:tc>
        <w:tc>
          <w:tcPr>
            <w:tcW w:type="dxa" w:w="3230"/>
          </w:tcPr>
          <w:p>
            <w:pPr>
              <w:spacing w:after="40"/>
              <w:ind w:firstLine="0"/>
              <w:jc w:val="left"/>
            </w:pPr>
            <w:r/>
            <w:r>
              <w:rPr>
                <w:rFonts w:ascii="Times New Roman" w:hAnsi="Times New Roman" w:eastAsia="Times New Roman"/>
                <w:b w:val="0"/>
                <w:color w:val="000000"/>
                <w:sz w:val="22"/>
              </w:rPr>
              <w:t>ГОСТ 34.201-89</w:t>
            </w:r>
          </w:p>
        </w:tc>
        <w:tc>
          <w:tcPr>
            <w:tcW w:type="dxa" w:w="3230"/>
          </w:tcPr>
          <w:p>
            <w:pPr>
              <w:spacing w:after="40"/>
              <w:ind w:firstLine="0"/>
              <w:jc w:val="left"/>
            </w:pPr>
            <w:r/>
            <w:r>
              <w:rPr>
                <w:rFonts w:ascii="Times New Roman" w:hAnsi="Times New Roman" w:eastAsia="Times New Roman"/>
                <w:b w:val="0"/>
                <w:color w:val="000000"/>
                <w:sz w:val="22"/>
              </w:rPr>
              <w:t>Осознанный урезанный комплект: Markdown, OpenAPI, docx</w:t>
            </w:r>
          </w:p>
        </w:tc>
      </w:tr>
    </w:tbl>
    <w:p>
      <w:pPr>
        <w:spacing w:before="120" w:after="240"/>
        <w:ind w:firstLine="0"/>
        <w:jc w:val="center"/>
      </w:pPr>
      <w:r>
        <w:rPr>
          <w:rFonts w:ascii="Times New Roman" w:hAnsi="Times New Roman" w:eastAsia="Times New Roman"/>
          <w:b w:val="0"/>
          <w:color w:val="000000"/>
          <w:sz w:val="24"/>
        </w:rPr>
        <w:t>Таблица 1 — Сопоставление документов ГОСТ 19 / ГОСТ 34 с артефактами репозитория</w:t>
      </w:r>
    </w:p>
    <w:p>
      <w:pPr>
        <w:pStyle w:val="Heading1"/>
      </w:pPr>
      <w:r>
        <w:t>5. Что из этого следует для курсовой</w:t>
      </w:r>
    </w:p>
    <w:p>
      <w:r>
        <w:t>Стандарты не спорят с Git и Swagger. Они требуют, чтобы у системы были постановка, состав, исходный текст, описание поведения, инструкция по установке, инструкция для того, кто сопровождает код, инструкция для того, кто вызывает API, и способ проверки. Всё это в проекте есть или имеет заранее выбранное место.</w:t>
      </w:r>
    </w:p>
    <w:p>
      <w:r>
        <w:t>Рабочие договорённости команды хранятся в Markdown: так их видно в репозитории и в issue. Текст, который войдёт в пояснительную записку, хранится в Word в папке «КР», отдельно от кода, и помечен в .gitattributes как бинарный файл. Контракт HTTP API не дублируется таблицей в Word, пока его показывает OpenAPI: иначе два описания разъедутся. Испытания не остаются только главой записки: команда pytest выполняется и локально, и в GitHub Actions.</w:t>
      </w:r>
    </w:p>
    <w:p>
      <w:r>
        <w:t>Граница проведена так. ГОСТ 19 закрывает программный компонент (веб-API на FastAPI). ГОСТ 34 закрывает систему учёта заявок целиком, включая данные и будущих пользователей. Пока реализован каркас API, информационная база описана намерением подключить PostgreSQL, а не готовой схемой таблиц. Это честное состояние MVP, а не пропуск документа.</w:t>
      </w:r>
    </w:p>
    <w:p>
      <w:pPr>
        <w:pStyle w:val="Heading1"/>
      </w:pPr>
      <w:r>
        <w:t>6. Вывод</w:t>
      </w:r>
    </w:p>
    <w:p>
      <w:r>
        <w:t>Классический документ и современный артефакт совпадают по роли и расходятся по форме. Техническое задание остаётся постановкой задачи, но живёт в issue и README. Текст программы остаётся исходным текстом, но лежит в Git, а не в приложении к бумаге. Описание программы для API — это OpenAPI, который FastAPI отдаёт в Swagger UI. Методика испытаний — это тесты pytest, которые конвейер запускает сам. Пояснительная записка по-прежнему связный текст, и для неё в проекте выбраны файлы .docx. Такой набор покрывает назначение документов ГОСТ 19 и ГОСТ 34 без копирования устаревших бланков туда, где носитель уже другой.</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