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5953"/>
        <w:jc w:val="center"/>
        <w:spacing w:after="0" w:afterAutospacing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0" w:name="undefined"/>
      <w:r>
        <w:rPr>
          <w:rFonts w:ascii="Times New Roman" w:hAnsi="Times New Roman" w:eastAsia="Times New Roman" w:cs="Times New Roman"/>
          <w:sz w:val="28"/>
          <w:szCs w:val="28"/>
        </w:rPr>
      </w:r>
      <w:bookmarkEnd w:id="0"/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№2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right"/>
        <w:spacing w:after="0" w:afterAutospacing="0" w:line="240" w:lineRule="auto"/>
        <w:tabs>
          <w:tab w:val="left" w:pos="938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 постановлению Правительства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953"/>
        <w:jc w:val="center"/>
        <w:spacing w:after="0" w:afterAutospacing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Новосибирской области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953"/>
        <w:jc w:val="center"/>
        <w:spacing w:after="0" w:afterAutospacing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 _____________ №_______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953"/>
        <w:jc w:val="center"/>
        <w:spacing w:after="0" w:afterAutospacing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953"/>
        <w:jc w:val="center"/>
        <w:spacing w:after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953"/>
        <w:jc w:val="center"/>
        <w:spacing w:after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953"/>
        <w:jc w:val="center"/>
        <w:spacing w:after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  <w:highlight w:val="yellow"/>
        </w:rPr>
        <w:outlineLvl w:val="0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Приложение №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33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  <w:highlight w:val="yellow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  <w:highlight w:val="yellow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к государственной программе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Новосибирской области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«Жилищно-коммунальное хозяйство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ind w:left="0" w:firstLine="0"/>
        <w:jc w:val="right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  <w:t xml:space="preserve">Новосибирской области»</w:t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ind w:left="0" w:firstLine="540"/>
        <w:jc w:val="both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ind w:left="0" w:firstLine="0"/>
        <w:jc w:val="center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/>
          <w:i w:val="0"/>
          <w:strike w:val="0"/>
          <w:sz w:val="28"/>
          <w:szCs w:val="28"/>
          <w:highlight w:val="none"/>
        </w:rPr>
      </w:r>
      <w:r/>
    </w:p>
    <w:p>
      <w:pPr>
        <w:ind w:left="0" w:firstLine="0"/>
        <w:jc w:val="center"/>
        <w:spacing w:before="0" w:beforeAutospacing="0" w:after="0" w:line="240" w:lineRule="auto"/>
        <w:rPr>
          <w:rFonts w:ascii="Times New Roman" w:hAnsi="Times New Roman" w:eastAsia="Times New Roman" w:cs="Times New Roman"/>
          <w:b/>
          <w:bCs w:val="0"/>
          <w:i w:val="0"/>
          <w:strike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sz w:val="28"/>
          <w:szCs w:val="28"/>
        </w:rPr>
        <w:t xml:space="preserve">Порядок предоставления и распределения субсидий местным бюджетам на приобретение, доставку и монтаж блочно-модульных очистных сооружений государственной программы Новосибирской области «Жилищно-коммунальное хозяйство Новосибирской области»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 w:val="0"/>
          <w:i w:val="0"/>
          <w:strike w:val="0"/>
          <w:sz w:val="28"/>
          <w:szCs w:val="28"/>
          <w14:ligatures w14:val="none"/>
        </w:rPr>
      </w:r>
    </w:p>
    <w:p>
      <w:pPr>
        <w:ind w:left="0" w:firstLine="540"/>
        <w:jc w:val="both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ind w:left="0" w:firstLine="0"/>
        <w:jc w:val="center"/>
        <w:spacing w:before="0" w:beforeAutospacing="0" w:after="0" w:line="240" w:lineRule="auto"/>
        <w:rPr>
          <w:rFonts w:ascii="Times New Roman" w:hAnsi="Times New Roman" w:cs="Times New Roman"/>
          <w:b/>
          <w:i w:val="0"/>
          <w:strike w:val="0"/>
          <w:sz w:val="28"/>
          <w:szCs w:val="28"/>
        </w:rPr>
        <w:outlineLvl w:val="1"/>
      </w:pPr>
      <w:r>
        <w:rPr>
          <w:rFonts w:ascii="Times New Roman" w:hAnsi="Times New Roman" w:eastAsia="Times New Roman" w:cs="Times New Roman"/>
          <w:b/>
          <w:i w:val="0"/>
          <w:strike w:val="0"/>
          <w:sz w:val="28"/>
          <w:szCs w:val="28"/>
        </w:rPr>
        <w:t xml:space="preserve">I. Общие положения</w:t>
      </w:r>
      <w:r>
        <w:rPr>
          <w:rFonts w:ascii="Times New Roman" w:hAnsi="Times New Roman" w:cs="Times New Roman"/>
          <w:b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/>
          <w:i w:val="0"/>
          <w:strike w:val="0"/>
          <w:sz w:val="28"/>
          <w:szCs w:val="28"/>
        </w:rPr>
      </w:r>
    </w:p>
    <w:p>
      <w:pPr>
        <w:ind w:left="0" w:firstLine="540"/>
        <w:jc w:val="both"/>
        <w:spacing w:before="0" w:beforeAutospacing="0" w:after="0" w:line="240" w:lineRule="auto"/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  <w:r>
        <w:rPr>
          <w:rFonts w:ascii="Times New Roman" w:hAnsi="Times New Roman" w:cs="Times New Roman"/>
          <w:b w:val="0"/>
          <w:i w:val="0"/>
          <w:strike w:val="0"/>
          <w:sz w:val="28"/>
          <w:szCs w:val="28"/>
        </w:rPr>
      </w:r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астоящ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ий Порядок предоставления и распределения субсидий из областного бюджета Новосибирской области бюджетам муниципальных районов и округов Новосибирской области на приобретение, доставку и монтаж блочно-модульных очистных сооружений (далее – Порядок) регламен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ирует предоставление и расходование субсидий местным бюджетам из областного бюджета Новосибирской области (далее – субсидия) на софинансирование расходных обязательств муниципальных образований Новосибирской области (далее – муниципальные образования) в 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ках государственной программы Новосибирской области «Жилищно-коммунальное хозяйство Новосибирской области», связанных с приобретением, доставкой и монтажом блочно-модульных очистных сооружений (далее – БМОС) в населенных пунктах, не имеющих централизованны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 систем водоотведения либо имеющих изношенные и неэффективные очистные сооружения.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убсидия предоставляется в пределах бюджетных ассигнований и лимитов бюджетных обязательств, установленных министерству жилищно-коммунального хозяйства и энергетики Новосибирской области (далее – ГРБС) в соответствии с законом об областном бюджете Новосибир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ской области на соответствующий финансовый год и плановый период на реализацию данного направления расходов.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center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II. Целевое назначение субсидий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Ц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елью предоставления субсидий является улучшение экологической и санитарно-эпидемиологической обстановки в малых и отдаленных населенных пунктах Новосибирской области за счет обеспечения качественной очистки сточных вод путем внедрения современных модульных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технологий.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Субсидия предоставляется на: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а) приобретение блочно-модульных очистных сооружений, обеспечивающих очистку сточных вод до нормативов, установленных законодательством Российской Федерации в области охраны окружающей среды и санитарно-эпидемиологического благополучия населения;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б) доставку БМОС к месту эксплуатации на территории населенного пункта муниципального образования;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в) выполнение работ по монтажу, пуску и наладке БМОС, включая подключение к инженерным сетям, строительный контроль;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г) разработку (корректировку) проектной документации на размещение и подключение БМОС, проведение необходимых инженерных изысканий;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проведение государственной экспертизы проектной документации в случае, если в соответствии с Градостроительным кодексом Российской Федерации и заданием на проектирование блочно-модульные очистные сооружения отнесены к объектам капитального строительства,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проектная документация которых подлежит экспертизе;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е) устройство (подведение) необходимых инженерных сетей и коммуникаций (электроснабжение, при необходимости – водоснабжение и др.) для обеспечения функционирования БМОС.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center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III. Порядок распределения субсидий с учетом предельных уровней софинансирования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аспределение субсидий между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муниципальными районами и округами Новосибирской области (далее - получатели)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осуществляется на конкурсной основе в рамках мероприятий государственной программы Новосибирской области «Жилищно-коммунальное хозяйство Новосибирской области» на очередной финансовый год исходя из 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бъемов средств, выделенных на реализацию программных мероприятий из областного бюджета.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Критериями отбора получателей для предоставления субсидии являются: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а) отсутствие централизованной системы водоотведения в населенном пункте или степень износа действующих очистных сооружений более 70%, подтвержденная технической инвентаризацией.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б) численность населения, проживающего в зоне действия строящегося объекта, с приоритетом населенных пунктов с численностью от 100 до 3000 человек.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в) наличие сброса недостаточно очищенных или неочищенных сточных вод в водные объекты или на рельеф местности, подтвержденное данными экомониторинга или предписаниями надзорных органов.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г) уровень софинансирования расходов из местного бюджета. Приоритет отдается заявкам с долей собственных средств местного бюджета не менее 10% от общей стоимости мероприятия.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готовность к реализации проекта: наличие земельного участка с правом разрешенного использования для размещения очистных сооружений, утвержденной проектной документации (или готовность к ее разработке), положительного заключения государственной экологичес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кой экспертизы (при необходимости).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е) энергоэффективность и эксплуатационная надежность предлагаемых к приобретению БМОС (наличие сертификатов, срок гарантии производителя).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участия в конкурсном отборе получатели представляют в ГРБС до 1 июля года, предшествующего плановому году предоставления субсидии, следующие документы: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а) заявку;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б) копию муниципального правового акта, предусматривающего софинансирование мероприятия из местного бюджета;</w:t>
      </w:r>
      <w:r/>
    </w:p>
    <w:p>
      <w:pPr>
        <w:ind w:firstLine="709"/>
        <w:jc w:val="both"/>
        <w:spacing w:after="0" w:afterAutospacing="0" w:line="24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в) расчет потребности в субсидии с приложением сметных расчетов или рыночного обоснования стоимости БМОС и сопутствующих работ;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г) документы, подтверждающие соответствие критериям отбора, установленных в настоящем пункте Порядка  (технические паспорта, заключения, правоустанавливающие документы на землю и т.д.).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ГРБС на основании поступивших заявок формирует рейтинг получателей, применяя методику ранжирования, утвержденную приказом ГРБС.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Распределение субсидий местным бюджетам устанавливается законом Новосибирской области об областном бюджете на соответствующий год и плановый период.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center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IV. Порядок предоставления субсидий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240" w:lineRule="auto"/>
        <w:rPr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8. 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снованием для предоставления субсидии является соглашение о предоставлении субсидии, заключаемое между ГРБС и получателем в государственной интегрированной информационной системе управления общественными финансами «Элект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ронный бюджет», в соответствии с типовой формой, утвержденной министерством финансов и налоговой политики Новосибирской области.</w:t>
      </w:r>
      <w:r>
        <w:rPr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оглашение должно содержать в себе положения, указанные в пункте 8 Правил формирования, предоставления и распределения субсидий из областного бюджета Новосибирской области бюджетам муниципальных образований Новосибирской области, установленных постановление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Правительства Новосибирской области от 03.03.2020 № 40-п, а также условие о согласовании проекта муниципального контракта с Государственным казенным учреждением Новосибирской области «Проектная дирекция министерства жилищно-коммунального хозяйства и энерг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етики Новосибирской области»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 предоставлении субсидии местному бюджету на финансовое обеспечение расходных обязательств муниципальных образований, относящихся к вопросам местного значения городских и сельских поселений Новосибирской области (далее - поселения), в целях последующего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редоставления субсидий в бюджеты поселений за счет средств указанных субсидий, в соглашении о предоставлении субсидии в бюджет муниципального района устанавливаются предельные уровни софинансирования для консолидированного бюджета муниципального района, ко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торые не могут превышать предельные уровни софинансирования для бюджета муниципального района.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ровень софинансирования расходных обязательств муниципальных образований за счет средств субсидии равен уровню софинансирования, предусмотренному распоряжением Правительства Новосибирской области об установлении предельных уровней софинансирования на очере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дной финансовый год и плановый период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9. Условия предоставления субсидии являются: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словия, установленные в подпункте 2 пункта 7 Правил формирования, предоставления и распределения субсидий из областного бюджета Новосибирской области бюджетам муниципальных образований Новосибирской области, установленных постановлением Правительства Новос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ибирской области от 03.03.2020 № 40-п;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2) представление получателями ГРБС следующих документов в сроки, установленные в соглашении о предоставлении субсидии: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а) заявок на предоставление субсидии;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копий муниципальных контрактов (договоров), заключенных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нужд», направленных на достиже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ние цели, установленной в пункте 3 настоящего Порядка;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копии положительного заключения государственной экспертизы проектной документации в случае, если в соответствии с Градостроительным кодексом Российской Федерации и заданием на проектирование блочно-модульные очистные сооружения отнесены к объектам капита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льного строительства, проектная документация которых подлежит экспертизе; (для случаев финансирования разработки проектно-сметной документации);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копий документов, подтверждающих выполнение условий долевого софинансирования расходов за счет средств местного бюджета (софинансирование из местного бюджета может быть направлено в том числе на разработку, корректировку проектно-сметной документации и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рохождение ее экспертизы);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копий актов приемки выполненных работ (этапов работ) или копии распорядительных документов заказчика, обосновывающих необходимость авансирования поставщиков, подрядчиков, исполнителей по контрактам и гражданско-правовым договорам на поставку товаров, вып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олнение работ, оказание услуг;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3) обеспечение за счет средств местного бюджета устройства фундаментов (оснований) для размещения блочно-модульных очистных сооружений в соответствии с техническими требованиями поставщика (изготовителя) оборудования;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4) 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беспечение заключения муниципальных контрактов по результатам закупки товаров, работ и услуг для обеспечения муниципальных нужд в целях реализации мероприятий, указанных в настоящем Порядке, до даты, установленной в соглашении. Срок исполнения работ, услуг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поставки товаров, устанавливаемый муниципальными контрактами, согласовывается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Государственным казенным учреждением Новосибирской области «Проектная дирекция министерства жилищно-коммунального хозяйства и энергетики Новосибирской области»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При направлении ходатайства от администрации муниципального образования Новосибирской области заключение муниципальных контрактов продлевается на срок, согласованный с 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инистерством, в следующих случаях: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обжалование действий (бездействия) заказчика, и (или) комиссии по осуществлению закупок, и (или) оператора электронной площадки при осуществлении закупки товаров, работ, услуг в порядке, установленном законодательством Российской Федерации, при которых ср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ок заключения таких контрактов продлевается на срок указанного обжалования;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проведение повторного конкурса или новой закупки, если конкурс признан несостоявшимся по основаниям, предусмотренным законодательством Российской Федерации, при которых срок заключения таких контрактов продлевается на срок проведения конкурсных процедур;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5) представление справки от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Государственного казенного учреждения Новосибирской области «Проектная дирекция министерства жилищно-коммунального хозяйства и энергетики Новосибирской области»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подтверждающей объемы и соответствие выполненных работ проектно-сметной документации;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6) 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РБС перечисляет авансовый платеж при наличии условия авансового платежа в муниципальных контрактах (договорах, соглашениях) получателя, а также при предоставлении копии правового акта получателя, определяющего включение условия об авансовых платежах в муни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ципальные контракты (договоры, соглашения) с учетом права предусматривать авансовые платежи, закрепленного решением о бюджете конкретного муниципального образования. Размер аванса не должен превышать размер обеспечения исполнения контракта;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При реализации мероприятий, указанных в пункте 4 Порядка, муниципальными образованиями организовывается постоянное взаимодействие с Государственным казенным учреждением Новосибирской области «Проектная дирекция министерства жилищно-коммунального хозяйств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и энергетики Новосибирской области» в части организации приемки выполненных работ на основании заключенного Соглашения о взаимодействии между администрацией муниципального образования Новосибирской области и Государственным казенн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ым учреждением Новосибирской области «Проектная дирекция министерства жилищно-коммунального хозяйства и энергетики Новосибирской области».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11. ГРБС рассматривает представленную заявку на предоставление субсидии и принимает решение о предоставлении субсидии либо решение об отказе в предоставлении субсидии в течение двух рабочих дней со дня ее представления.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Основаниями для отказа в предоставлении субсидии являются: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1) непредставление (представление не в полном объеме либо с нарушением сроков) документов, указанных в подпункте 2 пункта 9 Порядка;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2) неисполнение условий предоставления субсидий, предусмотренных подпунктами 1, 3 - 6 пункта 9 Порядка.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2. В случае нарушения получателем условий предоставления субсидий, установленных пунктом 9 Порядка, ГРБС в течение двух рабочих дней со дня выявления нарушения направляет получателю уведомление об отказе в предоставлении субсидии с указанием оснований для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отказа.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13. Перечисление субсидий из областного бюджета местному бюджету осуществляется в сроки, установленные в соглашении, на основании заявок получателей, направляемых по форме, установленной в соглашении.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редставление получателем заявки, указанной в абзаце первом настоящего пункта, осуществляется при условии наличия неиспользованного остатка субсидий, предоставленных ранее на аналогичные цели, в объеме, не превышающем 5% от общего объема субсидий, запланиро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ванных к предоставлению в соответствующем финансовом году, или его отсутствия.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14. Условия расходования субсидии: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осуществление расходов производится с лицевых счетов получателей или с лицевых счетов муниципальных казенных учреждений, уполномоченных органами местного самоуправления, на основании муниципальных контрактов, гражданско-правовых договоров, заключенных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соответствии с действующим законодательством, актов выполненных работ, счетов-фактур с учетом авансовых платежей в размере, определенном действующим законодательством;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2) получатели вправе передавать субсидии и иные межбюджетные трансферты в бюджеты городских поселений, расположенных в границах соответствующих муниципальных районов, на цель, определенную пунктом 2 Порядка.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center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V. Результаты использования субсидий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15. Результатом использования субсидии является: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а) количество введенных в эксплуатацию блочно-модульных очистных сооружений в отчетном году;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б) объем сточных вод, очищенных до нормативных требований с использованием новых БМОС;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в) количество населенных пунктов, в которых улучшена экологическая обстановка за счет ликвидации сброса неочищенных стоков.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Значения показателей результата устанавливаются в соглашении о предоставлении субсидии.</w:t>
      </w:r>
      <w:r/>
    </w:p>
    <w:p>
      <w:pPr>
        <w:ind w:firstLine="709"/>
        <w:jc w:val="both"/>
        <w:spacing w:after="0" w:afterAutospacing="0" w:line="24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ind w:left="0" w:right="0" w:firstLine="709"/>
        <w:jc w:val="center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VI. Порядок оценки эффективности использования субсидий</w:t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16. Оценка эффективности использования субсидии осуществляется ГРБС на основе отчета о достижении показателя результата использования субсидии, представляемого получателем в сроки, установленные в соглашении.</w:t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Критерием оценки эффективности использования субсидии является достижение показателя результата использования субсидии, установленного в пункте 15 Порядка.</w:t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В течение 30 календарных дней с момента представления получателем отчета о достижении показателя результата использования субсидии ГРБС готовит информацию о достижении (недостижении) получателем результата, указанного в пункте 15 Порядка.</w:t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орядок расчета объема средств, подлежащих возврату из местного бюджета в областной бюджет, в объеме субсидии, предоставленной местному бюджету в отчетном финансовом году, установлен в Правилах формирования, предоставления и распределения субсидий из област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ного бюджета Новосибирской области бюджетам муниципальных образований Новосибирской области, установленных постановлением Правительства Новосибирской области от 03.03.2020 № 40-п.</w:t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 случае если муниципальным образованием по состоянию на 31 декабря года, в котором местному бюджету предоставлена субсидия, допущены нарушения обязательств по достижению результатов использования субсидии, предусмотренных соглашением, и в срок до 1 апреля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г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ода, следующего за годом, в котором местному бюджету предоставлена субсидия, указанные нарушения не устранены, а также отсутствует решение об освобождении муниципального образования от применения мер ответственности за нарушения условий соглашения, средств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а субсидии подлежат возврату в областной бюджет в срок до 15 мая года, следующего за годом предоставления субсидии.</w:t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 случае если муниципальным образованием по состоянию на 31 декабря года, в котором местному бюджету предоставлена субсидия, допущены нарушения обязательств, предусмотренных соглашением по соблюдению установленного уровня софинансирования расходных обязател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ств муниципального образования, выраженного в процентах от объема бюджетных ассигнований на исполнение расходных обязательств муниципального образования, предусмотренных в местном бюджете, в целях софинансирования которых предоставляется субсидия, средства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 субсидии подлежат возврату в областной бюджет Новосибирской области в срок до 15 мая года, следующего за годом предоставления субсидии.</w:t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</w:r>
      <w:r/>
    </w:p>
    <w:p>
      <w:pPr>
        <w:ind w:left="0" w:right="0" w:firstLine="709"/>
        <w:jc w:val="center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VII. Основания и порядок применения мер ответственности</w:t>
      </w:r>
      <w:r/>
    </w:p>
    <w:p>
      <w:pPr>
        <w:ind w:left="0" w:right="0" w:firstLine="709"/>
        <w:jc w:val="center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за нарушения условий соглашений</w:t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17. ГРБС и органы государственного финансового контроля Новосибирской области осуществляют обязательную проверку соблюдения получателями условий, целей и результатов, установленных Порядком.</w:t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18. Остаток бюджетных средств, не использованный получателями в текущем финансовом году, подлежит возврату в областной бюджет в соответствии с бюджетным законодательством Российской Федерации и Новосибирской области.</w:t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19.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области.</w:t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20. Получатели несут ответственность за недостижение результата использования субсидии в соответствии с соглашением.</w:t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  <w:t xml:space="preserve">21. 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Федерации.</w:t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</w:r>
      <w:r/>
    </w:p>
    <w:p>
      <w:pPr>
        <w:ind w:left="0" w:right="0" w:firstLine="709"/>
        <w:jc w:val="both"/>
        <w:spacing w:before="0" w:beforeAutospacing="0" w:after="0" w:line="240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</w:r>
      <w:r/>
    </w:p>
    <w:p>
      <w:pPr>
        <w:ind w:left="0" w:right="0" w:firstLine="709"/>
        <w:jc w:val="both"/>
        <w:spacing w:before="0" w:beforeAutospacing="0"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sz w:val="28"/>
          <w:szCs w:val="28"/>
          <w14:ligatures w14:val="none"/>
        </w:rPr>
      </w:r>
    </w:p>
    <w:p>
      <w:pPr>
        <w:ind w:firstLine="0"/>
        <w:spacing w:after="0" w:afterAutospacing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0"/>
        <w:spacing w:after="0" w:afterAutospacing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0"/>
        <w:jc w:val="center"/>
        <w:spacing w:after="0" w:afterAutospacing="0" w:line="24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</w:t>
      </w:r>
      <w:r>
        <w:rPr>
          <w:b w:val="0"/>
          <w:bCs w:val="0"/>
        </w:rPr>
      </w:r>
      <w:hyperlink r:id="rId8" w:tooltip="https://login.consultant.ru/link/?req=doc&amp;base=RLAW049&amp;n=187264&amp;dst=161296" w:history="1">
        <w:r>
          <w:rPr>
            <w:rFonts w:ascii="Arial" w:hAnsi="Arial" w:eastAsia="Arial" w:cs="Arial"/>
            <w:b w:val="0"/>
            <w:bCs w:val="0"/>
            <w:i/>
            <w:strike w:val="0"/>
            <w:color w:val="0000ff"/>
            <w:sz w:val="16"/>
          </w:rPr>
          <w:br/>
        </w:r>
        <w:r>
          <w:rPr>
            <w:rFonts w:ascii="Arial" w:hAnsi="Arial" w:eastAsia="Arial" w:cs="Arial"/>
            <w:b/>
            <w:bCs/>
            <w:i/>
            <w:strike w:val="0"/>
            <w:color w:val="0000ff"/>
            <w:sz w:val="16"/>
          </w:rPr>
        </w:r>
      </w:hyperlink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567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link w:val="6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  <w:style w:type="paragraph" w:styleId="836" w:customStyle="1">
    <w:name w:val="ConsPlusNormal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2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37" w:customStyle="1">
    <w:name w:val="Normal (Web)"/>
    <w:basedOn w:val="677"/>
    <w:uiPriority w:val="99"/>
    <w:unhideWhenUsed/>
    <w:pPr>
      <w:contextualSpacing w:val="0"/>
      <w:ind w:left="0" w:right="0" w:firstLine="0"/>
      <w:jc w:val="left"/>
      <w:keepLines w:val="0"/>
      <w:keepNext w:val="0"/>
      <w:pageBreakBefore w:val="0"/>
      <w:spacing w:before="100" w:beforeAutospacing="1" w:after="100" w:afterAutospacing="1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login.consultant.ru/link/?req=doc&amp;base=RLAW049&amp;n=187264&amp;dst=16129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kolp@NSO.LOC</cp:lastModifiedBy>
  <cp:revision>14</cp:revision>
  <dcterms:modified xsi:type="dcterms:W3CDTF">2026-03-16T10:17:52Z</dcterms:modified>
</cp:coreProperties>
</file>