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  <w:outlineLvl w:val="0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№ 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постановлению Правительства Новосибирской области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5953"/>
        <w:jc w:val="center"/>
        <w:spacing w:before="0" w:beforeAutospacing="0" w:after="0" w:afterAutospacing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 _____________ №_______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Приложение №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34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к государственной программе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Новосибирской области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«Жилищно-коммунальное хозяйство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Новосибирской области»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pStyle w:val="88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3"/>
        <w:jc w:val="center"/>
        <w:spacing w:before="0" w:beforeAutospacing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Порядок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предоставления и распределения субсидий местным бюджетам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на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замену устаревшего отопительного оборудования на современное энергоэффективное и экологически безоп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асное отопительное оборудование отечественного производства 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государственной программы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Новосибирской област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и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Жилищно-коммунальное хозяйство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Новосибирской области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</w:p>
    <w:p>
      <w:pPr>
        <w:ind w:firstLine="540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pStyle w:val="882"/>
        <w:ind w:firstLine="709"/>
        <w:jc w:val="center"/>
        <w:spacing w:before="0" w:beforeAutospacing="0"/>
        <w:rPr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I. Общие положения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882"/>
        <w:ind w:firstLine="709"/>
        <w:jc w:val="both"/>
        <w:spacing w:before="0" w:beforeAutospacing="0"/>
        <w:rPr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Настоящий Порядок предоставления и распределения субсидий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замену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(далее - Порядок) регламентирует предоставлен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ие и расх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одование субсидий местным бюджетам муниципальных районов (округов) Новосибирской области (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далее - местные бюджеты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) из областного бюджета Новосибирской области (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далее - областной бюджет)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, в том числе источником которых являются средства федерального бюджета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в соответствии с государственной программ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ой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 Российской Федерации «Обеспечение доступным и комфортным жильем и коммунальными услугами граждан Российской Федерации»,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утвержденной постановлением Правительства Российской Федерации от 30.12.2017 № 1710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,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на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 замену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</w:t>
      </w:r>
      <w:bookmarkStart w:id="0" w:name="_GoBack"/>
      <w:r>
        <w:rPr>
          <w:highlight w:val="none"/>
        </w:rPr>
      </w:r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а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Новосибирской области»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далее – субсидия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В настоящем Порядке используются следующие понятия: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color w:val="000000" w:themeColor="text1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«домовладение» - объект индивидуально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го жилищного строительства или дом блокированной застройки, принадлежащие гражданину и не расположенные в населенном пункте, включенном в межрегиональные и региональные программы газификации жилищно-коммунального хозяйства, промышленных и иных организаций;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before="0" w:beforeAutospacing="0" w:after="0" w:line="240" w:lineRule="auto"/>
        <w:rPr>
          <w:color w:val="000000" w:themeColor="text1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«льго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тные категории граждан» - граждане, являющиеся ветеранами Великой Отечественной войны, ветеранами боевых действий на территории СССР, на территории Российской Федерации и территориях других государств, инвалидами Великой Отечественной войны и инвалидами бо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евых действий, членами семей погибших (умерших) инвалидов Великой Отечественной войны и инвалидов боевых действий, участников Великой Отечественной войны, ветеранов боевых действий на территории СССР, на территории Российской Федерации и территориях других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государств, участниками специальн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ой военной операции и членами их семей, инвалидами I группы и лицами, осуществляющими уход за детьми-инвалидами, одиноко проживающие граждане старше 55 лет, а также члены многодетных семей и малоимущие граждане, в том числе члены малоимущих семей с детьми;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before="0" w:beforeAutospacing="0" w:after="0" w:line="240" w:lineRule="auto"/>
        <w:rPr>
          <w:color w:val="000000" w:themeColor="text1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«мероприятие» - приобретение, установка нового отопительного оборудования, демонтаж имеющегося отопительного оборудования (при необходимости), а также монтаж твердотопливного котла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внутридомовой системы отопления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и её элементов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(при необходимости) для домовладения, осуществляемые с использованием субсидии;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«план модернизации систем отопления» - перечень мероприятий,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содержащий,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в том числе адреса домовладений, плановую расчетную стоимость каждого мероприятия, а также сведения о сроках реализации мероприятий и потребности в финансовом обеспечении мероприятий.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pStyle w:val="882"/>
        <w:ind w:firstLine="709"/>
        <w:jc w:val="both"/>
        <w:spacing w:before="0" w:beforeAutospacing="0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план модернизации систем отопления не подлежат включению домовладения, в которых отопительное оборудование подлежит замене, и которые соответствуют одному или нескольким критериям:</w:t>
      </w:r>
      <w:r/>
    </w:p>
    <w:p>
      <w:pPr>
        <w:pStyle w:val="882"/>
        <w:ind w:firstLine="709"/>
        <w:jc w:val="both"/>
        <w:spacing w:before="0" w:beforeAutospacing="0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расположены в населённых пунктах, подлежащих газификации (в том числе с применением сжиженного природного газа);</w:t>
      </w:r>
      <w:r/>
    </w:p>
    <w:p>
      <w:pPr>
        <w:pStyle w:val="882"/>
        <w:ind w:firstLine="709"/>
        <w:jc w:val="both"/>
        <w:spacing w:before="0" w:beforeAutospacing="0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признаны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аварийными, подлежат расселению/сносу;</w:t>
      </w:r>
      <w:r/>
    </w:p>
    <w:p>
      <w:pPr>
        <w:pStyle w:val="88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подлежат подключению к источнику теплоснабжения (централизованному) в соответствии с утвержденной схемой теплоснабжения муниципального образования.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План модернизации систем отопления должен содержать 3 раздела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формироваться с учетом требований пункта 6 Приложения № 29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Правила предоставления и распределения субсидий из Федерального бюджета субъект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ов Российской Федерации, входящих в состав Сибирского и Дальневосточного федеральных округов, для замены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утвержденными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государственной программ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Российской Федерации «Обеспечение доступным и комфортным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жильем и коммунальными услугами граждан Российской Федерации», утвержденной постановлением Правительства Российской Федерации от 30.12.2017 № 1710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(далее –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риложение № 29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соответствии с которыми определяется приоритетность предоставления субсидии местным бюджетам.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Отопительное оборудование по мероприятию должно соответствовать критериям установленным пунктом 7 Приложения № 29.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82"/>
        <w:ind w:firstLine="539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  <w:suppressLineNumbers w:val="0"/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firstLine="709"/>
        <w:jc w:val="center"/>
        <w:spacing w:before="0" w:beforeAutospacing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II. Целевое назнач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ение субсидий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2.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Целью предоставления субсидии является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замена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Субсидия предоставляется на оплату муниципальных контрактов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приобретение, установку нового отопительного оборудования, демонтаж имеющегося отопительного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оборудования (при необходимости), а также монтаж твердотопливного котл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нутридомовой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системы отопления и её элементов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(при необходимости)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(далее – замена устаревшего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отопительного оборудования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53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3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. Субсидия предоставляется в пределах бюджетных ассигнований и лимитов бюджетных обязательств, установленных министерству жилищно-коммунального хозяйства и энергетики Новосибирской области (далее - ГРБС) в соответствии с законом об областном бюджете Новоси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бирской области на соответствующий финансовый год и плановый период на реализацию данного направле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ния расходов.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III. Порядок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 распределения субсидий с учетом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предельных уровней софинансирования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4.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Р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аспределение субсидий осуществляется между местными бюджетами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замену устаревшего отопительного оборудования в рамках мероприятий 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очередной финансовый год исходя из объемов средств, выделенных на реализацию мероприятий государственной программы Новосибирской области «Жилищно-коммунальное хозяйство Новосибирской области» из областного и федерального бюджетов.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ри распределении субсидий между местными бюджетами объем субсидии не может превышать объем бюджетных ассигнований на исполнение расходных обязательств муниципального образования, в целях софинансирования которых предоставляется субсидия, с учетом предельно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го уровня софинансирования.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Размер субсидии, предоставляемой местному бюджету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замену устаревшего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отопительного оборудования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рассчитывается по формулам: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С x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100, где: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объем субсидии из федерального и областного бюджетов, предусмотренной i-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муниципальному району (округу), тыс. рублей.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уровень софинансирования расходных обязательств муниципальных образований, в целях софинансирования которых предоставляется субсидия,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должен быть в пределах уровня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софинансирования,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период, для соответствующего муниципального образования;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стоимость строительно-монтажных работ,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которая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установлен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Приложением № 29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</w:t>
      </w:r>
      <w:r>
        <w:rPr>
          <w:rFonts w:ascii="Times New Roman" w:hAnsi="Times New Roman" w:eastAsia="Arial" w:cs="Times New Roman"/>
          <w:color w:val="auto"/>
          <w:sz w:val="28"/>
          <w:szCs w:val="28"/>
        </w:rPr>
        <w:t xml:space="preserve">не может превышать 700 ты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с. рублей на одно домовладение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тыс. рублей.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Размер субсидии, предоставляемой местному бюджету из федерального бюджета, рассчитывается по формуле: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фб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Сi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x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Уфб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/ 100, где: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фб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- размер субсидии из федерального бюджета, предусмотренной i-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му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муниципальному району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округу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тыс. рублей;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Уфб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- процент софинансирования из федерального бюджета от размера субсидии из федерального и областного бюджетов, предусмотренной i-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му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муниципальному району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округу)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Уровень софинансирования расходного обязательства субъекта Российской Федерации в отношении субсидий, предоставляемых в целях софинансирования расходных обязательств,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должен быть в пределах уровня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софинансирования, предусмотренному распоряжением Правительства Российской Федерации об установлении предельных уровней софинансирования на очередной финансовый год и плановый период для Новосибирской области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- сумма субсидии из федерального и областного бюджетов, предусмотренной i-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му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муниципальному району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округу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тыс. рублей.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Размер субсидии, предоставляемой местному бюджету из областного бюджета, рассчитывается по формуле: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об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Сi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x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(100-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Уфб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/ 100, где: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об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- размер субсидии из областного бюджета, предусмотренной i-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му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муниципальному району (округу)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тыс. рублей;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Уфб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- процент софинансирования из федерального бюджета от размера субсидии из федерального и областного бюджетов, предусмотренной i-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му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муниципальному району (округу)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;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- сумма субсидии из федерального и областного бюджетов, предусмотренной i-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му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муниципальному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району (округу)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тыс. рублей.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auto"/>
          <w:sz w:val="28"/>
          <w:szCs w:val="28"/>
        </w:rPr>
        <w:t xml:space="preserve">5.</w:t>
      </w:r>
      <w:r>
        <w:rPr>
          <w:rFonts w:ascii="Times New Roman" w:hAnsi="Times New Roman" w:eastAsia="Arial" w:cs="Times New Roman"/>
          <w:color w:val="auto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auto"/>
          <w:sz w:val="28"/>
          <w:szCs w:val="28"/>
        </w:rPr>
        <w:t xml:space="preserve">Критериями отбора муниципальных районов (округов) Новоси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бирской области (далее - получатель) для предоставления субсидии является наличие до 1 августа года, предшествующего плановому году предоставления субсидии: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pStyle w:val="88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заявки (обращения) муниципального образования, направленной в адрес ГРБС о наличии потребности в реализации мероприятий 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замене устаревшего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отопительного оборудования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2)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утверж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денных планов модернизации систем отопления домовладений муниципальных районов (округов), сформированных в соответствии с приложением № 3 к приказу министерства строительства жилищно-коммунального хозяйства и энергетики Российской Федерации от 30.01.2026 №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48/пр.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2026 году реализация мероприятий осуществляется в соответствии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Планом модернизации систем отопления Новосибирской области, утвержденным высшим должностным лицом Новосибирской области либо лицом, уполномоченным им в установленном порядке.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 2027 года реализация мероприятий осуществляется в соответствии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Планом модернизации систем отопления Новосибирской области актуализированным с учетом заявок (обращений) муниципальных образований, поступивши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адрес ГРБС о наличии потребности в реализации плана модернизации систем отопления, предусмотренных пунктом 5 настоящего Порядка.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6.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аспределение субсидии местным бюджетам устанавливается законом Новосибирской области об областном бюджете на соответствующий год и плановый период.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IV. Порядок предоставления субсидий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7. 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Уровень софинансирования расходных обязательств муниципальных образований, в целях софинансирования которых предоставляется субсидия, должен быть в пределах уровня софинансирования,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предусматриваемого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период, для соответствующего муниципального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образования.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8.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Основанием для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предоставления субсидии является соглашение о предоставлении субсидии, заключаемое между ГРБС и получателем в системе «Электронный бюджет» в соответствии с абзацем «л(1)» пункта 10 Правил формирования, предоставления, и распределения субсидий из Федеральн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ого бюджета бюджетам субъектов Российской Федерации, утвержденных постановлением Правительства Российской Федерации от 30.09.2014 № 999 «О формировании, предоставлении и распределении субсидий из Федерального бюджета бюджетам субъектов Российской Федерации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». Соглашение заключается не позднее 30 календарных дней со дня вступления в силу соглашения о предоставлении субсидии из федерального бюджета областному бюджету.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Соглашение должно содержать условие о согласовании новых условий соглашения в случае уменьшения ГРБС как получателю средств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федерального бюджета на предоставление субсидий на ц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ели, указанные в пункте 2 настоящего Порядка, ранее доведенных лимитов бюджетных, приводящего к невозможности предоставления субсидии в размере, определенном в соглашении, или о расторжении соглашения при недостижении согласия по новым условиям соглашения.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9.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Условиями предоставления субсидии являются: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представление </w:t>
      </w:r>
      <w:r>
        <w:rPr>
          <w:rFonts w:ascii="Times New Roman" w:hAnsi="Times New Roman" w:eastAsia="Arial" w:cs="Times New Roman"/>
          <w:color w:val="auto"/>
          <w:sz w:val="28"/>
          <w:szCs w:val="28"/>
        </w:rPr>
        <w:t xml:space="preserve">получателями</w:t>
      </w:r>
      <w:r>
        <w:rPr>
          <w:rFonts w:ascii="Times New Roman" w:hAnsi="Times New Roman" w:eastAsia="Arial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ГРБС следующих документов в сроки, установленные в Соглашении: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pStyle w:val="88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заявки на предоставление субсидий;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8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копий муниципальных контрактов, заключенных в соответствии с Федеральным законом от 05.04.2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013 № 44-ФЗ «О контрактной системе в сфере закупок товаров, работ, услуг для обеспечения государственных и муниципальных нужд» и бюджетным законодательством Российской Федерации, направленных на достижение цели, установленной в пункте 2 настоящего Порядка;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</w:rPr>
        <w:t xml:space="preserve">сведени</w:t>
      </w:r>
      <w:r>
        <w:rPr>
          <w:rFonts w:ascii="Times New Roman" w:hAnsi="Times New Roman" w:eastAsia="Times New Roman" w:cs="Times New Roman"/>
          <w:color w:val="000000" w:themeColor="text1"/>
          <w:sz w:val="28"/>
        </w:rPr>
        <w:t xml:space="preserve">й</w:t>
      </w:r>
      <w:r>
        <w:rPr>
          <w:rFonts w:ascii="Times New Roman" w:hAnsi="Times New Roman" w:eastAsia="Times New Roman" w:cs="Times New Roman"/>
          <w:color w:val="000000" w:themeColor="text1"/>
          <w:sz w:val="28"/>
        </w:rPr>
        <w:t xml:space="preserve"> о выполненных работах (с приложением копий документов, подтверждающих наличие выполненных работ, в том числе актов выполненных работ и иных документов, предусмотренных условиями муниципального контракта).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Представление заявки на перечисление субсидии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получателем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осуществляется в адрес ГРБС не позднее 1 ноября текущего финансового года.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2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аличие правовых актов муниципальных образований, утверждающих порядок использования средств местного бюджета, требования о принятии которых установлены бюджетным законодательством Российской Федерации и нормативными правовыми актами, регулирующими бюджетны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правоотношения (в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(далее - п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оселения), субсидий юридическим лицам (за исключением субсидий муниципальным учреждениям), индивидуальным предпринимателям, а также физическим лицам - производителям товаров, работ, услуг, прочих субсидий юридическим лицам);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3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заключение на срок, соответствующий сроку распределения субсидий между местными бюджетами, соглашений о предоставлении субсидий, предусматривающих обязательства </w:t>
      </w:r>
      <w:r>
        <w:rPr>
          <w:rFonts w:ascii="Times New Roman" w:hAnsi="Times New Roman" w:eastAsia="Arial" w:cs="Times New Roman"/>
          <w:color w:val="auto"/>
          <w:sz w:val="28"/>
          <w:szCs w:val="28"/>
          <w:highlight w:val="white"/>
        </w:rPr>
        <w:t xml:space="preserve">получателя</w:t>
      </w:r>
      <w:r>
        <w:rPr>
          <w:rFonts w:ascii="Times New Roman" w:hAnsi="Times New Roman" w:eastAsia="Arial" w:cs="Times New Roman"/>
          <w:color w:val="auto"/>
          <w:sz w:val="28"/>
          <w:szCs w:val="28"/>
          <w:highlight w:val="white"/>
        </w:rPr>
        <w:t xml:space="preserve"> по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исполнению расходных обязательств, в целя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х софинансирования которых предоставляются субсидии, и ответственность за неисполнение предусмотренных указанными Соглашениями обязательств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strike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  <w:t xml:space="preserve">4</w:t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аличие в местных бюджетах бюджетных ассигнований на исполнение расходных обязательств муниципальных образований, в целях софинансирования которых предоставляются субсидии, в объеме, необходимом для их исполнения, включая объем планируемых к предоставлению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субсидий</w:t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trike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trike w:val="0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10.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ГРБС рассматривает представленную заявку на предоставление субсидии и принимает решение о предоставлении субсидии либо решение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об отказе в предоставлении субсидии в течение двух рабочих дней со дня представления заявки на предоставление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субсидии.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Основанием для отказа в предоставлении субсидии является: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непредставление (представление не в полном объеме либо с нарушением сроков) документов, указанных в подпункте 1 пункта 9 настоящего Порядка;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2)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неисполнение условий предоставления субсидии, предусмотренных подпунктами 2 - 4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пункта 9 настоящего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11.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случае нарушения по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лучателями условий предоставления субсидий, установленных пунктом 9 настоящего Порядка,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12.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Перечисление субсидий из областного бюджета местному бюджету осуществляется в сроки, установленные в соглашении, на основании заявок муниципальных образований, направляемых по форме, установленной в соглашении.</w:t>
      </w:r>
      <w:r/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13. Условия расходования субсидий: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осуществление расходов производится: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а)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лицевых счетов получателей или с лицевых счетов муниципальных казенных учреждений, уполномоченных органами местного самоуправления, на основании муниципальных контрактов, заключенных в соответствии с действующим законодательством, актов выполненных работ;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б)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 лицевых счетов получателей на основании соглашений о предоставлении субсидий юридическим лицам, направленных на достижение цели, установленной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пункте 2 настоящего Порядка, в соответствии с порядками предоставления субсидий юридическим лицам, имеющим право на получение субсидий на основании статьи 78 Бюджетного кодекса Российской Федерации, утвержденными нормативными правовыми актами получателя;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2)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получатели вправе передавать субсидии и иные межбюджетные трансферты в бюджеты поселений, расположенных в границах соответствующих муниципальных районов (округов), на цель, определенную пунктом 2 настоящего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V. Результаты использов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ания субсидий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14.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Результатом использования субсидии является: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оличество домовладений, включенных в план модернизации систем отопления, в отношении которых реализованы мероприятия.</w:t>
      </w:r>
      <w:r>
        <w:rPr>
          <w:rFonts w:ascii="Times New Roman" w:hAnsi="Times New Roman" w:eastAsia="Arial" w:cs="Times New Roman"/>
          <w:color w:val="ff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Значение показателя результата, указанного в настоящем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пункте, устанавливается ГРБС в Соглашении.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VI. Порядо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к оценки эффективности использования субсидий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15.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ценка эффективности использования субсидии осуществляется ГРБС на основе отчета о достижении показателя результата использования субсидии, представляемого получателем в сроки, установленные в Соглашении.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Критерием оценки эффективности использования субсидии является достижение показателя результата использования субсидии, установленного в пункте 14 настоящего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(недостижении) получателем результата, указанного в пункте 14 настоящего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случае если муниципальным образованием по состоянию на 31 декабря года, в котором местному бюджету предоставлена субсидия, допущены нарушения обязательств по достижению результатов использования субсидии, предусмотренн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ых соглашением, и в срок до 1 апреля года, следующего за годом, в котором местному бюджету предоставлена субсидия, указанные нарушения не устранены, а также отсутствует решение об освобождении муниципального образования от применения мер ответственности за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нарушения условий соглашения, средства субсидии подлежат возврату в областной бюджет в срок до 15 мая года, следующего за годом предоставления субсидии.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случае если муниципальным образованием по состоянию на 31 декабря года, в котором местному бюджету предоставлена субсидия, допущены нарушения обязательств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предусмотренн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ых соглашением по соблюдению установленного уровня софинансирования расходных 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бязательств муниципального образования, выраженного в процентах от объема бюджетных ассигнований на исполнение расходных обязательств муниципального образования, предусмотренных в местном бюджете, в целях софинансирования которых предоставляется субсидия,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средства субсидии подлежат возврату в областной бюджет в срок до 15 мая года, следующего за годом предоставления субсидии.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Расчет объема средств, по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длежащих возврату из местного бюджета в областной бюджет, в объеме субсидии, предоставленной местному бюджету в отчетном финансовом году, осуществляется в соответствии с Правилами формирования, предоставления и распределения субсидий из областного бюджета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Новосибирской области бюджетам муниципальных образований Новосибирской области, установленными постановлением Правительства Новосибирской области от 03.03.2020 № 40-п.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b/>
          <w:bCs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VII. Основания и порядок применения мер ответственности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за нарушения условий соглашений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16.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ГРБС и орган государственного финансового контроля осуществляют обязательную проверку соблюдения условий, целей и порядка предоставления субсидий их получателями.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17.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Остаток бюджетных средств, не использованный получателями в текущем финансовом году, подлежит возврату в областной бюджет в соответствии с бюджетным законодательством Российской Федерации и Новосибирской области.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18.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19.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Получатели несут ответственность за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недостижение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результатов предоставления субсидии в соответствии с Соглашением.</w:t>
      </w:r>
      <w:bookmarkStart w:id="1" w:name="undefined"/>
      <w:r/>
      <w:bookmarkEnd w:id="1"/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20. 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widowControl w:val="o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widowControl w:val="o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widowControl w:val="o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widowControl w:val="o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_________».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sectPr>
      <w:headerReference w:type="default" r:id="rId8"/>
      <w:footerReference w:type="default" r:id="rId9"/>
      <w:footnotePr/>
      <w:endnotePr/>
      <w:type w:val="nextPage"/>
      <w:pgSz w:w="11906" w:h="16838" w:orient="portrait"/>
      <w:pgMar w:top="1134" w:right="567" w:bottom="1134" w:left="1418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09263360"/>
      <w:docPartObj>
        <w:docPartGallery w:val="Page Numbers (Top of Page)"/>
        <w:docPartUnique w:val="true"/>
      </w:docPartObj>
      <w:rPr/>
    </w:sdtPr>
    <w:sdtContent>
      <w:p>
        <w:pPr>
          <w:pStyle w:val="891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PAGE   \* MERGEFORMAT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 xml:space="preserve">3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</w:r>
        <w:r>
          <w:rPr>
            <w:rFonts w:ascii="Times New Roman" w:hAnsi="Times New Roman" w:cs="Times New Roman"/>
            <w:sz w:val="20"/>
            <w:szCs w:val="20"/>
          </w:rPr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6" w:default="1">
    <w:name w:val="Normal"/>
    <w:qFormat/>
  </w:style>
  <w:style w:type="paragraph" w:styleId="687">
    <w:name w:val="Heading 1"/>
    <w:basedOn w:val="686"/>
    <w:next w:val="686"/>
    <w:link w:val="71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88">
    <w:name w:val="Heading 2"/>
    <w:basedOn w:val="686"/>
    <w:next w:val="686"/>
    <w:link w:val="7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89">
    <w:name w:val="Heading 3"/>
    <w:basedOn w:val="686"/>
    <w:next w:val="686"/>
    <w:link w:val="7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0">
    <w:name w:val="Heading 4"/>
    <w:basedOn w:val="686"/>
    <w:next w:val="686"/>
    <w:link w:val="7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1">
    <w:name w:val="Heading 5"/>
    <w:basedOn w:val="686"/>
    <w:next w:val="686"/>
    <w:link w:val="7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92">
    <w:name w:val="Heading 6"/>
    <w:basedOn w:val="686"/>
    <w:next w:val="686"/>
    <w:link w:val="72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93">
    <w:name w:val="Heading 7"/>
    <w:basedOn w:val="686"/>
    <w:next w:val="686"/>
    <w:link w:val="72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94">
    <w:name w:val="Heading 8"/>
    <w:basedOn w:val="686"/>
    <w:next w:val="686"/>
    <w:link w:val="72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95">
    <w:name w:val="Heading 9"/>
    <w:basedOn w:val="686"/>
    <w:next w:val="686"/>
    <w:link w:val="72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6" w:default="1">
    <w:name w:val="Default Paragraph Font"/>
    <w:uiPriority w:val="1"/>
    <w:semiHidden/>
    <w:unhideWhenUsed/>
  </w:style>
  <w:style w:type="table" w:styleId="69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8" w:default="1">
    <w:name w:val="No List"/>
    <w:uiPriority w:val="99"/>
    <w:semiHidden/>
    <w:unhideWhenUsed/>
  </w:style>
  <w:style w:type="character" w:styleId="699" w:customStyle="1">
    <w:name w:val="Heading 1 Char"/>
    <w:basedOn w:val="696"/>
    <w:uiPriority w:val="9"/>
    <w:rPr>
      <w:rFonts w:ascii="Arial" w:hAnsi="Arial" w:eastAsia="Arial" w:cs="Arial"/>
      <w:sz w:val="40"/>
      <w:szCs w:val="40"/>
    </w:rPr>
  </w:style>
  <w:style w:type="character" w:styleId="700" w:customStyle="1">
    <w:name w:val="Heading 2 Char"/>
    <w:basedOn w:val="696"/>
    <w:uiPriority w:val="9"/>
    <w:rPr>
      <w:rFonts w:ascii="Arial" w:hAnsi="Arial" w:eastAsia="Arial" w:cs="Arial"/>
      <w:sz w:val="34"/>
    </w:rPr>
  </w:style>
  <w:style w:type="character" w:styleId="701" w:customStyle="1">
    <w:name w:val="Heading 3 Char"/>
    <w:basedOn w:val="696"/>
    <w:uiPriority w:val="9"/>
    <w:rPr>
      <w:rFonts w:ascii="Arial" w:hAnsi="Arial" w:eastAsia="Arial" w:cs="Arial"/>
      <w:sz w:val="30"/>
      <w:szCs w:val="30"/>
    </w:rPr>
  </w:style>
  <w:style w:type="character" w:styleId="702" w:customStyle="1">
    <w:name w:val="Heading 4 Char"/>
    <w:basedOn w:val="696"/>
    <w:uiPriority w:val="9"/>
    <w:rPr>
      <w:rFonts w:ascii="Arial" w:hAnsi="Arial" w:eastAsia="Arial" w:cs="Arial"/>
      <w:b/>
      <w:bCs/>
      <w:sz w:val="26"/>
      <w:szCs w:val="26"/>
    </w:rPr>
  </w:style>
  <w:style w:type="character" w:styleId="703" w:customStyle="1">
    <w:name w:val="Heading 5 Char"/>
    <w:basedOn w:val="696"/>
    <w:uiPriority w:val="9"/>
    <w:rPr>
      <w:rFonts w:ascii="Arial" w:hAnsi="Arial" w:eastAsia="Arial" w:cs="Arial"/>
      <w:b/>
      <w:bCs/>
      <w:sz w:val="24"/>
      <w:szCs w:val="24"/>
    </w:rPr>
  </w:style>
  <w:style w:type="character" w:styleId="704" w:customStyle="1">
    <w:name w:val="Heading 6 Char"/>
    <w:basedOn w:val="696"/>
    <w:uiPriority w:val="9"/>
    <w:rPr>
      <w:rFonts w:ascii="Arial" w:hAnsi="Arial" w:eastAsia="Arial" w:cs="Arial"/>
      <w:b/>
      <w:bCs/>
      <w:sz w:val="22"/>
      <w:szCs w:val="22"/>
    </w:rPr>
  </w:style>
  <w:style w:type="character" w:styleId="705" w:customStyle="1">
    <w:name w:val="Heading 7 Char"/>
    <w:basedOn w:val="69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06" w:customStyle="1">
    <w:name w:val="Heading 8 Char"/>
    <w:basedOn w:val="696"/>
    <w:uiPriority w:val="9"/>
    <w:rPr>
      <w:rFonts w:ascii="Arial" w:hAnsi="Arial" w:eastAsia="Arial" w:cs="Arial"/>
      <w:i/>
      <w:iCs/>
      <w:sz w:val="22"/>
      <w:szCs w:val="22"/>
    </w:rPr>
  </w:style>
  <w:style w:type="character" w:styleId="707" w:customStyle="1">
    <w:name w:val="Heading 9 Char"/>
    <w:basedOn w:val="696"/>
    <w:uiPriority w:val="9"/>
    <w:rPr>
      <w:rFonts w:ascii="Arial" w:hAnsi="Arial" w:eastAsia="Arial" w:cs="Arial"/>
      <w:i/>
      <w:iCs/>
      <w:sz w:val="21"/>
      <w:szCs w:val="21"/>
    </w:rPr>
  </w:style>
  <w:style w:type="character" w:styleId="708" w:customStyle="1">
    <w:name w:val="Title Char"/>
    <w:basedOn w:val="696"/>
    <w:uiPriority w:val="10"/>
    <w:rPr>
      <w:sz w:val="48"/>
      <w:szCs w:val="48"/>
    </w:rPr>
  </w:style>
  <w:style w:type="character" w:styleId="709" w:customStyle="1">
    <w:name w:val="Subtitle Char"/>
    <w:basedOn w:val="696"/>
    <w:uiPriority w:val="11"/>
    <w:rPr>
      <w:sz w:val="24"/>
      <w:szCs w:val="24"/>
    </w:rPr>
  </w:style>
  <w:style w:type="character" w:styleId="710" w:customStyle="1">
    <w:name w:val="Quote Char"/>
    <w:uiPriority w:val="29"/>
    <w:rPr>
      <w:i/>
    </w:rPr>
  </w:style>
  <w:style w:type="character" w:styleId="711" w:customStyle="1">
    <w:name w:val="Intense Quote Char"/>
    <w:uiPriority w:val="30"/>
    <w:rPr>
      <w:i/>
    </w:rPr>
  </w:style>
  <w:style w:type="character" w:styleId="712" w:customStyle="1">
    <w:name w:val="Caption Char"/>
    <w:basedOn w:val="696"/>
    <w:uiPriority w:val="35"/>
    <w:rPr>
      <w:b/>
      <w:bCs/>
      <w:color w:val="5b9bd5" w:themeColor="accent1"/>
      <w:sz w:val="18"/>
      <w:szCs w:val="18"/>
    </w:rPr>
  </w:style>
  <w:style w:type="character" w:styleId="713" w:customStyle="1">
    <w:name w:val="Footnote Text Char"/>
    <w:uiPriority w:val="99"/>
    <w:rPr>
      <w:sz w:val="18"/>
    </w:rPr>
  </w:style>
  <w:style w:type="character" w:styleId="714" w:customStyle="1">
    <w:name w:val="Endnote Text Char"/>
    <w:uiPriority w:val="99"/>
    <w:rPr>
      <w:sz w:val="20"/>
    </w:rPr>
  </w:style>
  <w:style w:type="character" w:styleId="715" w:customStyle="1">
    <w:name w:val="Заголовок 1 Знак"/>
    <w:basedOn w:val="696"/>
    <w:link w:val="687"/>
    <w:uiPriority w:val="9"/>
    <w:rPr>
      <w:rFonts w:ascii="Arial" w:hAnsi="Arial" w:eastAsia="Arial" w:cs="Arial"/>
      <w:sz w:val="40"/>
      <w:szCs w:val="40"/>
    </w:rPr>
  </w:style>
  <w:style w:type="character" w:styleId="716" w:customStyle="1">
    <w:name w:val="Заголовок 2 Знак"/>
    <w:basedOn w:val="696"/>
    <w:link w:val="688"/>
    <w:uiPriority w:val="9"/>
    <w:rPr>
      <w:rFonts w:ascii="Arial" w:hAnsi="Arial" w:eastAsia="Arial" w:cs="Arial"/>
      <w:sz w:val="34"/>
    </w:rPr>
  </w:style>
  <w:style w:type="character" w:styleId="717" w:customStyle="1">
    <w:name w:val="Заголовок 3 Знак"/>
    <w:basedOn w:val="696"/>
    <w:link w:val="689"/>
    <w:uiPriority w:val="9"/>
    <w:rPr>
      <w:rFonts w:ascii="Arial" w:hAnsi="Arial" w:eastAsia="Arial" w:cs="Arial"/>
      <w:sz w:val="30"/>
      <w:szCs w:val="30"/>
    </w:rPr>
  </w:style>
  <w:style w:type="character" w:styleId="718" w:customStyle="1">
    <w:name w:val="Заголовок 4 Знак"/>
    <w:basedOn w:val="696"/>
    <w:link w:val="690"/>
    <w:uiPriority w:val="9"/>
    <w:rPr>
      <w:rFonts w:ascii="Arial" w:hAnsi="Arial" w:eastAsia="Arial" w:cs="Arial"/>
      <w:b/>
      <w:bCs/>
      <w:sz w:val="26"/>
      <w:szCs w:val="26"/>
    </w:rPr>
  </w:style>
  <w:style w:type="character" w:styleId="719" w:customStyle="1">
    <w:name w:val="Заголовок 5 Знак"/>
    <w:basedOn w:val="696"/>
    <w:link w:val="691"/>
    <w:uiPriority w:val="9"/>
    <w:rPr>
      <w:rFonts w:ascii="Arial" w:hAnsi="Arial" w:eastAsia="Arial" w:cs="Arial"/>
      <w:b/>
      <w:bCs/>
      <w:sz w:val="24"/>
      <w:szCs w:val="24"/>
    </w:rPr>
  </w:style>
  <w:style w:type="character" w:styleId="720" w:customStyle="1">
    <w:name w:val="Заголовок 6 Знак"/>
    <w:basedOn w:val="696"/>
    <w:link w:val="692"/>
    <w:uiPriority w:val="9"/>
    <w:rPr>
      <w:rFonts w:ascii="Arial" w:hAnsi="Arial" w:eastAsia="Arial" w:cs="Arial"/>
      <w:b/>
      <w:bCs/>
      <w:sz w:val="22"/>
      <w:szCs w:val="22"/>
    </w:rPr>
  </w:style>
  <w:style w:type="character" w:styleId="721" w:customStyle="1">
    <w:name w:val="Заголовок 7 Знак"/>
    <w:basedOn w:val="696"/>
    <w:link w:val="69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2" w:customStyle="1">
    <w:name w:val="Заголовок 8 Знак"/>
    <w:basedOn w:val="696"/>
    <w:link w:val="694"/>
    <w:uiPriority w:val="9"/>
    <w:rPr>
      <w:rFonts w:ascii="Arial" w:hAnsi="Arial" w:eastAsia="Arial" w:cs="Arial"/>
      <w:i/>
      <w:iCs/>
      <w:sz w:val="22"/>
      <w:szCs w:val="22"/>
    </w:rPr>
  </w:style>
  <w:style w:type="character" w:styleId="723" w:customStyle="1">
    <w:name w:val="Заголовок 9 Знак"/>
    <w:basedOn w:val="696"/>
    <w:link w:val="695"/>
    <w:uiPriority w:val="9"/>
    <w:rPr>
      <w:rFonts w:ascii="Arial" w:hAnsi="Arial" w:eastAsia="Arial" w:cs="Arial"/>
      <w:i/>
      <w:iCs/>
      <w:sz w:val="21"/>
      <w:szCs w:val="21"/>
    </w:rPr>
  </w:style>
  <w:style w:type="paragraph" w:styleId="724">
    <w:name w:val="List Paragraph"/>
    <w:basedOn w:val="686"/>
    <w:uiPriority w:val="34"/>
    <w:qFormat/>
    <w:pPr>
      <w:contextualSpacing/>
      <w:ind w:left="720"/>
    </w:pPr>
  </w:style>
  <w:style w:type="paragraph" w:styleId="725">
    <w:name w:val="No Spacing"/>
    <w:uiPriority w:val="1"/>
    <w:qFormat/>
    <w:pPr>
      <w:spacing w:after="0" w:line="240" w:lineRule="auto"/>
    </w:pPr>
  </w:style>
  <w:style w:type="paragraph" w:styleId="726">
    <w:name w:val="Title"/>
    <w:basedOn w:val="686"/>
    <w:next w:val="686"/>
    <w:link w:val="72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7" w:customStyle="1">
    <w:name w:val="Название Знак"/>
    <w:basedOn w:val="696"/>
    <w:link w:val="726"/>
    <w:uiPriority w:val="10"/>
    <w:rPr>
      <w:sz w:val="48"/>
      <w:szCs w:val="48"/>
    </w:rPr>
  </w:style>
  <w:style w:type="paragraph" w:styleId="728">
    <w:name w:val="Subtitle"/>
    <w:basedOn w:val="686"/>
    <w:next w:val="686"/>
    <w:link w:val="729"/>
    <w:uiPriority w:val="11"/>
    <w:qFormat/>
    <w:pPr>
      <w:spacing w:before="200" w:after="200"/>
    </w:pPr>
    <w:rPr>
      <w:sz w:val="24"/>
      <w:szCs w:val="24"/>
    </w:rPr>
  </w:style>
  <w:style w:type="character" w:styleId="729" w:customStyle="1">
    <w:name w:val="Подзаголовок Знак"/>
    <w:basedOn w:val="696"/>
    <w:link w:val="728"/>
    <w:uiPriority w:val="11"/>
    <w:rPr>
      <w:sz w:val="24"/>
      <w:szCs w:val="24"/>
    </w:rPr>
  </w:style>
  <w:style w:type="paragraph" w:styleId="730">
    <w:name w:val="Quote"/>
    <w:basedOn w:val="686"/>
    <w:next w:val="686"/>
    <w:link w:val="731"/>
    <w:uiPriority w:val="29"/>
    <w:qFormat/>
    <w:pPr>
      <w:ind w:left="720" w:right="720"/>
    </w:pPr>
    <w:rPr>
      <w:i/>
    </w:rPr>
  </w:style>
  <w:style w:type="character" w:styleId="731" w:customStyle="1">
    <w:name w:val="Цитата 2 Знак"/>
    <w:link w:val="730"/>
    <w:uiPriority w:val="29"/>
    <w:rPr>
      <w:i/>
    </w:rPr>
  </w:style>
  <w:style w:type="paragraph" w:styleId="732">
    <w:name w:val="Intense Quote"/>
    <w:basedOn w:val="686"/>
    <w:next w:val="686"/>
    <w:link w:val="73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3" w:customStyle="1">
    <w:name w:val="Выделенная цитата Знак"/>
    <w:link w:val="732"/>
    <w:uiPriority w:val="30"/>
    <w:rPr>
      <w:i/>
    </w:rPr>
  </w:style>
  <w:style w:type="character" w:styleId="734" w:customStyle="1">
    <w:name w:val="Header Char"/>
    <w:basedOn w:val="696"/>
    <w:uiPriority w:val="99"/>
  </w:style>
  <w:style w:type="character" w:styleId="735" w:customStyle="1">
    <w:name w:val="Footer Char"/>
    <w:basedOn w:val="696"/>
    <w:uiPriority w:val="99"/>
  </w:style>
  <w:style w:type="paragraph" w:styleId="736">
    <w:name w:val="Caption"/>
    <w:basedOn w:val="686"/>
    <w:next w:val="686"/>
    <w:link w:val="73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37" w:customStyle="1">
    <w:name w:val="Название объекта Знак"/>
    <w:basedOn w:val="696"/>
    <w:link w:val="736"/>
    <w:uiPriority w:val="35"/>
    <w:rPr>
      <w:b/>
      <w:bCs/>
      <w:color w:val="5b9bd5" w:themeColor="accent1"/>
      <w:sz w:val="18"/>
      <w:szCs w:val="18"/>
    </w:rPr>
  </w:style>
  <w:style w:type="table" w:styleId="738">
    <w:name w:val="Table Grid"/>
    <w:basedOn w:val="69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9" w:customStyle="1">
    <w:name w:val="Table Grid Light"/>
    <w:basedOn w:val="697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 w:customStyle="1">
    <w:name w:val="Plain Table 1"/>
    <w:basedOn w:val="697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 w:customStyle="1">
    <w:name w:val="Plain Table 2"/>
    <w:basedOn w:val="69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2" w:customStyle="1">
    <w:name w:val="Plain Table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3" w:customStyle="1">
    <w:name w:val="Plain Table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Plain Table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1 Light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 w:customStyle="1">
    <w:name w:val="Grid Table 1 Light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 w:customStyle="1">
    <w:name w:val="Grid Table 1 Light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 w:customStyle="1">
    <w:name w:val="Grid Table 1 Light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 w:customStyle="1">
    <w:name w:val="Grid Table 1 Light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 w:customStyle="1">
    <w:name w:val="Grid Table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2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2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2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2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3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3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3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3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4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7" w:customStyle="1">
    <w:name w:val="Grid Table 4 - Accent 1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68" w:customStyle="1">
    <w:name w:val="Grid Table 4 - Accent 2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9" w:customStyle="1">
    <w:name w:val="Grid Table 4 - Accent 3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70" w:customStyle="1">
    <w:name w:val="Grid Table 4 - Accent 4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71" w:customStyle="1">
    <w:name w:val="Grid Table 4 - Accent 5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72" w:customStyle="1">
    <w:name w:val="Grid Table 4 - Accent 6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3" w:customStyle="1">
    <w:name w:val="Grid Table 5 Dark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7" w:customStyle="1">
    <w:name w:val="Grid Table 5 Dark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8" w:customStyle="1">
    <w:name w:val="Grid Table 5 Dark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79" w:customStyle="1">
    <w:name w:val="Grid Table 5 Dark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80" w:customStyle="1">
    <w:name w:val="Grid Table 6 Colorful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81" w:customStyle="1">
    <w:name w:val="Grid Table 6 Colorful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82" w:customStyle="1">
    <w:name w:val="Grid Table 6 Colorful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3" w:customStyle="1">
    <w:name w:val="Grid Table 6 Colorful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4" w:customStyle="1">
    <w:name w:val="Grid Table 6 Colorful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5" w:customStyle="1">
    <w:name w:val="Grid Table 6 Colorful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6" w:customStyle="1">
    <w:name w:val="Grid Table 6 Colorful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7" w:customStyle="1">
    <w:name w:val="Grid Table 7 Colorful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7 Colorful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7 Colorful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7 Colorful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7 Colorful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7 Colorful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7 Colorful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List Table 1 Light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List Table 1 Light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List Table 1 Light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List Table 1 Light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List Table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4" w:customStyle="1">
    <w:name w:val="List Table 2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5" w:customStyle="1">
    <w:name w:val="List Table 2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6" w:customStyle="1">
    <w:name w:val="List Table 2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07" w:customStyle="1">
    <w:name w:val="List Table 2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8" w:customStyle="1">
    <w:name w:val="List Table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3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3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3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4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List Table 4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List Table 5 Dark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 w:customStyle="1">
    <w:name w:val="List Table 5 Dark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8" w:customStyle="1">
    <w:name w:val="List Table 5 Dark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9" w:customStyle="1">
    <w:name w:val="List Table 6 Colorful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30" w:customStyle="1">
    <w:name w:val="List Table 6 Colorful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31" w:customStyle="1">
    <w:name w:val="List Table 6 Colorful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2" w:customStyle="1">
    <w:name w:val="List Table 6 Colorful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3" w:customStyle="1">
    <w:name w:val="List Table 6 Colorful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4" w:customStyle="1">
    <w:name w:val="List Table 6 Colorful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35" w:customStyle="1">
    <w:name w:val="List Table 6 Colorful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6" w:customStyle="1">
    <w:name w:val="List Table 7 Colorful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st Table 7 Colorful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7 Colorful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7 Colorful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7 Colorful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7 Colorful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7 Colorful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ned - Accent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4" w:customStyle="1">
    <w:name w:val="Lined - Accent 1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5" w:customStyle="1">
    <w:name w:val="Lined - Accent 2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6" w:customStyle="1">
    <w:name w:val="Lined - Accent 3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7" w:customStyle="1">
    <w:name w:val="Lined - Accent 4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8" w:customStyle="1">
    <w:name w:val="Lined - Accent 5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9" w:customStyle="1">
    <w:name w:val="Lined - Accent 6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0" w:customStyle="1">
    <w:name w:val="Bordered &amp; Lined - Accent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1" w:customStyle="1">
    <w:name w:val="Bordered &amp; Lined - Accent 1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52" w:customStyle="1">
    <w:name w:val="Bordered &amp; Lined - Accent 2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3" w:customStyle="1">
    <w:name w:val="Bordered &amp; Lined - Accent 3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4" w:customStyle="1">
    <w:name w:val="Bordered &amp; Lined - Accent 4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5" w:customStyle="1">
    <w:name w:val="Bordered &amp; Lined - Accent 5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56" w:customStyle="1">
    <w:name w:val="Bordered &amp; Lined - Accent 6"/>
    <w:basedOn w:val="69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7" w:customStyle="1">
    <w:name w:val="Bordered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8" w:customStyle="1">
    <w:name w:val="Bordered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59" w:customStyle="1">
    <w:name w:val="Bordered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60" w:customStyle="1">
    <w:name w:val="Bordered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61" w:customStyle="1">
    <w:name w:val="Bordered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2" w:customStyle="1">
    <w:name w:val="Bordered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63" w:customStyle="1">
    <w:name w:val="Bordered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64">
    <w:name w:val="Hyperlink"/>
    <w:uiPriority w:val="99"/>
    <w:unhideWhenUsed/>
    <w:rPr>
      <w:color w:val="0563c1" w:themeColor="hyperlink"/>
      <w:u w:val="single"/>
    </w:rPr>
  </w:style>
  <w:style w:type="paragraph" w:styleId="865">
    <w:name w:val="footnote text"/>
    <w:basedOn w:val="686"/>
    <w:link w:val="866"/>
    <w:uiPriority w:val="99"/>
    <w:semiHidden/>
    <w:unhideWhenUsed/>
    <w:pPr>
      <w:spacing w:after="40" w:line="240" w:lineRule="auto"/>
    </w:pPr>
    <w:rPr>
      <w:sz w:val="18"/>
    </w:rPr>
  </w:style>
  <w:style w:type="character" w:styleId="866" w:customStyle="1">
    <w:name w:val="Текст сноски Знак"/>
    <w:link w:val="865"/>
    <w:uiPriority w:val="99"/>
    <w:rPr>
      <w:sz w:val="18"/>
    </w:rPr>
  </w:style>
  <w:style w:type="character" w:styleId="867">
    <w:name w:val="footnote reference"/>
    <w:basedOn w:val="696"/>
    <w:uiPriority w:val="99"/>
    <w:unhideWhenUsed/>
    <w:rPr>
      <w:vertAlign w:val="superscript"/>
    </w:rPr>
  </w:style>
  <w:style w:type="paragraph" w:styleId="868">
    <w:name w:val="endnote text"/>
    <w:basedOn w:val="686"/>
    <w:link w:val="869"/>
    <w:uiPriority w:val="99"/>
    <w:semiHidden/>
    <w:unhideWhenUsed/>
    <w:pPr>
      <w:spacing w:after="0" w:line="240" w:lineRule="auto"/>
    </w:pPr>
    <w:rPr>
      <w:sz w:val="20"/>
    </w:rPr>
  </w:style>
  <w:style w:type="character" w:styleId="869" w:customStyle="1">
    <w:name w:val="Текст концевой сноски Знак"/>
    <w:link w:val="868"/>
    <w:uiPriority w:val="99"/>
    <w:rPr>
      <w:sz w:val="20"/>
    </w:rPr>
  </w:style>
  <w:style w:type="character" w:styleId="870">
    <w:name w:val="endnote reference"/>
    <w:basedOn w:val="696"/>
    <w:uiPriority w:val="99"/>
    <w:semiHidden/>
    <w:unhideWhenUsed/>
    <w:rPr>
      <w:vertAlign w:val="superscript"/>
    </w:rPr>
  </w:style>
  <w:style w:type="paragraph" w:styleId="871">
    <w:name w:val="toc 1"/>
    <w:basedOn w:val="686"/>
    <w:next w:val="686"/>
    <w:uiPriority w:val="39"/>
    <w:unhideWhenUsed/>
    <w:pPr>
      <w:spacing w:after="57"/>
    </w:pPr>
  </w:style>
  <w:style w:type="paragraph" w:styleId="872">
    <w:name w:val="toc 2"/>
    <w:basedOn w:val="686"/>
    <w:next w:val="686"/>
    <w:uiPriority w:val="39"/>
    <w:unhideWhenUsed/>
    <w:pPr>
      <w:ind w:left="283"/>
      <w:spacing w:after="57"/>
    </w:pPr>
  </w:style>
  <w:style w:type="paragraph" w:styleId="873">
    <w:name w:val="toc 3"/>
    <w:basedOn w:val="686"/>
    <w:next w:val="686"/>
    <w:uiPriority w:val="39"/>
    <w:unhideWhenUsed/>
    <w:pPr>
      <w:ind w:left="567"/>
      <w:spacing w:after="57"/>
    </w:pPr>
  </w:style>
  <w:style w:type="paragraph" w:styleId="874">
    <w:name w:val="toc 4"/>
    <w:basedOn w:val="686"/>
    <w:next w:val="686"/>
    <w:uiPriority w:val="39"/>
    <w:unhideWhenUsed/>
    <w:pPr>
      <w:ind w:left="850"/>
      <w:spacing w:after="57"/>
    </w:pPr>
  </w:style>
  <w:style w:type="paragraph" w:styleId="875">
    <w:name w:val="toc 5"/>
    <w:basedOn w:val="686"/>
    <w:next w:val="686"/>
    <w:uiPriority w:val="39"/>
    <w:unhideWhenUsed/>
    <w:pPr>
      <w:ind w:left="1134"/>
      <w:spacing w:after="57"/>
    </w:pPr>
  </w:style>
  <w:style w:type="paragraph" w:styleId="876">
    <w:name w:val="toc 6"/>
    <w:basedOn w:val="686"/>
    <w:next w:val="686"/>
    <w:uiPriority w:val="39"/>
    <w:unhideWhenUsed/>
    <w:pPr>
      <w:ind w:left="1417"/>
      <w:spacing w:after="57"/>
    </w:pPr>
  </w:style>
  <w:style w:type="paragraph" w:styleId="877">
    <w:name w:val="toc 7"/>
    <w:basedOn w:val="686"/>
    <w:next w:val="686"/>
    <w:uiPriority w:val="39"/>
    <w:unhideWhenUsed/>
    <w:pPr>
      <w:ind w:left="1701"/>
      <w:spacing w:after="57"/>
    </w:pPr>
  </w:style>
  <w:style w:type="paragraph" w:styleId="878">
    <w:name w:val="toc 8"/>
    <w:basedOn w:val="686"/>
    <w:next w:val="686"/>
    <w:uiPriority w:val="39"/>
    <w:unhideWhenUsed/>
    <w:pPr>
      <w:ind w:left="1984"/>
      <w:spacing w:after="57"/>
    </w:pPr>
  </w:style>
  <w:style w:type="paragraph" w:styleId="879">
    <w:name w:val="toc 9"/>
    <w:basedOn w:val="686"/>
    <w:next w:val="686"/>
    <w:uiPriority w:val="39"/>
    <w:unhideWhenUsed/>
    <w:pPr>
      <w:ind w:left="2268"/>
      <w:spacing w:after="57"/>
    </w:pPr>
  </w:style>
  <w:style w:type="paragraph" w:styleId="880">
    <w:name w:val="TOC Heading"/>
    <w:uiPriority w:val="39"/>
    <w:unhideWhenUsed/>
  </w:style>
  <w:style w:type="paragraph" w:styleId="881">
    <w:name w:val="table of figures"/>
    <w:basedOn w:val="686"/>
    <w:next w:val="686"/>
    <w:uiPriority w:val="99"/>
    <w:unhideWhenUsed/>
    <w:pPr>
      <w:spacing w:after="0"/>
    </w:pPr>
  </w:style>
  <w:style w:type="paragraph" w:styleId="882" w:customStyle="1">
    <w:name w:val="ConsPlusNormal"/>
    <w:pPr>
      <w:spacing w:after="0" w:line="240" w:lineRule="auto"/>
      <w:widowControl w:val="off"/>
    </w:pPr>
    <w:rPr>
      <w:rFonts w:ascii="Calibri" w:hAnsi="Calibri" w:eastAsia="Times New Roman" w:cs="Calibri"/>
      <w:szCs w:val="20"/>
      <w:lang w:eastAsia="ru-RU"/>
    </w:rPr>
  </w:style>
  <w:style w:type="paragraph" w:styleId="883" w:customStyle="1">
    <w:name w:val="ConsPlusTitle"/>
    <w:pPr>
      <w:spacing w:after="0" w:line="240" w:lineRule="auto"/>
      <w:widowControl w:val="off"/>
    </w:pPr>
    <w:rPr>
      <w:rFonts w:ascii="Calibri" w:hAnsi="Calibri" w:eastAsia="Times New Roman" w:cs="Calibri"/>
      <w:b/>
      <w:szCs w:val="20"/>
      <w:lang w:eastAsia="ru-RU"/>
    </w:rPr>
  </w:style>
  <w:style w:type="paragraph" w:styleId="884">
    <w:name w:val="Balloon Text"/>
    <w:basedOn w:val="686"/>
    <w:link w:val="885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85" w:customStyle="1">
    <w:name w:val="Текст выноски Знак"/>
    <w:basedOn w:val="696"/>
    <w:link w:val="884"/>
    <w:uiPriority w:val="99"/>
    <w:semiHidden/>
    <w:rPr>
      <w:rFonts w:ascii="Segoe UI" w:hAnsi="Segoe UI" w:cs="Segoe UI"/>
      <w:sz w:val="18"/>
      <w:szCs w:val="18"/>
    </w:rPr>
  </w:style>
  <w:style w:type="character" w:styleId="886">
    <w:name w:val="annotation reference"/>
    <w:basedOn w:val="696"/>
    <w:uiPriority w:val="99"/>
    <w:semiHidden/>
    <w:unhideWhenUsed/>
    <w:rPr>
      <w:sz w:val="16"/>
      <w:szCs w:val="16"/>
    </w:rPr>
  </w:style>
  <w:style w:type="paragraph" w:styleId="887">
    <w:name w:val="annotation text"/>
    <w:basedOn w:val="686"/>
    <w:link w:val="88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88" w:customStyle="1">
    <w:name w:val="Текст примечания Знак"/>
    <w:basedOn w:val="696"/>
    <w:link w:val="887"/>
    <w:uiPriority w:val="99"/>
    <w:semiHidden/>
    <w:rPr>
      <w:sz w:val="20"/>
      <w:szCs w:val="20"/>
    </w:rPr>
  </w:style>
  <w:style w:type="paragraph" w:styleId="889">
    <w:name w:val="annotation subject"/>
    <w:basedOn w:val="887"/>
    <w:next w:val="887"/>
    <w:link w:val="890"/>
    <w:uiPriority w:val="99"/>
    <w:semiHidden/>
    <w:unhideWhenUsed/>
    <w:rPr>
      <w:b/>
      <w:bCs/>
    </w:rPr>
  </w:style>
  <w:style w:type="character" w:styleId="890" w:customStyle="1">
    <w:name w:val="Тема примечания Знак"/>
    <w:basedOn w:val="888"/>
    <w:link w:val="889"/>
    <w:uiPriority w:val="99"/>
    <w:semiHidden/>
    <w:rPr>
      <w:b/>
      <w:bCs/>
      <w:sz w:val="20"/>
      <w:szCs w:val="20"/>
    </w:rPr>
  </w:style>
  <w:style w:type="paragraph" w:styleId="891">
    <w:name w:val="Header"/>
    <w:basedOn w:val="686"/>
    <w:link w:val="89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92" w:customStyle="1">
    <w:name w:val="Верхний колонтитул Знак"/>
    <w:basedOn w:val="696"/>
    <w:link w:val="891"/>
    <w:uiPriority w:val="99"/>
  </w:style>
  <w:style w:type="paragraph" w:styleId="893">
    <w:name w:val="Footer"/>
    <w:basedOn w:val="686"/>
    <w:link w:val="89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94" w:customStyle="1">
    <w:name w:val="Нижний колонтитул Знак"/>
    <w:basedOn w:val="696"/>
    <w:link w:val="893"/>
    <w:uiPriority w:val="99"/>
  </w:style>
  <w:style w:type="paragraph" w:styleId="895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PNO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Иванцова Елена Алексеевна</dc:creator>
  <cp:lastModifiedBy>kolp@NSO.LOC</cp:lastModifiedBy>
  <cp:revision>18</cp:revision>
  <dcterms:created xsi:type="dcterms:W3CDTF">2026-03-14T04:37:00Z</dcterms:created>
  <dcterms:modified xsi:type="dcterms:W3CDTF">2026-03-26T03:56:06Z</dcterms:modified>
</cp:coreProperties>
</file>