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  <w:outlineLvl w:val="0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№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постановлению Правительства Новосибирской области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5953"/>
        <w:jc w:val="center"/>
        <w:spacing w:before="0" w:beforeAutospacing="0" w:after="0" w:afterAutospacing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 _____________ №_______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Приложение №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35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к государственной программе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Новосибирской области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«Жилищно-коммунальное хозяйство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Новосибирской области»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pStyle w:val="872"/>
        <w:ind w:left="5954"/>
        <w:jc w:val="center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3"/>
        <w:jc w:val="center"/>
        <w:spacing w:before="0" w:beforeAutospacing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r>
    </w:p>
    <w:p>
      <w:pPr>
        <w:pStyle w:val="873"/>
        <w:jc w:val="center"/>
        <w:spacing w:before="0" w:beforeAutospacing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  <w:highlight w:val="white"/>
        </w:rPr>
        <w:t xml:space="preserve">Порядок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  <w:highlight w:val="white"/>
        </w:rPr>
      </w:r>
    </w:p>
    <w:p>
      <w:pPr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предоставления и распределения субсидий местным бюджетам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на разработ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ку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ументации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на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за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мену устаревшего отопительного оборудования на современное энергоэффективное и экологически безоп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асное отопительное оборудование отечественного производства 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государственной программы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  <w:t xml:space="preserve">Новосибирской област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и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Жилищно-коммунальное хозяйство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Новосибирской области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color w:val="000000" w:themeColor="text1"/>
          <w:sz w:val="28"/>
          <w:szCs w:val="28"/>
        </w:rPr>
      </w:r>
    </w:p>
    <w:p>
      <w:pPr>
        <w:ind w:firstLine="540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yellow"/>
        </w:rPr>
      </w:r>
    </w:p>
    <w:p>
      <w:pPr>
        <w:pStyle w:val="872"/>
        <w:ind w:firstLine="709"/>
        <w:jc w:val="center"/>
        <w:spacing w:before="0" w:beforeAutospacing="0"/>
        <w:rPr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I. Общие положения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87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Настоящий Порядок предоставления и распределения субсидий на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</w:rPr>
        <w:t xml:space="preserve">разработ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</w:rPr>
        <w:t xml:space="preserve">ку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й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ументации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замену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(далее - Порядок) регламентирует предоставление и расх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одование субсидий местным бюджетам муниципальных районов (округов) Новосибирской области (далее - местные бюджеты) из областного бюджета Новосибирской области (далее - областной бюджет), на разработку проектной 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замену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(далее – субсидия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72"/>
        <w:ind w:firstLine="709"/>
        <w:jc w:val="center"/>
        <w:spacing w:before="0" w:beforeAutospacing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II. Целевое назнач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ение субсидий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2.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Целью предоставления субсидий является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проектной 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замену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Субсидия предоставляется на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оплату муниципальных контрактов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разработку проектной документации и выполнение работ по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проверке достоверности определения сметной стоимости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мероприяти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й по</w:t>
      </w:r>
      <w: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замене устаревшего отопительного оборудования на современное энергоэффективное и экологически безопасное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отопительное оборудование отечественного производства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проведение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государственной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экспертизы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(далее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проектной документации, мероприятие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53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3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. Субсидия предоставляется в пределах бюджетных ассигнований и лимитов бюджетных обязательств, установленных министерству жилищно-коммунального хозяйства и энергетики Новосибирской области (далее - ГРБС) в соответствии с законом об областном бюджете Новоси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бирской области на соответствующий финансовый год и плановый период на реализацию данного направле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ния расходов.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III. Порядок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 распределения субсидий с учетом 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предельных уровней софинансирования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4.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 Р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аспределение субсидий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осуществляется между местными бюджетами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разработку проектной документации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мероприятий 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очередной финансовый год исходя из объемов средств, выделенных на реализацию мероприятий государственной программы Новосибирской области «Жилищно-коммунальное хозяйство Новосибирской области»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областного бюджета.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ри распределении субсидий между местными бюджетами объем субсидии не может превышать объем бюджетных ассигнований на исполнение расходных обязательств муниципального образования, в целях софинансирования которых предоставляется субсидия, с учетом предельно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го уровня софинансирования.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Размер субсидии, предоставляемой местному бюджету на очередной финансовый год и (или) плановый период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разработку проектной документации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рассчитывается по формулам: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Сi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= С x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Упр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/ 100, где: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i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- объем субсидии из областного бюджет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а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предусмотренной i-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му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муниципальному району (округу), тыс. рублей.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Упр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- уровень софинансирования расходных обязательств муниципальных образований, в целях софинансирования которых предоставляется субсидия,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должен быть в пределах уровня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софинансирования,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период, для соответствующего муниципального образования;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- стоимость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работ по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разработке проектной документации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тыс. рублей.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5.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Критериями отбора муниципальных районов (округов) Новосибирской области (далее - получатель) для предоставления субсидии является наличие до 1 августа года, предшествующего плановому году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предоставления субсидии: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pStyle w:val="87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заявки (обращения) муниципального образования, направленной в адрес ГРБС о наличии потребности в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разработке проектной документации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2)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утверж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денных планов модернизации систем отопления домовладений муниципальных районов (округов),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сформированных в соответствии с приложением № 3 к приказу министерства строительства жилищно-коммунального хозяйства и энергетики Российской Федерации от 30.01.2026 №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48/пр.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2026 году реализация мероприятий осуществляется в соответствии с Планом модернизации систем отопления Новосибирской области, утвержденным высшим должностным лицом Новосибирской области либо лицом, уполномоченным им в установленном порядке.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contextualSpacing w:val="0"/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 2027 года реализация мероприятий осуществляется в соответствии с Планом модернизаци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и систем отопления Новосибирской области актуализированным с учетом заявок (обращений) муниципальных образований, поступивших в адрес ГРБС о наличии потребности в реализации плана модернизации систем отопления, предусмотренных пунктом 5 настоящего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pStyle w:val="872"/>
        <w:contextualSpacing w:val="0"/>
        <w:ind w:firstLine="540"/>
        <w:jc w:val="both"/>
        <w:spacing w:before="0" w:beforeAutospacing="0" w:after="0" w:line="240" w:lineRule="auto"/>
        <w:tabs>
          <w:tab w:val="left" w:pos="954" w:leader="none"/>
        </w:tabs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6.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аспределение субсидии местным бюджетам устанавливается законом Новосибирской области об областном бюджете на соответствующий год и плановый период.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IV. Порядок предоставления субсидий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7. 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Уровень софинансирования расходных обязательств муниципальных образований, в целях софинансирования которых предоставляется субсидия, должен быть в пределах уровня софинансирования,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предусматриваемого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период, для соответствующего муниципального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образования.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pStyle w:val="872"/>
        <w:contextualSpacing w:val="0"/>
        <w:ind w:firstLine="540"/>
        <w:jc w:val="both"/>
        <w:spacing w:before="0" w:beforeAutospacing="0" w:after="0" w:line="24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8.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Основанием для предоставления субсидии является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оглашение о предоставлении субсидии, заключаемое между ГРБС и получателем</w:t>
      </w:r>
      <w:r>
        <w:t xml:space="preserve">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системе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Электронный бюджет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в соответствии с типовой формой, утвержденной приказом министерства финансов и налоговой политики Новосибирской области от 09.01.2020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№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1-НПА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Об утверждении типовой формы соглашения о предоставлении субсидии из областного бюджета Новосибирской области бюджету муниципального образования Новосибирской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области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Соглашение заключается на очередной финансовый год и плановый период до 15 февраля очередного финансового года, за исключением соглашений о предоставлении субсидий, бюджетные </w:t>
      </w:r>
      <w:r>
        <w:rPr>
          <w:rFonts w:ascii="Times New Roman" w:hAnsi="Times New Roman" w:cs="Times New Roman"/>
          <w:sz w:val="28"/>
          <w:szCs w:val="28"/>
        </w:rPr>
        <w:t xml:space="preserve">ассигнования</w:t>
      </w:r>
      <w:r>
        <w:rPr>
          <w:rFonts w:ascii="Times New Roman" w:hAnsi="Times New Roman" w:cs="Times New Roman"/>
          <w:sz w:val="28"/>
          <w:szCs w:val="28"/>
        </w:rPr>
        <w:t xml:space="preserve">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Соглашение должно содержать в себе положения, указанн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ые в пункте 8 Правил формирования, предоставления и распределения субсидий из областного бюджета Новосибирской области бюджетам муниципальных образований Новосибирской области, установленных постановлением Правительства Новосибирской области от 03.03.2020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№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40-п.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9.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Условиями предоставления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субсидии являются: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представление получателями ГРБС следующих документов в сроки, установленные в Соглашении: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pStyle w:val="87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заявки на предоставление субсидий;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2"/>
        <w:ind w:firstLine="709"/>
        <w:jc w:val="both"/>
        <w:spacing w:before="0" w:beforeAutospacing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копий муниципальных контрактов, заключенных в соответствии с Федеральным законом от 05.04.2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013 № 44-ФЗ «О контрактной системе в сфере закупок товаров, работ, услуг для обеспечения государственных и муниципальных нужд» и бюджетным законодательством Российской Федерации, направленных на достижение цели, установленной в пункте 2 настоящего Порядка;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копий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положительных заключений государственной экспертизы проектной документации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 xml:space="preserve">проверке достоверности определения сметной стоимости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мероприятий,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включая сметные расчеты;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highlight w:val="white"/>
        </w:rPr>
        <w:t xml:space="preserve">сведени</w:t>
      </w:r>
      <w:r>
        <w:rPr>
          <w:rFonts w:ascii="Times New Roman" w:hAnsi="Times New Roman" w:eastAsia="Times New Roman" w:cs="Times New Roman"/>
          <w:color w:val="000000" w:themeColor="text1"/>
          <w:sz w:val="28"/>
          <w:highlight w:val="white"/>
        </w:rPr>
        <w:t xml:space="preserve">й</w:t>
      </w:r>
      <w:r>
        <w:rPr>
          <w:rFonts w:ascii="Times New Roman" w:hAnsi="Times New Roman" w:eastAsia="Times New Roman" w:cs="Times New Roman"/>
          <w:color w:val="000000" w:themeColor="text1"/>
          <w:sz w:val="28"/>
          <w:highlight w:val="white"/>
        </w:rPr>
        <w:t xml:space="preserve"> о выполненных работах (с приложением копий документов, подтверждающих наличие выполненных работ, в том числе актов выполненных работ и иных документов, предусмотренных условиями муниципального контракта);</w:t>
      </w:r>
      <w:r>
        <w:rPr>
          <w:rFonts w:ascii="Times New Roman" w:hAnsi="Times New Roman" w:eastAsia="Times New Roman" w:cs="Times New Roman"/>
          <w:color w:val="000000" w:themeColor="text1"/>
          <w:sz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2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аличие правовых актов муниципальных образований, утверждающих порядок использования средств местного бюджета, требования о принятии которых установлены бюджетным законодательством Российской Федерации и нормативными правовыми актами, регулирующими бюджетны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правоотношения (в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(далее - п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оселения), субсидий юридическим лицам (за исключением субсидий муниципальным учреждениям), индивидуальным предпринимателям, а также физическим лицам - производителям товаров, работ, услуг, прочих субсидий юридическим лицам);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3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заключение на срок,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соответствующий сроку распределения субсидий между местными бюджетами, соглашений о предоставлении субсидий, предусматривающих обязательства получателя по исполнению расходных обязательств, в целя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х софинансирования которых предоставляются субсидии, и ответственность за неисполнение предусмотренных указанными Соглашениями обязательств, в соответствии с типовыми формами, утвержденными министерством финансов и налоговой политики Новосибирской области;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  <w:t xml:space="preserve">4</w:t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  <w:t xml:space="preserve">централизация закупок товаров, работ, услуг, финансовое обеспечение которых частично или полностью осуществляется за счет средств субсидии, в соответствии с пунктом 1 и подпунктом 2 пункта 4 постановления Правительства Новосибирской области от 30.12.2013</w:t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  <w:t xml:space="preserve"> № 597-п «О наделении полномочиями государственного казенного учреждения Новосибирской области «Управление контрактной системы»;</w:t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5)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включение в соглашения о предоставлении субсидий юридическим лицам (за исключением субсидий муниципальным учреждениям), индивидуальным предпринимателям, физическим лицам, прочих субсидий юридическим лицам, предоставляемых из местного бюджета за счет сред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ств субсидий, условия об отсутствии у получателей субсидий просроченной (неурегулированной) задолженности по денежным обязательствам перед муниципальным образованием (за исключением случаев, установленных местной администрацией муниципального образования);</w:t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trike w:val="0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6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Arial" w:cs="Times New Roman"/>
          <w:strike w:val="0"/>
          <w:color w:val="000000" w:themeColor="text1"/>
          <w:sz w:val="28"/>
          <w:szCs w:val="28"/>
          <w:highlight w:val="white"/>
        </w:rPr>
        <w:t xml:space="preserve">наличие неиспользованного остатка субсидий, предоставленных ранее на аналогичные цели, в объеме, не превышающем 5% от общего объема субсидий, запланированных к предоставлению в соответствующем финансовом году, или его отсутствие;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7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) сокращение объема субсидии в случае, если объем бюджетных ассигнований на исполнение расходных обязательств муниципального образования, в целях софинансирования которых предоставляются субсидии, установлен в местном бюджете ниже уровней, предусмотренных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порядками предоставления субсидий,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бюджета;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8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соответствие параметров бюджета муниципального образования на т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соблюдению ограничения доли долговых обязательств по рыночным заимствованиям на текущий финансовый год: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в отношении муниципального долга муниципального района Новосибирской области (далее - муниципальный район) и поселений, входящих в его состав, - на уровне не более 25% общего объема доходов консолидированного бюджета муниципального района;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в отношении муниципального долга муниципального района - на уровне не более 25% общего объема доходов бюджета муниципального района;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в отношении муниципального долга муниципального округа - на уровне не более 25% общего объема доходов бюджета муниципального округа;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в отношении муниципального долга поселения - на уровне не более 25% общего объема доходов бюджета поселения.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Параметры бюджета муниципального обр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азования на текущий финансовый год, утвержденные решением о бюджете муниципального образования в части муниципального долга, должны учитывать фактическое исполнение доли долговых обязательств по рыночным заимствованиям по итогам отчетного финансового года.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Общий объем доходов бюджета поселения, муниципального района, муниципального округа, городского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округа, консолидированного бюджета муниципального района определяется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highlight w:val="white"/>
        </w:rPr>
      </w:r>
      <w:r>
        <w:rPr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При расчете доли долговых обязательств по рыночным заимствованиям учитываются возможности ее превышения, установленные федеральными законами, регулирующими бюджетные правоотношения.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9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Наличие плана мероприятий по оздоровлению муниципальных финансов на текущий финансовый год, приводящего по итогам его выполнения к непревышению доли долговых обязательств по рыночным заимствованиям, сложившейся на 1 января текущего финансового года по итог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м исполнения бюджета, утвержденного главой муниципального образования, главой входящего в состав муниципального района поселения, допустивших превышение на 1 января текущего финансового года доли долговых обязательств по рыночным заимствованиям по итогам 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сполнения бюджета 25% общего объема доходов бюджета, определенного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10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С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оответствие в течение текущего финансового года параметров бюджета муниципального образования на текущий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ению ограничения доли долговых обязательств по рыночным заимствованиям,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года, в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соответствии с порядком ее определения и уровнями, указанными в подпункте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8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 наст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оя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щего пункта.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11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)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Обеспечение муниципальным образованием в течение текущего финансового года своевременной реализации плана мероприятий по оздоровлению муниципальных финансов на текущий финансовый год,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  <w:vertAlign w:val="baseline"/>
        </w:rPr>
        <w:t xml:space="preserve">утвержденного главой муниципального образования.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  <w:vertAlign w:val="baseline"/>
        </w:rPr>
        <w:t xml:space="preserve">12)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  <w:vertAlign w:val="baseline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при распределении субсидий между местными бюджетами объем субсидии не может превышать объем бюджетных ассигнований на исполнение расходных обязательств муниципального образования, в целях софинансирования которых п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редоставляется субсидия, с учетом предельного уровня софинансирования за счет средств областного бюджета, установленного распоряжением Правительства Новосибирской области на очередной финансовый год и плановый период для каждого муниципального образования.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10.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ГРБС рассматривает представленную заявку на предоставление субсидии и принимает решение о предоставлении субсидии либо решение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об отказе в предоставлении субсидии в течение двух рабочих дней со дня представления заявки на предоставление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субсидии.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Основанием для отказа в предоставлении субсидии является: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1) 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епредставление (представление не в полном объеме либо с нарушением сроков) документов, указанных в подпункте 1 пункта 9 настоящего Порядка;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2)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неисполнение условий предоставления субсидии, предусмотренных подпунктами 2 - 12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пункта 9 настоящего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11. 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случае нарушения по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лучателями условий предоставления субсидий, установленных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пунктом 9 настоящего Порядка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12.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Перечисление субсидий из областного бюджета местному бюджету осуществляется в сроки, установленные в соглашении, на основании заявок муниципальных образований, направляемых по форме, установленной в соглашении.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редоставление администрацией муниципального образования заявки, указанной в абзаце первом настоящего пункта, осуществляется при условии наличия неиспользованного остатка субсидий, предоставленных ранее на аналогичные цели, в объеме, не превышающем 5% от об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щего объема субсидий, запланированных к предоставлению в соответствующем финансовом году, или его отсутствия.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13. 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Условия расходования субсидий: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осуществление расходов производится: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а)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лицевых счетов получателей или с лицевых счетов муниципальных казенных учреждений, уполномоченных органами местного самоуправления, на основании муниципальных контрактов, заключенных в соответствии с действующим законодательством, актов выполненных работ;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б)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 лицевых счетов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получателей на основании соглашений о предоставлении субсидий юридическим лицам, направленных на достижение цели, установленной в пункте 2 настоящего Порядка, в соответствии с порядками предоставления субсидий юридическим лицам, имеющим право на получение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субсидий на основании статьи 78 Бюджетного кодекса Российской Федерации, утвержденными нормативными правовыми актами получателя;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2)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получатели вправе передавать субсидии и иные межбюджетные трансферты в бюджеты поселений, расположенных в границах соответствующих муниципальных районов (округов), на цель, определенную пунктом 2 настоящего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V. Результаты использов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ания субсидий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14. 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Результатом использования субсидии является: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Количество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положительных заключений государственной экспертизы проектной документации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 xml:space="preserve">проверке достоверности определения сметной стоимости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мероприятий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white"/>
        </w:rPr>
        <w:t xml:space="preserve">Значение п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оказателя результата, указанного в настоящем пункте, устанавливается ГРБС в Соглашении.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VI. Порядо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к оценки эффективности использования субсидий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15.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ценка эффективности использования субсидии осуществляется ГРБС на основе отчета о достижении показателя результата использования субсидии, представляемого получателем в сроки, установленные в Соглашении.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Критерием оценки эффективности использования субсидии является достижение показателя результата использования субсидии, установленного в пункте 14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(недостижении) получателем результата, указанного в пункте 14 Порядка.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случае если муниципальным образованием по состоянию на 31 декабря года, в котором местному бюджету предоставлена субсидия, допущены нарушения обязательств по достижению результатов использования субсидии, предусмотренн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ых соглашением, и в срок до 1 апреля года, следующего за годом, в котором местному бюджету предоставлена субсидия, указанные нарушения не устранены, а также отсутствует решение об освобождении муниципального образования от применения мер ответственности за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нарушения условий соглашения, средства субсидии подлежат возврату в областной бюджет в срок до 15 мая года, следующего за годом предоставления субсидии.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В случае если муниципальным образованием по состоянию на 31 декабря года, в котором местному бюджету предоставлена субсидия, допущены нарушения обязательств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, предусмотренн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ых соглашением по соблюдению установленного уровня софинансирования расходных о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бязательств муниципального образования, выраженного в процентах от объема бюджетных ассигнований на исполнение расходных обязательств муниципального образования, предусмотренных в местном бюджете, в целях софинансирования которых предоставляется субсидия,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средства субсидии подлежат возврату в областной бюджет в срок до 15 мая года, следующего за годом предоставления субсидии.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Расчет объема средств, подлежащих возврату из местного бюджета в областной бюджет, в объеме субсидии, предоставленной местному бюджету в отчетном финансовом году, осуществляется в соответствии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с Правилами формирования, предоставления и распределения субсидий из областного бюджета Новосибирской области бюджетам муниципальных образований Новосибирской области, установленными постановлением Правительства Новосибирской области от 03.03.2020 № 40-п.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VII. Основания и порядок применения мер ответственности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line="240" w:lineRule="auto"/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  <w:suppressLineNumbers w:val="0"/>
      </w:pP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  <w:highlight w:val="none"/>
        </w:rPr>
        <w:t xml:space="preserve">за нарушения условий соглашений</w:t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16.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ГРБС и орган государственного финансового контроля осуществляют обязательную проверку соблюдения условий, целей и порядка предоставления субсидий их получателями.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17.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Остаток бюджетных средств, не использованный получателями в текущем финансовом году, подлежит возврату в областной бюджет в соответствии с бюджетным законодательством Российской Федерации и Новосибирской области.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18.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19.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Получатели несут ответственность за 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недос</w:t>
      </w:r>
      <w:bookmarkStart w:id="0" w:name="_GoBack"/>
      <w:r/>
      <w:bookmarkEnd w:id="0"/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тижение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 результатов предоставления субсидии в соответствии с Соглашением.</w:t>
      </w:r>
      <w:bookmarkStart w:id="1" w:name="undefined"/>
      <w:r/>
      <w:bookmarkEnd w:id="1"/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line="240" w:lineRule="auto"/>
        <w:rPr>
          <w:rFonts w:ascii="Times New Roman" w:hAnsi="Times New Roman" w:eastAsia="Arial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Arial" w:cs="Times New Roman"/>
          <w:color w:val="000000" w:themeColor="text1"/>
          <w:sz w:val="28"/>
          <w:szCs w:val="28"/>
          <w:highlight w:val="none"/>
        </w:rPr>
        <w:t xml:space="preserve">20. 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Федерации.</w:t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Arial" w:cs="Times New Roman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widowControl w:val="o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widowControl w:val="o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widowControl w:val="o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center"/>
        <w:spacing w:before="0" w:beforeAutospacing="0" w:after="0" w:line="240" w:lineRule="auto"/>
        <w:widowControl w:val="o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_________».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sectPr>
      <w:headerReference w:type="default" r:id="rId8"/>
      <w:footnotePr/>
      <w:endnotePr/>
      <w:type w:val="nextPage"/>
      <w:pgSz w:w="11906" w:h="16838" w:orient="portrait"/>
      <w:pgMar w:top="1134" w:right="567" w:bottom="1134" w:left="1418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09263360"/>
      <w:docPartObj>
        <w:docPartGallery w:val="Page Numbers (Top of Page)"/>
        <w:docPartUnique w:val="true"/>
      </w:docPartObj>
      <w:rPr/>
    </w:sdtPr>
    <w:sdtContent>
      <w:p>
        <w:pPr>
          <w:pStyle w:val="881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PAGE   \* MERGEFORMAT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 xml:space="preserve">9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</w:r>
        <w:r>
          <w:rPr>
            <w:rFonts w:ascii="Times New Roman" w:hAnsi="Times New Roman" w:cs="Times New Roman"/>
            <w:sz w:val="20"/>
            <w:szCs w:val="20"/>
          </w:rPr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6" w:default="1">
    <w:name w:val="Normal"/>
    <w:qFormat/>
  </w:style>
  <w:style w:type="paragraph" w:styleId="677">
    <w:name w:val="Heading 1"/>
    <w:basedOn w:val="676"/>
    <w:next w:val="676"/>
    <w:link w:val="70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8">
    <w:name w:val="Heading 2"/>
    <w:basedOn w:val="676"/>
    <w:next w:val="676"/>
    <w:link w:val="70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9">
    <w:name w:val="Heading 3"/>
    <w:basedOn w:val="676"/>
    <w:next w:val="676"/>
    <w:link w:val="70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0">
    <w:name w:val="Heading 4"/>
    <w:basedOn w:val="676"/>
    <w:next w:val="676"/>
    <w:link w:val="70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81">
    <w:name w:val="Heading 5"/>
    <w:basedOn w:val="676"/>
    <w:next w:val="676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82">
    <w:name w:val="Heading 6"/>
    <w:basedOn w:val="676"/>
    <w:next w:val="676"/>
    <w:link w:val="71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83">
    <w:name w:val="Heading 7"/>
    <w:basedOn w:val="676"/>
    <w:next w:val="676"/>
    <w:link w:val="71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84">
    <w:name w:val="Heading 8"/>
    <w:basedOn w:val="676"/>
    <w:next w:val="676"/>
    <w:link w:val="71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85">
    <w:name w:val="Heading 9"/>
    <w:basedOn w:val="676"/>
    <w:next w:val="676"/>
    <w:link w:val="71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6" w:default="1">
    <w:name w:val="Default Paragraph Font"/>
    <w:uiPriority w:val="1"/>
    <w:unhideWhenUsed/>
  </w:style>
  <w:style w:type="table" w:styleId="68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8" w:default="1">
    <w:name w:val="No List"/>
    <w:uiPriority w:val="99"/>
    <w:semiHidden/>
    <w:unhideWhenUsed/>
  </w:style>
  <w:style w:type="character" w:styleId="689" w:customStyle="1">
    <w:name w:val="Heading 1 Char"/>
    <w:basedOn w:val="686"/>
    <w:uiPriority w:val="9"/>
    <w:rPr>
      <w:rFonts w:ascii="Arial" w:hAnsi="Arial" w:eastAsia="Arial" w:cs="Arial"/>
      <w:sz w:val="40"/>
      <w:szCs w:val="40"/>
    </w:rPr>
  </w:style>
  <w:style w:type="character" w:styleId="690" w:customStyle="1">
    <w:name w:val="Heading 2 Char"/>
    <w:basedOn w:val="686"/>
    <w:uiPriority w:val="9"/>
    <w:rPr>
      <w:rFonts w:ascii="Arial" w:hAnsi="Arial" w:eastAsia="Arial" w:cs="Arial"/>
      <w:sz w:val="34"/>
    </w:rPr>
  </w:style>
  <w:style w:type="character" w:styleId="691" w:customStyle="1">
    <w:name w:val="Heading 3 Char"/>
    <w:basedOn w:val="686"/>
    <w:uiPriority w:val="9"/>
    <w:rPr>
      <w:rFonts w:ascii="Arial" w:hAnsi="Arial" w:eastAsia="Arial" w:cs="Arial"/>
      <w:sz w:val="30"/>
      <w:szCs w:val="30"/>
    </w:rPr>
  </w:style>
  <w:style w:type="character" w:styleId="692" w:customStyle="1">
    <w:name w:val="Heading 4 Char"/>
    <w:basedOn w:val="686"/>
    <w:uiPriority w:val="9"/>
    <w:rPr>
      <w:rFonts w:ascii="Arial" w:hAnsi="Arial" w:eastAsia="Arial" w:cs="Arial"/>
      <w:b/>
      <w:bCs/>
      <w:sz w:val="26"/>
      <w:szCs w:val="26"/>
    </w:rPr>
  </w:style>
  <w:style w:type="character" w:styleId="693" w:customStyle="1">
    <w:name w:val="Heading 5 Char"/>
    <w:basedOn w:val="686"/>
    <w:uiPriority w:val="9"/>
    <w:rPr>
      <w:rFonts w:ascii="Arial" w:hAnsi="Arial" w:eastAsia="Arial" w:cs="Arial"/>
      <w:b/>
      <w:bCs/>
      <w:sz w:val="24"/>
      <w:szCs w:val="24"/>
    </w:rPr>
  </w:style>
  <w:style w:type="character" w:styleId="694" w:customStyle="1">
    <w:name w:val="Heading 6 Char"/>
    <w:basedOn w:val="686"/>
    <w:uiPriority w:val="9"/>
    <w:rPr>
      <w:rFonts w:ascii="Arial" w:hAnsi="Arial" w:eastAsia="Arial" w:cs="Arial"/>
      <w:b/>
      <w:bCs/>
      <w:sz w:val="22"/>
      <w:szCs w:val="22"/>
    </w:rPr>
  </w:style>
  <w:style w:type="character" w:styleId="695" w:customStyle="1">
    <w:name w:val="Heading 7 Char"/>
    <w:basedOn w:val="68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6" w:customStyle="1">
    <w:name w:val="Heading 8 Char"/>
    <w:basedOn w:val="686"/>
    <w:uiPriority w:val="9"/>
    <w:rPr>
      <w:rFonts w:ascii="Arial" w:hAnsi="Arial" w:eastAsia="Arial" w:cs="Arial"/>
      <w:i/>
      <w:iCs/>
      <w:sz w:val="22"/>
      <w:szCs w:val="22"/>
    </w:rPr>
  </w:style>
  <w:style w:type="character" w:styleId="697" w:customStyle="1">
    <w:name w:val="Heading 9 Char"/>
    <w:basedOn w:val="686"/>
    <w:uiPriority w:val="9"/>
    <w:rPr>
      <w:rFonts w:ascii="Arial" w:hAnsi="Arial" w:eastAsia="Arial" w:cs="Arial"/>
      <w:i/>
      <w:iCs/>
      <w:sz w:val="21"/>
      <w:szCs w:val="21"/>
    </w:rPr>
  </w:style>
  <w:style w:type="character" w:styleId="698" w:customStyle="1">
    <w:name w:val="Title Char"/>
    <w:basedOn w:val="686"/>
    <w:uiPriority w:val="10"/>
    <w:rPr>
      <w:sz w:val="48"/>
      <w:szCs w:val="48"/>
    </w:rPr>
  </w:style>
  <w:style w:type="character" w:styleId="699" w:customStyle="1">
    <w:name w:val="Subtitle Char"/>
    <w:basedOn w:val="686"/>
    <w:uiPriority w:val="11"/>
    <w:rPr>
      <w:sz w:val="24"/>
      <w:szCs w:val="24"/>
    </w:rPr>
  </w:style>
  <w:style w:type="character" w:styleId="700" w:customStyle="1">
    <w:name w:val="Quote Char"/>
    <w:uiPriority w:val="29"/>
    <w:rPr>
      <w:i/>
    </w:rPr>
  </w:style>
  <w:style w:type="character" w:styleId="701" w:customStyle="1">
    <w:name w:val="Intense Quote Char"/>
    <w:uiPriority w:val="30"/>
    <w:rPr>
      <w:i/>
    </w:rPr>
  </w:style>
  <w:style w:type="character" w:styleId="702" w:customStyle="1">
    <w:name w:val="Caption Char"/>
    <w:basedOn w:val="686"/>
    <w:uiPriority w:val="35"/>
    <w:rPr>
      <w:b/>
      <w:bCs/>
      <w:color w:val="5b9bd5" w:themeColor="accent1"/>
      <w:sz w:val="18"/>
      <w:szCs w:val="18"/>
    </w:rPr>
  </w:style>
  <w:style w:type="character" w:styleId="703" w:customStyle="1">
    <w:name w:val="Footnote Text Char"/>
    <w:uiPriority w:val="99"/>
    <w:rPr>
      <w:sz w:val="18"/>
    </w:rPr>
  </w:style>
  <w:style w:type="character" w:styleId="704" w:customStyle="1">
    <w:name w:val="Endnote Text Char"/>
    <w:uiPriority w:val="99"/>
    <w:rPr>
      <w:sz w:val="20"/>
    </w:rPr>
  </w:style>
  <w:style w:type="character" w:styleId="705" w:customStyle="1">
    <w:name w:val="Заголовок 1 Знак"/>
    <w:basedOn w:val="686"/>
    <w:link w:val="677"/>
    <w:uiPriority w:val="9"/>
    <w:rPr>
      <w:rFonts w:ascii="Arial" w:hAnsi="Arial" w:eastAsia="Arial" w:cs="Arial"/>
      <w:sz w:val="40"/>
      <w:szCs w:val="40"/>
    </w:rPr>
  </w:style>
  <w:style w:type="character" w:styleId="706" w:customStyle="1">
    <w:name w:val="Заголовок 2 Знак"/>
    <w:basedOn w:val="686"/>
    <w:link w:val="678"/>
    <w:uiPriority w:val="9"/>
    <w:rPr>
      <w:rFonts w:ascii="Arial" w:hAnsi="Arial" w:eastAsia="Arial" w:cs="Arial"/>
      <w:sz w:val="34"/>
    </w:rPr>
  </w:style>
  <w:style w:type="character" w:styleId="707" w:customStyle="1">
    <w:name w:val="Заголовок 3 Знак"/>
    <w:basedOn w:val="686"/>
    <w:link w:val="679"/>
    <w:uiPriority w:val="9"/>
    <w:rPr>
      <w:rFonts w:ascii="Arial" w:hAnsi="Arial" w:eastAsia="Arial" w:cs="Arial"/>
      <w:sz w:val="30"/>
      <w:szCs w:val="30"/>
    </w:rPr>
  </w:style>
  <w:style w:type="character" w:styleId="708" w:customStyle="1">
    <w:name w:val="Заголовок 4 Знак"/>
    <w:basedOn w:val="686"/>
    <w:link w:val="680"/>
    <w:uiPriority w:val="9"/>
    <w:rPr>
      <w:rFonts w:ascii="Arial" w:hAnsi="Arial" w:eastAsia="Arial" w:cs="Arial"/>
      <w:b/>
      <w:bCs/>
      <w:sz w:val="26"/>
      <w:szCs w:val="26"/>
    </w:rPr>
  </w:style>
  <w:style w:type="character" w:styleId="709" w:customStyle="1">
    <w:name w:val="Заголовок 5 Знак"/>
    <w:basedOn w:val="686"/>
    <w:link w:val="681"/>
    <w:uiPriority w:val="9"/>
    <w:rPr>
      <w:rFonts w:ascii="Arial" w:hAnsi="Arial" w:eastAsia="Arial" w:cs="Arial"/>
      <w:b/>
      <w:bCs/>
      <w:sz w:val="24"/>
      <w:szCs w:val="24"/>
    </w:rPr>
  </w:style>
  <w:style w:type="character" w:styleId="710" w:customStyle="1">
    <w:name w:val="Заголовок 6 Знак"/>
    <w:basedOn w:val="686"/>
    <w:link w:val="682"/>
    <w:uiPriority w:val="9"/>
    <w:rPr>
      <w:rFonts w:ascii="Arial" w:hAnsi="Arial" w:eastAsia="Arial" w:cs="Arial"/>
      <w:b/>
      <w:bCs/>
      <w:sz w:val="22"/>
      <w:szCs w:val="22"/>
    </w:rPr>
  </w:style>
  <w:style w:type="character" w:styleId="711" w:customStyle="1">
    <w:name w:val="Заголовок 7 Знак"/>
    <w:basedOn w:val="686"/>
    <w:link w:val="68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2" w:customStyle="1">
    <w:name w:val="Заголовок 8 Знак"/>
    <w:basedOn w:val="686"/>
    <w:link w:val="684"/>
    <w:uiPriority w:val="9"/>
    <w:rPr>
      <w:rFonts w:ascii="Arial" w:hAnsi="Arial" w:eastAsia="Arial" w:cs="Arial"/>
      <w:i/>
      <w:iCs/>
      <w:sz w:val="22"/>
      <w:szCs w:val="22"/>
    </w:rPr>
  </w:style>
  <w:style w:type="character" w:styleId="713" w:customStyle="1">
    <w:name w:val="Заголовок 9 Знак"/>
    <w:basedOn w:val="686"/>
    <w:link w:val="685"/>
    <w:uiPriority w:val="9"/>
    <w:rPr>
      <w:rFonts w:ascii="Arial" w:hAnsi="Arial" w:eastAsia="Arial" w:cs="Arial"/>
      <w:i/>
      <w:iCs/>
      <w:sz w:val="21"/>
      <w:szCs w:val="21"/>
    </w:rPr>
  </w:style>
  <w:style w:type="paragraph" w:styleId="714">
    <w:name w:val="List Paragraph"/>
    <w:basedOn w:val="676"/>
    <w:uiPriority w:val="34"/>
    <w:qFormat/>
    <w:pPr>
      <w:contextualSpacing/>
      <w:ind w:left="720"/>
    </w:pPr>
  </w:style>
  <w:style w:type="paragraph" w:styleId="715">
    <w:name w:val="No Spacing"/>
    <w:uiPriority w:val="1"/>
    <w:qFormat/>
    <w:pPr>
      <w:spacing w:after="0" w:line="240" w:lineRule="auto"/>
    </w:pPr>
  </w:style>
  <w:style w:type="paragraph" w:styleId="716">
    <w:name w:val="Title"/>
    <w:basedOn w:val="676"/>
    <w:next w:val="676"/>
    <w:link w:val="71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7" w:customStyle="1">
    <w:name w:val="Название Знак"/>
    <w:basedOn w:val="686"/>
    <w:link w:val="716"/>
    <w:uiPriority w:val="10"/>
    <w:rPr>
      <w:sz w:val="48"/>
      <w:szCs w:val="48"/>
    </w:rPr>
  </w:style>
  <w:style w:type="paragraph" w:styleId="718">
    <w:name w:val="Subtitle"/>
    <w:basedOn w:val="676"/>
    <w:next w:val="676"/>
    <w:link w:val="719"/>
    <w:uiPriority w:val="11"/>
    <w:qFormat/>
    <w:pPr>
      <w:spacing w:before="200" w:after="200"/>
    </w:pPr>
    <w:rPr>
      <w:sz w:val="24"/>
      <w:szCs w:val="24"/>
    </w:rPr>
  </w:style>
  <w:style w:type="character" w:styleId="719" w:customStyle="1">
    <w:name w:val="Подзаголовок Знак"/>
    <w:basedOn w:val="686"/>
    <w:link w:val="718"/>
    <w:uiPriority w:val="11"/>
    <w:rPr>
      <w:sz w:val="24"/>
      <w:szCs w:val="24"/>
    </w:rPr>
  </w:style>
  <w:style w:type="paragraph" w:styleId="720">
    <w:name w:val="Quote"/>
    <w:basedOn w:val="676"/>
    <w:next w:val="676"/>
    <w:link w:val="721"/>
    <w:uiPriority w:val="29"/>
    <w:qFormat/>
    <w:pPr>
      <w:ind w:left="720" w:right="720"/>
    </w:pPr>
    <w:rPr>
      <w:i/>
    </w:rPr>
  </w:style>
  <w:style w:type="character" w:styleId="721" w:customStyle="1">
    <w:name w:val="Цитата 2 Знак"/>
    <w:link w:val="720"/>
    <w:uiPriority w:val="29"/>
    <w:rPr>
      <w:i/>
    </w:rPr>
  </w:style>
  <w:style w:type="paragraph" w:styleId="722">
    <w:name w:val="Intense Quote"/>
    <w:basedOn w:val="676"/>
    <w:next w:val="676"/>
    <w:link w:val="72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3" w:customStyle="1">
    <w:name w:val="Выделенная цитата Знак"/>
    <w:link w:val="722"/>
    <w:uiPriority w:val="30"/>
    <w:rPr>
      <w:i/>
    </w:rPr>
  </w:style>
  <w:style w:type="character" w:styleId="724" w:customStyle="1">
    <w:name w:val="Header Char"/>
    <w:basedOn w:val="686"/>
    <w:uiPriority w:val="99"/>
  </w:style>
  <w:style w:type="character" w:styleId="725" w:customStyle="1">
    <w:name w:val="Footer Char"/>
    <w:basedOn w:val="686"/>
    <w:uiPriority w:val="99"/>
  </w:style>
  <w:style w:type="paragraph" w:styleId="726">
    <w:name w:val="Caption"/>
    <w:basedOn w:val="676"/>
    <w:next w:val="676"/>
    <w:link w:val="72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7" w:customStyle="1">
    <w:name w:val="Название объекта Знак"/>
    <w:basedOn w:val="686"/>
    <w:link w:val="726"/>
    <w:uiPriority w:val="35"/>
    <w:rPr>
      <w:b/>
      <w:bCs/>
      <w:color w:val="5b9bd5" w:themeColor="accent1"/>
      <w:sz w:val="18"/>
      <w:szCs w:val="18"/>
    </w:rPr>
  </w:style>
  <w:style w:type="table" w:styleId="728">
    <w:name w:val="Table Grid"/>
    <w:basedOn w:val="68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9" w:customStyle="1">
    <w:name w:val="Table Grid Light"/>
    <w:basedOn w:val="687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0" w:customStyle="1">
    <w:name w:val="Plain Table 1"/>
    <w:basedOn w:val="687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68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6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6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6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6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6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6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6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68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6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76"/>
    <w:link w:val="856"/>
    <w:uiPriority w:val="99"/>
    <w:semiHidden/>
    <w:unhideWhenUsed/>
    <w:pPr>
      <w:spacing w:after="40" w:line="240" w:lineRule="auto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686"/>
    <w:uiPriority w:val="99"/>
    <w:unhideWhenUsed/>
    <w:rPr>
      <w:vertAlign w:val="superscript"/>
    </w:rPr>
  </w:style>
  <w:style w:type="paragraph" w:styleId="858">
    <w:name w:val="endnote text"/>
    <w:basedOn w:val="676"/>
    <w:link w:val="859"/>
    <w:uiPriority w:val="99"/>
    <w:semiHidden/>
    <w:unhideWhenUsed/>
    <w:pPr>
      <w:spacing w:after="0" w:line="240" w:lineRule="auto"/>
    </w:pPr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686"/>
    <w:uiPriority w:val="99"/>
    <w:semiHidden/>
    <w:unhideWhenUsed/>
    <w:rPr>
      <w:vertAlign w:val="superscript"/>
    </w:rPr>
  </w:style>
  <w:style w:type="paragraph" w:styleId="861">
    <w:name w:val="toc 1"/>
    <w:basedOn w:val="676"/>
    <w:next w:val="676"/>
    <w:uiPriority w:val="39"/>
    <w:unhideWhenUsed/>
    <w:pPr>
      <w:spacing w:after="57"/>
    </w:pPr>
  </w:style>
  <w:style w:type="paragraph" w:styleId="862">
    <w:name w:val="toc 2"/>
    <w:basedOn w:val="676"/>
    <w:next w:val="676"/>
    <w:uiPriority w:val="39"/>
    <w:unhideWhenUsed/>
    <w:pPr>
      <w:ind w:left="283"/>
      <w:spacing w:after="57"/>
    </w:pPr>
  </w:style>
  <w:style w:type="paragraph" w:styleId="863">
    <w:name w:val="toc 3"/>
    <w:basedOn w:val="676"/>
    <w:next w:val="676"/>
    <w:uiPriority w:val="39"/>
    <w:unhideWhenUsed/>
    <w:pPr>
      <w:ind w:left="567"/>
      <w:spacing w:after="57"/>
    </w:pPr>
  </w:style>
  <w:style w:type="paragraph" w:styleId="864">
    <w:name w:val="toc 4"/>
    <w:basedOn w:val="676"/>
    <w:next w:val="676"/>
    <w:uiPriority w:val="39"/>
    <w:unhideWhenUsed/>
    <w:pPr>
      <w:ind w:left="850"/>
      <w:spacing w:after="57"/>
    </w:pPr>
  </w:style>
  <w:style w:type="paragraph" w:styleId="865">
    <w:name w:val="toc 5"/>
    <w:basedOn w:val="676"/>
    <w:next w:val="676"/>
    <w:uiPriority w:val="39"/>
    <w:unhideWhenUsed/>
    <w:pPr>
      <w:ind w:left="1134"/>
      <w:spacing w:after="57"/>
    </w:pPr>
  </w:style>
  <w:style w:type="paragraph" w:styleId="866">
    <w:name w:val="toc 6"/>
    <w:basedOn w:val="676"/>
    <w:next w:val="676"/>
    <w:uiPriority w:val="39"/>
    <w:unhideWhenUsed/>
    <w:pPr>
      <w:ind w:left="1417"/>
      <w:spacing w:after="57"/>
    </w:pPr>
  </w:style>
  <w:style w:type="paragraph" w:styleId="867">
    <w:name w:val="toc 7"/>
    <w:basedOn w:val="676"/>
    <w:next w:val="676"/>
    <w:uiPriority w:val="39"/>
    <w:unhideWhenUsed/>
    <w:pPr>
      <w:ind w:left="1701"/>
      <w:spacing w:after="57"/>
    </w:pPr>
  </w:style>
  <w:style w:type="paragraph" w:styleId="868">
    <w:name w:val="toc 8"/>
    <w:basedOn w:val="676"/>
    <w:next w:val="676"/>
    <w:uiPriority w:val="39"/>
    <w:unhideWhenUsed/>
    <w:pPr>
      <w:ind w:left="1984"/>
      <w:spacing w:after="57"/>
    </w:pPr>
  </w:style>
  <w:style w:type="paragraph" w:styleId="869">
    <w:name w:val="toc 9"/>
    <w:basedOn w:val="676"/>
    <w:next w:val="676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76"/>
    <w:next w:val="676"/>
    <w:uiPriority w:val="99"/>
    <w:unhideWhenUsed/>
    <w:pPr>
      <w:spacing w:after="0"/>
    </w:pPr>
  </w:style>
  <w:style w:type="paragraph" w:styleId="872" w:customStyle="1">
    <w:name w:val="ConsPlusNormal"/>
    <w:uiPriority w:val="99"/>
    <w:pPr>
      <w:spacing w:after="0" w:line="240" w:lineRule="auto"/>
      <w:widowControl w:val="off"/>
    </w:pPr>
    <w:rPr>
      <w:rFonts w:ascii="Calibri" w:hAnsi="Calibri" w:eastAsia="Times New Roman" w:cs="Calibri"/>
      <w:szCs w:val="20"/>
      <w:lang w:eastAsia="ru-RU"/>
    </w:rPr>
  </w:style>
  <w:style w:type="paragraph" w:styleId="873" w:customStyle="1">
    <w:name w:val="ConsPlusTitle"/>
    <w:pPr>
      <w:spacing w:after="0" w:line="240" w:lineRule="auto"/>
      <w:widowControl w:val="off"/>
    </w:pPr>
    <w:rPr>
      <w:rFonts w:ascii="Calibri" w:hAnsi="Calibri" w:eastAsia="Times New Roman" w:cs="Calibri"/>
      <w:b/>
      <w:szCs w:val="20"/>
      <w:lang w:eastAsia="ru-RU"/>
    </w:rPr>
  </w:style>
  <w:style w:type="paragraph" w:styleId="874">
    <w:name w:val="Balloon Text"/>
    <w:basedOn w:val="676"/>
    <w:link w:val="875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75" w:customStyle="1">
    <w:name w:val="Текст выноски Знак"/>
    <w:basedOn w:val="686"/>
    <w:link w:val="874"/>
    <w:uiPriority w:val="99"/>
    <w:semiHidden/>
    <w:rPr>
      <w:rFonts w:ascii="Segoe UI" w:hAnsi="Segoe UI" w:cs="Segoe UI"/>
      <w:sz w:val="18"/>
      <w:szCs w:val="18"/>
    </w:rPr>
  </w:style>
  <w:style w:type="character" w:styleId="876">
    <w:name w:val="annotation reference"/>
    <w:basedOn w:val="686"/>
    <w:uiPriority w:val="99"/>
    <w:semiHidden/>
    <w:unhideWhenUsed/>
    <w:rPr>
      <w:sz w:val="16"/>
      <w:szCs w:val="16"/>
    </w:rPr>
  </w:style>
  <w:style w:type="paragraph" w:styleId="877">
    <w:name w:val="annotation text"/>
    <w:basedOn w:val="676"/>
    <w:link w:val="87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78" w:customStyle="1">
    <w:name w:val="Текст примечания Знак"/>
    <w:basedOn w:val="686"/>
    <w:link w:val="877"/>
    <w:uiPriority w:val="99"/>
    <w:semiHidden/>
    <w:rPr>
      <w:sz w:val="20"/>
      <w:szCs w:val="20"/>
    </w:rPr>
  </w:style>
  <w:style w:type="paragraph" w:styleId="879">
    <w:name w:val="annotation subject"/>
    <w:basedOn w:val="877"/>
    <w:next w:val="877"/>
    <w:link w:val="880"/>
    <w:uiPriority w:val="99"/>
    <w:semiHidden/>
    <w:unhideWhenUsed/>
    <w:rPr>
      <w:b/>
      <w:bCs/>
    </w:rPr>
  </w:style>
  <w:style w:type="character" w:styleId="880" w:customStyle="1">
    <w:name w:val="Тема примечания Знак"/>
    <w:basedOn w:val="878"/>
    <w:link w:val="879"/>
    <w:uiPriority w:val="99"/>
    <w:semiHidden/>
    <w:rPr>
      <w:b/>
      <w:bCs/>
      <w:sz w:val="20"/>
      <w:szCs w:val="20"/>
    </w:rPr>
  </w:style>
  <w:style w:type="paragraph" w:styleId="881">
    <w:name w:val="Header"/>
    <w:basedOn w:val="676"/>
    <w:link w:val="88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82" w:customStyle="1">
    <w:name w:val="Верхний колонтитул Знак"/>
    <w:basedOn w:val="686"/>
    <w:link w:val="881"/>
    <w:uiPriority w:val="99"/>
  </w:style>
  <w:style w:type="paragraph" w:styleId="883">
    <w:name w:val="Footer"/>
    <w:basedOn w:val="676"/>
    <w:link w:val="88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84" w:customStyle="1">
    <w:name w:val="Нижний колонтитул Знак"/>
    <w:basedOn w:val="686"/>
    <w:link w:val="883"/>
    <w:uiPriority w:val="99"/>
  </w:style>
  <w:style w:type="paragraph" w:styleId="885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PNO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Иванцова Елена Алексеевна</dc:creator>
  <cp:lastModifiedBy>kolp@NSO.LOC</cp:lastModifiedBy>
  <cp:revision>12</cp:revision>
  <dcterms:created xsi:type="dcterms:W3CDTF">2026-03-14T04:55:00Z</dcterms:created>
  <dcterms:modified xsi:type="dcterms:W3CDTF">2026-03-26T03:58:51Z</dcterms:modified>
</cp:coreProperties>
</file>