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5953"/>
        <w:jc w:val="center"/>
        <w:rPr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  <w:t xml:space="preserve">ПРИЛОЖЕНИЕ</w:t>
      </w:r>
      <w:r>
        <w:rPr>
          <w:highlight w:val="none"/>
        </w:rPr>
        <w:t xml:space="preserve"> №1</w:t>
      </w:r>
      <w:r>
        <w:rPr>
          <w:highlight w:val="none"/>
        </w:rPr>
      </w:r>
      <w:r>
        <w:rPr>
          <w:highlight w:val="none"/>
        </w:rPr>
      </w:r>
    </w:p>
    <w:p>
      <w:pPr>
        <w:jc w:val="right"/>
        <w:tabs>
          <w:tab w:val="left" w:pos="938" w:leader="none"/>
        </w:tabs>
        <w:rPr>
          <w:highlight w:val="none"/>
        </w:rPr>
      </w:pPr>
      <w:r>
        <w:rPr>
          <w:highlight w:val="none"/>
        </w:rPr>
        <w:t xml:space="preserve">к </w:t>
      </w:r>
      <w:r>
        <w:rPr>
          <w:highlight w:val="none"/>
        </w:rPr>
        <w:t xml:space="preserve">постановлению Правительства</w:t>
      </w:r>
      <w:r>
        <w:rPr>
          <w:highlight w:val="none"/>
        </w:rPr>
      </w:r>
      <w:r>
        <w:rPr>
          <w:highlight w:val="none"/>
        </w:rPr>
      </w:r>
    </w:p>
    <w:p>
      <w:pPr>
        <w:ind w:firstLine="5953"/>
        <w:jc w:val="center"/>
        <w:rPr>
          <w:highlight w:val="none"/>
        </w:rPr>
        <w:suppressLineNumbers w:val="0"/>
      </w:pPr>
      <w:r>
        <w:rPr>
          <w:highlight w:val="none"/>
        </w:rPr>
        <w:t xml:space="preserve">Новосибирской области</w:t>
      </w:r>
      <w:r>
        <w:rPr>
          <w:highlight w:val="none"/>
        </w:rPr>
      </w:r>
      <w:r>
        <w:rPr>
          <w:highlight w:val="none"/>
        </w:rPr>
      </w:r>
    </w:p>
    <w:p>
      <w:pPr>
        <w:ind w:firstLine="5953"/>
        <w:jc w:val="center"/>
        <w:rPr>
          <w:highlight w:val="none"/>
        </w:rPr>
        <w:suppressLineNumbers w:val="0"/>
      </w:pPr>
      <w:r>
        <w:rPr>
          <w:highlight w:val="none"/>
        </w:rPr>
        <w:t xml:space="preserve">от _____________ №_______</w:t>
      </w:r>
      <w:r>
        <w:rPr>
          <w:highlight w:val="none"/>
        </w:rPr>
      </w:r>
      <w:r>
        <w:rPr>
          <w:highlight w:val="none"/>
        </w:rPr>
      </w:r>
    </w:p>
    <w:p>
      <w:pPr>
        <w:ind w:firstLine="5953"/>
        <w:jc w:val="center"/>
        <w:rPr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5953"/>
        <w:jc w:val="center"/>
        <w:rPr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5953"/>
        <w:jc w:val="center"/>
        <w:rPr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jc w:val="right"/>
        <w:tabs>
          <w:tab w:val="left" w:pos="938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Изменения, которые вносятся в постановление Правительства Новосибирской области от 16.02.2015 № 66-п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1. В государственной программе Новосибирской области «Жилищно-коммунальное хозяйство Новосибирской области» (далее – Программа):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1) в подразделе </w:t>
      </w:r>
      <w:r>
        <w:rPr>
          <w:highlight w:val="none"/>
        </w:rPr>
        <w:t xml:space="preserve">4 «Задачи (направления) государственной программы, способы их эффективного решения» </w:t>
      </w:r>
      <w:r>
        <w:rPr>
          <w:highlight w:val="none"/>
        </w:rPr>
        <w:t xml:space="preserve">раздела I «Стратегические приоритеты в сфере реализации государственной пр</w:t>
      </w:r>
      <w:r>
        <w:rPr>
          <w:highlight w:val="none"/>
        </w:rPr>
        <w:t xml:space="preserve">ограммы Новосибирской области «Жилищно-коммунальное хозяйство Новосибирской области»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а) после абзаца сорок второго дополнить абзацем следующего содержания: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«</w:t>
      </w:r>
      <w:r>
        <w:rPr>
          <w:highlight w:val="none"/>
        </w:rPr>
        <w:t xml:space="preserve">порядок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предоставления и распределения субсидий местным бюджетам на приобретение, доставку и монтаж блочно-модульных очистных сооружений </w:t>
      </w:r>
      <w:r>
        <w:rPr>
          <w:highlight w:val="none"/>
        </w:rPr>
        <w:t xml:space="preserve">государственной программы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 - </w:t>
      </w:r>
      <w:r>
        <w:rPr>
          <w:highlight w:val="none"/>
        </w:rPr>
        <w:t xml:space="preserve">в приложении № 33 к государственной программе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sz w:val="28"/>
          <w:szCs w:val="28"/>
          <w:lang w:eastAsia="en-US"/>
        </w:rPr>
        <w:t xml:space="preserve">порядок предоставления и распределения субсидий местным бюджетам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замену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области»</w:t>
      </w:r>
      <w:r>
        <w:rPr>
          <w:highlight w:val="none"/>
        </w:rPr>
        <w:t xml:space="preserve"> - </w:t>
      </w:r>
      <w:r>
        <w:rPr>
          <w:highlight w:val="none"/>
        </w:rPr>
        <w:t xml:space="preserve">в приложении № 34 к государственной программе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sz w:val="28"/>
          <w:szCs w:val="28"/>
          <w:lang w:eastAsia="en-US"/>
        </w:rPr>
        <w:t xml:space="preserve">порядок предоставления и распределения субсидий местным бюджетам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</w:rPr>
        <w:t xml:space="preserve">разработ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</w:rPr>
        <w:t xml:space="preserve">ку 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й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ументации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замену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</w:t>
      </w:r>
      <w:r>
        <w:rPr>
          <w:highlight w:val="none"/>
        </w:rPr>
        <w:t xml:space="preserve"> - </w:t>
      </w:r>
      <w:r>
        <w:rPr>
          <w:highlight w:val="none"/>
        </w:rPr>
        <w:t xml:space="preserve">в приложении № 35 к государственной программе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</w:t>
      </w:r>
      <w:r>
        <w:rPr>
          <w:highlight w:val="none"/>
        </w:rPr>
        <w:t xml:space="preserve">.</w:t>
      </w:r>
      <w:r>
        <w:rPr>
          <w:highlight w:val="none"/>
        </w:rPr>
        <w:t xml:space="preserve">»;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б) абзац сорок третий</w:t>
      </w:r>
      <w:r>
        <w:rPr>
          <w:highlight w:val="none"/>
        </w:rPr>
        <w:t xml:space="preserve"> </w:t>
      </w:r>
      <w:r>
        <w:rPr>
          <w:highlight w:val="none"/>
        </w:rPr>
        <w:t xml:space="preserve">изложить в следующей редакции: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«</w:t>
      </w:r>
      <w:r>
        <w:rPr>
          <w:highlight w:val="none"/>
        </w:rPr>
        <w:t xml:space="preserve">Методика распределения иных межбюджетных трансфертов из бюджета Новосибирской области и правила их предоставления установлены в приложении № 28 к государственной программе Новосибирской области «Жилищно-коммунальное хозяйство Новосибирской области»;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Методика </w:t>
      </w:r>
      <w:r>
        <w:rPr>
          <w:highlight w:val="none"/>
        </w:rPr>
        <w:t xml:space="preserve">распределения иных межбюджетных трансфертов на финансовое </w:t>
      </w:r>
      <w:r>
        <w:rPr>
          <w:highlight w:val="none"/>
        </w:rPr>
        <w:t xml:space="preserve">обеспечение реализации инфраструктурных проектов за счет</w:t>
      </w:r>
      <w:r>
        <w:rPr>
          <w:highlight w:val="none"/>
        </w:rPr>
        <w:t xml:space="preserve"> </w:t>
      </w:r>
      <w:r>
        <w:rPr>
          <w:highlight w:val="none"/>
        </w:rPr>
        <w:t xml:space="preserve">казначейских инфраструктурных кредитов государственной</w:t>
      </w:r>
      <w:r>
        <w:rPr>
          <w:highlight w:val="none"/>
        </w:rPr>
        <w:t xml:space="preserve"> </w:t>
      </w:r>
      <w:r>
        <w:rPr>
          <w:highlight w:val="none"/>
        </w:rPr>
        <w:t xml:space="preserve">программы Новосибирской области «Жилищно-коммунальное </w:t>
      </w:r>
      <w:r>
        <w:rPr>
          <w:highlight w:val="none"/>
        </w:rPr>
        <w:t xml:space="preserve">хозяйство Новосибирской области» и правила их предоставления установлены  </w:t>
      </w:r>
      <w:r>
        <w:rPr>
          <w:highlight w:val="none"/>
        </w:rPr>
        <w:t xml:space="preserve">в приложении № 32 к государственной программе Новосибирской области «Жилищно-коммунальное хозяйство Новосибирской области».</w:t>
      </w:r>
      <w:r>
        <w:rPr>
          <w:highlight w:val="none"/>
        </w:rPr>
        <w:t xml:space="preserve">».</w:t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rPr>
          <w:highlight w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2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)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в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приложении № 10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«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Порядок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предоставления и распределения субсидий местным бюджетам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на реализацию мероприятий по проектированию и строительству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объектов газификации государственной программы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Новосибирской области «Жилищно-коммунальное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хозяйство Новосибирской области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а)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 </w:t>
      </w:r>
      <w:r>
        <w:rPr>
          <w:highlight w:val="none"/>
        </w:rPr>
        <w:t xml:space="preserve">подпункты 1, 3, 7, 8, 9, 10 и 13 пункта 8</w:t>
      </w:r>
      <w:r>
        <w:rPr>
          <w:highlight w:val="none"/>
        </w:rPr>
        <w:t xml:space="preserve"> исключить;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б) после подпункта 13 дополнить пункт 8 абзацем следующего содержания: 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</w:t>
      </w:r>
      <w:r>
        <w:rPr>
          <w:highlight w:val="none"/>
        </w:rPr>
        <w:t xml:space="preserve">14) соблюдение условий предоставления субсидий, установленных в подпункте 2 пункта 7 Правил формирования, предоставления и распределения субсидий из областного бюджета Новосибирской области бюджетам муниципальных образований Новосибирской области, установл</w:t>
      </w:r>
      <w:r>
        <w:rPr>
          <w:highlight w:val="none"/>
        </w:rPr>
        <w:t xml:space="preserve">енных постановлением Правительства Новосибирской области от 03.03.2020 № 40-п.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».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3) подпункт 8 пункта 10 </w:t>
      </w:r>
      <w:r>
        <w:rPr>
          <w:highlight w:val="none"/>
        </w:rPr>
        <w:t xml:space="preserve">приложения</w:t>
      </w:r>
      <w:r>
        <w:rPr>
          <w:color w:val="000000"/>
          <w:highlight w:val="none"/>
        </w:rPr>
        <w:t xml:space="preserve"> № 16 </w:t>
      </w:r>
      <w:r>
        <w:rPr>
          <w:highlight w:val="none"/>
        </w:rPr>
        <w:t xml:space="preserve">«</w:t>
      </w:r>
      <w:r>
        <w:rPr>
          <w:highlight w:val="none"/>
        </w:rPr>
        <w:t xml:space="preserve">Порядок предоставления и распределения субсидий местным бюджетам на реализацию мероприятий по снабжению населения топливом государственной программы Новосибирской области «Жилищно-коммунальное хозяйство Новосибирской области» изложить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муниципальных образований, у которых на 1 января текущего финансового года общий объем муниципального долга по муниципальным ценным бумагам и кредитам, полученным от кредитных организаций (далее - доля долговых обязательств по рыночным заимствованиям),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итогам исполнения бюджета муниципального образования не превышает 25% общего объема доходов бюджета муниципального образования, определенного без учета объема безвозмездных поступлений и (или) поступлений налоговых доходов по дополнительным нормативам отчи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слений от налога на доходы физических лиц: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оответствие параметров бюджета муниципального образования на текущий финансовый год, утвержденных решением о бюджете муниципального образования в части доходов местного бюджета и муниципального долга, требованию по соблюдению ограничения доли долговых обяз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ательств по рыночным заимствованиям на текущий финансовый год: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Новосибирской области (далее - муниципальный район) и поселений, входящих в его состав, - на уровне не более 25% общего объема доходов консолидированного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- на уровне не более 25% общего объема доходов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округа - на уровне не более 25% общего объема доходов бюджета муниципального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городского округа - на уровне не более 25% общего объема доходов бюджета городского округа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араметры бюджета муниципального образования на текущий финансовый год, утвержденные решением о бюджете муниципального образования в части муниципального долга, должны учитывать фактическое исполнение доли долговых обязательств по рыночным заимствованиям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итогам отчетного финансового года.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бщий объем доходов бюджета муниципального района, муниципального округа, городского округа, консолидированного бюджета муниципального района определяется без учета объема безвозмездных поступлений и (или) поступлений налоговых доходов по дополни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 расчете доли долговых обязательств по рыночным заимствованиям учитываются возможности ее превышения, установленные федеральными законами, регулирующими бюджетные правоотношения;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течение текущего фин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нсового года параметры бюджета муниципального образования на текущий финансовый год, утвержденные решением о бюджете муниципального образования в части доходов местного бюджета и муниципального долга, должны соответствовать требованию по соблюдению огранич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ния доли долговых обязательств по рыночным заимствованиям,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года, в соответствии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 порядком ее определения и уровнями, указанными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данном пункте.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муниципальных образований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которых на 1 января текущего финансового года доля долговых обязательств по рыночным заимствованиям по итогам исполнения бюджета муниципального образования превышает 25% общего объема доходов бюджета муниципального образования, определенного без учета объ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ема безвозмездных поступлений и (или) поступлений налоговых доходов по дополнительным нормативам отчислений от налога на доходы физических лиц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аличие плана мероприятий по оздоровлению муниципальных финансов на текущий финансовый год, приводящего по итогам его выполнения к непревышению доли долговых обязательств по рыночным заимствованиям, сложившейся на 1 января текущего финансового года по итога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исполнения бюджета, утвержденного главой муниципального образования, главой входящего в состав муниципального района поселения, допустивших превышение на 1 января текущего финансового года доли долговых обязательств по рыночным заимствованиям по итогам ис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полнения бюджета 25% общего объема доходов бюджета, определенного без учета объема безвозмездных поступлений и (или) поступлений налоговых доходов по дополнительным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Муниципальное образование в течение текущего финансового года обеспечивает своевременную реализацию плана мероприятий по оздоровлению муниципальных финансов на текущий финансовый год, утвержденного главой муниципального образования.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4) в </w:t>
      </w:r>
      <w:r>
        <w:rPr>
          <w:highlight w:val="none"/>
        </w:rPr>
        <w:t xml:space="preserve">приложении</w:t>
      </w:r>
      <w:r>
        <w:rPr>
          <w:color w:val="000000"/>
          <w:highlight w:val="none"/>
        </w:rPr>
        <w:t xml:space="preserve"> № 17 </w:t>
      </w:r>
      <w:r>
        <w:rPr>
          <w:highlight w:val="none"/>
        </w:rPr>
        <w:t xml:space="preserve">«</w:t>
      </w:r>
      <w:r>
        <w:rPr>
          <w:color w:val="000000"/>
          <w:highlight w:val="none"/>
        </w:rPr>
        <w:t xml:space="preserve">Порядок предоставления и распределения субсидий местным бюджетам на реализацию мероприятий по переселению граждан из аварийного жилищного фонда государственной программы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а) </w:t>
      </w:r>
      <w:r>
        <w:t xml:space="preserve">абзац двадцатый пункта 4 исключить;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б) </w:t>
      </w:r>
      <w:r>
        <w:rPr>
          <w:highlight w:val="none"/>
        </w:rPr>
        <w:t xml:space="preserve">пункт 9.1</w:t>
      </w:r>
      <w:r>
        <w:rPr>
          <w:highlight w:val="none"/>
        </w:rPr>
        <w:t xml:space="preserve"> и</w:t>
      </w:r>
      <w:r>
        <w:rPr>
          <w:highlight w:val="none"/>
        </w:rPr>
        <w:t xml:space="preserve">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«</w:t>
      </w:r>
      <w:r>
        <w:t xml:space="preserve">9.1. Уровень софинансирования расходных обязательств муниципальных образований, в целях софинансирования которых предоставляется субсидия, не может быть ниже уровня софинансирования, предусмотренного распоряжением Правительства Новосибирской области об уст</w:t>
      </w:r>
      <w:r>
        <w:t xml:space="preserve">ановлении предельных уровней софинансирования на очередной финансовый год и плановый период, для соответствующего муниципального образования.</w:t>
      </w:r>
      <w:r>
        <w:rPr>
          <w:highlight w:val="none"/>
        </w:rPr>
        <w:t xml:space="preserve">»;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в) </w:t>
      </w:r>
      <w:r>
        <w:rPr>
          <w:highlight w:val="none"/>
        </w:rPr>
        <w:t xml:space="preserve">подпункт 9 пункта 10</w:t>
      </w:r>
      <w:r>
        <w:rPr>
          <w:highlight w:val="none"/>
        </w:rPr>
        <w:t xml:space="preserve"> и</w:t>
      </w:r>
      <w:r>
        <w:rPr>
          <w:highlight w:val="none"/>
        </w:rPr>
        <w:t xml:space="preserve">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муниципальных образований, у которых на 1 января текущего финансового года общий объем муниципального долга по муниципальным ценным бумагам и кредитам, полученным от кредитных организаций (далее - доля долговых обязательств по рыночным заимствованиям),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итогам исполнения бюджета муниципального образования не превышает 25% общего объема доходов бюджета муниципального образования, определенного без учета объема безвозмездных поступлений и (или) поступлений налоговых доходов по дополнительным нормативам отчи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слений от налога на доходы физических лиц: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оответствие параметров бюджета муниципального образования на текущий финансовый год, утвержденных решением о бюджете муниципального образования в части доходов местного бюджета и муниципального долга, требованию по соблюдению ограничения доли долговых обяз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ательств по рыночным заимствованиям на текущий финансовый год: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Новосибирской области (далее - муниципальный район) и поселений, входящих в его состав, - на уровне не более 25% общего объема доходов консолидированного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округа - на уровне не более 25% общего объема доходов бюджета муниципального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городского округа - на уровне не более 25% общего объема доходов бюджета городского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поселения - на уровне не более 25% общего объема доходов бюджета поселения.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араметры бюджета муниципального образования на текущий финансовый год, утвержденные решением о бюджете муниципального образования в части муниципального долга, должны учитывать фактическое исполнение доли долговых обязательств по рыночным заимствованиям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итогам отчетного финансового года.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бщий объем доходов бюджета поселения, муниципального района, муниципального округа, городского округа, консолидированного бюджета муниципального района определяется без учета объема безвозмездных поступлений и (или) поступлений налоговых доходов по дополни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 расчете доли долговых обязательств по рыночным заимствованиям учитываются возможности ее превышения, установленные федеральными законами, регулирующими бюджетные правоотношения;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течение текущего фин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нсового года параметры бюджета муниципального образования на текущий финансовый год, утвержденные решением о бюджете муниципального образования в части доходов местного бюджета и муниципального долга, должны соответствовать требованию по соблюдению огранич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ния доли долговых обязательств по рыночным заимствованиям,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года, в соответствии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 порядком ее определения и уровнями, указанными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данном пункте.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муниципальных образований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которых на 1 января текущего финансового года доля долговых обязательств по рыночным заимствованиям по итогам исполнения бюджета муниципального образования превышает 25% общего объема доходов бюджета муниципального образования, определенного без учета объ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ема безвозмездных поступлений и (или) поступлений налоговых доходов по дополнительным нормативам отчислений от налога на доходы физических лиц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аличие плана мероприятий по оздоровлению муниципальных финансов на текущий финансовый год, приводящего по итогам его выполнения к непревышению доли долговых обязательств по рыночным заимствованиям, сложившейся на 1 января текущего финансового года по итога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исполнения бюджета, утвержденного главой муниципального образования, главой входящего в состав муниципального района поселения, допустивших превышение на 1 января текущего финансового года доли долговых обязательств по рыночным заимствованиям по итогам ис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полнения бюджета 25% общего объема доходов бюджета, определенного без учета объема безвозмездных поступлений и (или) поступлений налоговых доходов по дополнительным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Муниципальное образование в течение текущего финансового года обеспечивает своевременную реализацию плана мероприятий по оздоровлению муниципальных финансов на текущий финансовый год, утвержденного главой муниципального образования.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г) </w:t>
      </w:r>
      <w:r>
        <w:t xml:space="preserve">подпункт 2 пункта 15 исключить;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5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)  в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приложении № 20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«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П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орядок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предоставления и распределения субсидий местным бюджетам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на реализацию программ формирования современной городской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среды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государственной программы Новосибирской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области «Жилищно-коммунальное хозяйство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Новосибирской области»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: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а)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 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в пункте 9: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исключить восьмой абзац подпункта 4;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подпункт 12 изложить в следующей редакции: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«12) обеспечение синхронизации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р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еализации мероприятий в рамках муниципальной программы с реализуемыми в муниципальных образованиях мероприятиями в сфере обеспечения доступности городской среды для маломобильных групп населения, цифровизации городского хозяйства, а также мероприятиями в р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а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мках национальных проектов «Молодежь и дети», «Семья», «Продолжительная и активная жизнь», «Экологическое благополучие», «Туризм и гостеприимство» в соответствии с перечнем таких мероприятий и методическими рекомендациями по синхронизации мероприятий в рам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ках государственных и муниципальных программ, утверждаемыми Министерством строительства и жилищно-коммунального хозяйства Российской Федерации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;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подпункт 14 изложить в следующей редакции: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ежегодное проведение органами местного самоуправления муниципальных образований с численностью населения свыше 20 тыс. человек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г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олосования по отбору общественных территорий в электронной форме в информационно-телекоммуникационной сети «Интернет», в том числе с использованием платформы по голосованию за объекты благоустройства, и размещение информации о перечне общественных территор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и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й, подлежащих включению в государственную программу по итогам голосования по отбору общественных территорий, в информационно-телекоммуникационной сети «Интернет», в том числе на платформе по голосованию за объекты благоустройства, не позднее 20 календарных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дней со дня окончания голосования по отбору общественных территорий в соответствующем году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;»;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исключить подпункт 28;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дополнить подпунктом 29 следующего содержания: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«29) наличие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с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огласованных с государственным казенным учреждением Новосибирской области «Проектная дирекция министерства жилищно-коммунального хозяйства и энергетики Новосибирской области» и утвержденных не позднее 1 марта текущего года, с учетом обсуждения с представит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е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лями заинтересованных лиц, дизайн-проектов благоустройства каждой дворовой и общественной территории, включенной в муниципальную программу, планируемых к реализации в соответствующем году. В указанные дизайн-проекты включаются текстовое и визуальное описан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ия предлагаемых проектов, в том числе их концепция и перечень (в том числе визуализированный) элементов благоустройства, предлагаемых к размещению на соответствующей территории;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»;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б) исключить 2 абзац пункта 12;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rPr>
          <w:highlight w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6) </w:t>
      </w:r>
      <w:r>
        <w:rPr>
          <w:highlight w:val="none"/>
        </w:rPr>
        <w:t xml:space="preserve">подпункт 11 пункта 8 </w:t>
      </w:r>
      <w:r>
        <w:rPr>
          <w:highlight w:val="none"/>
        </w:rPr>
        <w:t xml:space="preserve">приложения</w:t>
      </w:r>
      <w:r>
        <w:rPr>
          <w:color w:val="000000"/>
          <w:highlight w:val="none"/>
        </w:rPr>
        <w:t xml:space="preserve"> № 21 </w:t>
      </w:r>
      <w:r>
        <w:rPr>
          <w:highlight w:val="none"/>
        </w:rPr>
        <w:t xml:space="preserve">«</w:t>
      </w:r>
      <w:r>
        <w:rPr>
          <w:highlight w:val="none"/>
        </w:rPr>
        <w:t xml:space="preserve">Порядок предоставления и распределения субсидий местным бюджетам на обеспечение мероприят</w:t>
      </w:r>
      <w:r>
        <w:rPr>
          <w:highlight w:val="none"/>
        </w:rPr>
        <w:t xml:space="preserve">ий по организации благоустройства дворовых территорий многоквартирных домов, территорий общего пользования государственной программы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 изложить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«11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муниципальных образований, у которых на 1 января текущего финансового года общий объем муниципального долга по муниципальным ценным бумагам и кредитам, полученным от кредитных организаций (далее - доля долговых обязательств по рыночным заимствованиям),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итогам исполнения бюджета муниципального образования не превышает 25% общего объема доходов бюджета муниципального образования, определенного без учета объема безвозмездных поступлений и (или) поступлений налоговых доходов по дополнительным нормативам отчи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слений от налога на доходы физических лиц: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оответствие параметров бюджета муниципального образования на текущий финансовый год, утвержденных решением о бюджете муниципального образования в части доходов местного бюджета и муниципального долга, требованию по соблюдению ограничения доли долговых обяз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ательств по рыночным заимствованиям на текущий финансовый год: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Новосибирской области (далее - муниципальный район) и поселений, входящих в его состав, - на уровне не более 25% общего объема доходов консолидированного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округа - на уровне не более 25% общего объема доходов бюджета муниципального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городского округа - на уровне не более 25% общего объема доходов бюджета городского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поселения - на уровне не более 25% общего объема доходов бюджета поселения.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араметры бюджета муниципального образования на текущий финансовый год, утвержденные решением о бюджете муниципального образования в части муниципального долга, должны учитывать фактическое исполнение доли долговых обязательств по рыночным заимствованиям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итогам отчетного финансового года.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бщий объем доходов бюджета поселения, муниципального района, муниципального округа, городского округа, консолидированного бюджета муниципального района определяется без учета объема безвозмездных поступлений и (или) поступлений налоговых доходов по дополни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 расчете доли долговых обязательств по рыночным заимствованиям учитываются возможности ее превышения, установленные федеральными законами, регулирующими бюджетные правоотношения;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течение текущего фин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нсового года параметры бюджета муниципального образования на текущий финансовый год, утвержденные решением о бюджете муниципального образования в части доходов местного бюджета и муниципального долга, должны соответствовать требованию по соблюдению огранич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ния доли долговых обязательств по рыночным заимствованиям,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года, в соответствии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 порядком ее определения и уровнями, указанными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данном пункте.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муниципальных образований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которых на 1 января текущего финансового года доля долговых обязательств по рыночным заимствованиям по итогам исполнения бюджета муниципального образования превышает 25% общего объема доходов бюджета муниципального образования, определенного без учета объ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ема безвозмездных поступлений и (или) поступлений налоговых доходов по дополнительным нормативам отчислений от налога на доходы физических лиц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аличие плана мероприятий по оздоровлению муниципальных финансов на текущий финансовый год, приводящего по итогам его выполнения к непревышению доли долговых обязательств по рыночным заимствованиям, сложившейся на 1 января текущего финансового года по итога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исполнения бюджета, утвержденного главой муниципального образования, главой входящего в состав муниципального района поселения, допустивших превышение на 1 января текущего финансового года доли долговых обязательств по рыночным заимствованиям по итогам ис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полнения бюджета 25% общего объема доходов бюджета, определенного без учета объема безвозмездных поступлений и (или) поступлений налоговых доходов по дополнительным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Муниципальное образование в течение текущего финансового года обеспечивает своевременную реализацию плана мероприятий по оздоровлению муниципальных финансов на текущий финансовый год, утвержденного главой муниципального образования.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highlight w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7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)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highlight w:val="none"/>
        </w:rPr>
        <w:t xml:space="preserve">подпункт 16 пункта 9 </w:t>
      </w:r>
      <w:r>
        <w:rPr>
          <w:highlight w:val="none"/>
        </w:rPr>
        <w:t xml:space="preserve">приложения</w:t>
      </w:r>
      <w:r>
        <w:rPr>
          <w:color w:val="000000"/>
          <w:highlight w:val="none"/>
        </w:rPr>
        <w:t xml:space="preserve"> № 22 </w:t>
      </w:r>
      <w:r>
        <w:rPr>
          <w:highlight w:val="none"/>
        </w:rPr>
        <w:t xml:space="preserve">«</w:t>
      </w:r>
      <w:r>
        <w:rPr>
          <w:highlight w:val="none"/>
        </w:rPr>
        <w:t xml:space="preserve">Порядок предоставления и распределения субсидий местным бюджетам на реализацию мероприятий по организации функционирования систем жизнеобеспечения государственной программы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 изложить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«16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муниципальных образований, у которых на 1 января текущего финансового года общий объем муниципального долга по муниципальным ценным бумагам и кредитам, полученным от кредитных организаций (далее - доля долговых обязательств по рыночным заимствованиям),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итогам исполнения бюджета муниципального образования не превышает 25% общего объема доходов бюджета муниципального образования, определенного без учета объема безвозмездных поступлений и (или) поступлений налоговых доходов по дополнительным нормативам отчи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слений от налога на доходы физических лиц: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оответствие параметров бюджета муниципального образования на текущий финансовый год, утвержденных решением о бюджете муниципального образования в части доходов местного бюджета и муниципального долга, требованию по соблюдению ограничения доли долговых обяз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ательств по рыночным заимствованиям на текущий финансовый год: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Новосибирской области (далее - муниципальный район) и поселений, входящих в его состав, - на уровне не более 25% общего объема доходов консолидированного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- на уровне не более 25% общего объема доходов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округа - на уровне не более 25% общего объема доходов бюджета муниципального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городского округа - на уровне не более 25% общего объема доходов бюджета городского округа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араметры бюджета муниципального образования на текущий финансовый год, утвержденные решением о бюджете муниципального образования в части муниципального долга, должны учитывать фактическое исполнение доли долговых обязательств по рыночным заимствованиям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итогам отчетного финансового года.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бщий объем доходов бюджета поселения, муниципального района, муниципального округа, городского округа, консолидированного бюджета муниципального района определяется без учета объема безвозмездных поступлений и (или) поступлений налоговых доходов по дополни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 расчете доли долговых обязательств по рыночным заимствованиям учитываются возможности ее превышения, установленные федеральными законами, регулирующими бюджетные правоотношения;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течение текущего фин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нсового года параметры бюджета муниципального образования на текущий финансовый год, утвержденные решением о бюджете муниципального образования в части доходов местного бюджета и муниципального долга, должны соответствовать требованию по соблюдению огранич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ния доли долговых обязательств по рыночным заимствованиям,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года, в соответствии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 порядком ее определения и уровнями, указанными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данном пункте.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муниципальных образований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которых на 1 января текущего финансового года доля долговых обязательств по рыночным заимствованиям по итогам исполнения бюджета муниципального образования превышает 25% общего объема доходов бюджета муниципального образования, определенного без учета объ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ема безвозмездных поступлений и (или) поступлений налоговых доходов по дополнительным нормативам отчислений от налога на доходы физических лиц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аличие плана мероприятий по оздоровлению муниципальных финансов на текущий финансовый год, приводящего по итогам его выполнения к непревышению доли долговых обязательств по рыночным заимствованиям, сложившейся на 1 января текущего финансового года по итога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исполнения бюджета, утвержденного главой муниципального образования, главой входящего в состав муниципального района поселения, допустивших превышение на 1 января текущего финансового года доли долговых обязательств по рыночным заимствованиям по итогам ис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полнения бюджета 25% общего объема доходов бюджета, определенного без учета объема безвозмездных поступлений и (или) поступлений налоговых доходов по дополнительным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Муниципальное образование в течение текущего финансового года обеспечивает своевременную реализацию плана мероприятий по оздоровлению муниципальных финансов на текущий финансовый год, утвержденного главой муниципального образования.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8) </w:t>
      </w:r>
      <w:r>
        <w:rPr>
          <w:highlight w:val="none"/>
        </w:rPr>
        <w:t xml:space="preserve">приложении № 23</w:t>
      </w:r>
      <w:r>
        <w:rPr>
          <w:highlight w:val="none"/>
        </w:rPr>
        <w:t xml:space="preserve"> «</w:t>
      </w:r>
      <w:r>
        <w:rPr>
          <w:highlight w:val="none"/>
        </w:rPr>
        <w:t xml:space="preserve">Порядок </w:t>
      </w:r>
      <w:r>
        <w:rPr>
          <w:highlight w:val="none"/>
        </w:rPr>
        <w:t xml:space="preserve">предоставления и распределения субсидий на организацию</w:t>
      </w:r>
      <w:r>
        <w:rPr>
          <w:highlight w:val="none"/>
        </w:rPr>
        <w:t xml:space="preserve"> </w:t>
      </w:r>
      <w:r>
        <w:rPr>
          <w:highlight w:val="none"/>
        </w:rPr>
        <w:t xml:space="preserve">бесперебойной работы объектов тепло-, водоснабжения</w:t>
      </w:r>
      <w:r>
        <w:rPr>
          <w:highlight w:val="none"/>
        </w:rPr>
        <w:t xml:space="preserve"> </w:t>
      </w:r>
      <w:r>
        <w:rPr>
          <w:highlight w:val="none"/>
        </w:rPr>
        <w:t xml:space="preserve">и водоотведения в рамках государственной программы</w:t>
      </w:r>
      <w:r>
        <w:rPr>
          <w:highlight w:val="none"/>
        </w:rPr>
        <w:t xml:space="preserve"> </w:t>
      </w:r>
      <w:r>
        <w:rPr>
          <w:highlight w:val="none"/>
        </w:rPr>
        <w:t xml:space="preserve">Новосибирской области «Жилищно-коммунальное</w:t>
      </w:r>
      <w:r>
        <w:rPr>
          <w:highlight w:val="none"/>
        </w:rPr>
        <w:t xml:space="preserve"> </w:t>
      </w:r>
      <w:r>
        <w:rPr>
          <w:highlight w:val="none"/>
        </w:rPr>
        <w:t xml:space="preserve">хозяйство Новосибирской области</w:t>
      </w:r>
      <w:r>
        <w:rPr>
          <w:highlight w:val="none"/>
        </w:rPr>
        <w:t xml:space="preserve">»: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а) в пункте 2: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после слов «</w:t>
      </w:r>
      <w:r>
        <w:rPr>
          <w:highlight w:val="none"/>
        </w:rPr>
        <w:t xml:space="preserve">котельного оборудования</w:t>
      </w:r>
      <w:r>
        <w:rPr>
          <w:highlight w:val="none"/>
        </w:rPr>
        <w:t xml:space="preserve">,» дополнить словами «</w:t>
      </w:r>
      <w:r>
        <w:rPr>
          <w:highlight w:val="none"/>
        </w:rPr>
        <w:t xml:space="preserve">источников резервного электроснабжения,</w:t>
      </w:r>
      <w:r>
        <w:rPr>
          <w:highlight w:val="none"/>
        </w:rPr>
        <w:t xml:space="preserve">»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после слова «</w:t>
      </w:r>
      <w:r>
        <w:rPr>
          <w:highlight w:val="none"/>
        </w:rPr>
        <w:t xml:space="preserve">не менее 100,0 тыс. рублей,</w:t>
      </w:r>
      <w:r>
        <w:rPr>
          <w:highlight w:val="none"/>
        </w:rPr>
        <w:t xml:space="preserve">» слова </w:t>
      </w:r>
      <w:r>
        <w:rPr>
          <w:highlight w:val="none"/>
        </w:rPr>
        <w:t xml:space="preserve"> «</w:t>
      </w:r>
      <w:r>
        <w:rPr>
          <w:highlight w:val="none"/>
        </w:rPr>
        <w:t xml:space="preserve">источников резервного электроснабжения,</w:t>
      </w:r>
      <w:r>
        <w:rPr>
          <w:highlight w:val="none"/>
        </w:rPr>
        <w:t xml:space="preserve">»</w:t>
      </w:r>
      <w:r>
        <w:rPr>
          <w:highlight w:val="none"/>
        </w:rPr>
        <w:t xml:space="preserve"> исключить.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б) в</w:t>
      </w:r>
      <w:r>
        <w:rPr>
          <w:highlight w:val="none"/>
        </w:rPr>
        <w:t xml:space="preserve"> пункте 9: </w:t>
      </w:r>
      <w:r>
        <w:rPr>
          <w:highlight w:val="none"/>
        </w:rPr>
      </w:r>
      <w:r>
        <w:rPr>
          <w:highlight w:val="none"/>
        </w:rPr>
      </w:r>
    </w:p>
    <w:p>
      <w:pPr>
        <w:rPr>
          <w:color w:val="auto"/>
          <w:highlight w:val="none"/>
        </w:rPr>
      </w:pPr>
      <w:r>
        <w:rPr>
          <w:color w:val="auto"/>
          <w:highlight w:val="none"/>
        </w:rPr>
        <w:t xml:space="preserve">абзац второй изложить в следующей редакции: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rPr>
          <w:color w:val="auto"/>
          <w:highlight w:val="none"/>
        </w:rPr>
      </w:pPr>
      <w:r>
        <w:rPr>
          <w:color w:val="auto"/>
          <w:highlight w:val="none"/>
        </w:rPr>
        <w:t xml:space="preserve">«</w:t>
      </w:r>
      <w:r>
        <w:rPr>
          <w:color w:val="auto"/>
          <w:highlight w:val="none"/>
        </w:rPr>
        <w:t xml:space="preserve">условия, установленные в подпункте 2 пункта 7 Правил формирования, предоставления и распределения субсидий из областного бюджета Новосибирской области бюджетам муниципальных образований Новосибирской области, установленных постановле</w:t>
      </w:r>
      <w:r>
        <w:rPr>
          <w:color w:val="auto"/>
          <w:highlight w:val="none"/>
        </w:rPr>
        <w:t xml:space="preserve">нием Правительства Новосибирской области от 03.03.2020 № 40-п;</w:t>
      </w:r>
      <w:r>
        <w:rPr>
          <w:color w:val="auto"/>
          <w:highlight w:val="none"/>
        </w:rPr>
        <w:t xml:space="preserve">»;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абзацы четвертый и с четырнадцатого по двадцать второй исключить;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t xml:space="preserve">в подпункте 4: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t xml:space="preserve">в абзаце первом слова «</w:t>
      </w:r>
      <w:r>
        <w:t xml:space="preserve">в сроки, установленные в Соглашении о предоставлении субсидии</w:t>
      </w:r>
      <w:r>
        <w:t xml:space="preserve">» исключить;</w:t>
      </w:r>
      <w:r>
        <w:rPr>
          <w:highlight w:val="none"/>
        </w:rPr>
      </w:r>
      <w:r>
        <w:rPr>
          <w:highlight w:val="none"/>
        </w:rPr>
      </w:r>
    </w:p>
    <w:p>
      <w:pP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в абзаце третьем после слов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контрактов, заключенных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» дополнить словами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позднее одног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о года до даты предоставления субсидии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»;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абзац девятый изложить в следующей редакции: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>
      <w:pPr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метных расчетов с заключением ГБУ НСО «Государственная вневедомственная экспертиза Новосибирской области» в соответствии с Постановление Правительства РФ от 5 марта 2007 г. № 145 «О порядке организации и проведения государственной экспертизы проектной доку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ментации и результатов инженерных изысканий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»;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в) в абзаце четвертом пункта 10 слова «</w:t>
      </w:r>
      <w:r>
        <w:rPr>
          <w:highlight w:val="none"/>
        </w:rPr>
        <w:t xml:space="preserve">подпунктами 1, 2, 3, 5 - 9</w:t>
      </w:r>
      <w:r>
        <w:rPr>
          <w:highlight w:val="none"/>
        </w:rPr>
        <w:t xml:space="preserve">» заменить словами «подпунктом 1»;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9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)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highlight w:val="none"/>
        </w:rPr>
        <w:t xml:space="preserve">подпункт 11 пункта 9 </w:t>
      </w:r>
      <w:r>
        <w:rPr>
          <w:highlight w:val="none"/>
        </w:rPr>
        <w:t xml:space="preserve">приложения</w:t>
      </w:r>
      <w:r>
        <w:rPr>
          <w:color w:val="000000"/>
          <w:highlight w:val="none"/>
        </w:rPr>
        <w:t xml:space="preserve"> № 24 </w:t>
      </w:r>
      <w:r>
        <w:rPr>
          <w:highlight w:val="none"/>
        </w:rPr>
        <w:t xml:space="preserve">«</w:t>
      </w:r>
      <w:r>
        <w:rPr>
          <w:highlight w:val="none"/>
        </w:rPr>
        <w:t xml:space="preserve">Порядок предоставления и распределения субсидий местным бюджетам на оказание государственной поддержки муниципальным образованиям Новосибирской области на разработку пр</w:t>
      </w:r>
      <w:r>
        <w:rPr>
          <w:highlight w:val="none"/>
        </w:rPr>
        <w:t xml:space="preserve">оектной документации на благоустройство общественных пространств населенных пунктов Новосибирской области государственной программы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 изложить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«11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муниципальных образований, у которых на 1 января текущего финансового года общий объем муниципального долга по муниципальным ценным бумагам и кредитам, полученным от кредитных организаций (далее - доля долговых обязательств по рыночным заимствованиям),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итогам исполнения бюджета муниципального образования не превышает 25% общего объема доходов бюджета муниципального образования, определенного без учета объема безвозмездных поступлений и (или) поступлений налоговых доходов по дополнительным нормативам отчи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слений от налога на доходы физических лиц: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оответствие параметров бюджета муниципального образования на текущий финансовый год, утвержденных решением о бюджете муниципального образования в части доходов местного бюджета и муниципального долга, требованию по соблюдению ограничения доли долговых обяз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ательств по рыночным заимствованиям на текущий финансовый год: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Новосибирской области (далее - муниципальный район) и поселений, входящих в его состав, - на уровне не более 25% общего объема доходов консолидированного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округа - на уровне не более 25% общего объема доходов бюджета муниципального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городского округа - на уровне не более 25% общего объема доходов бюджета городского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поселения - на уровне не более 25% общего объема доходов бюджета поселения.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араметры бюджета муниципального образования на текущий финансовый год, утвержденные решением о бюджете муниципального образования в части муниципального долга, должны учитывать фактическое исполнение доли долговых обязательств по рыночным заимствованиям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итогам отчетного финансового года.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бщий объем доходов бюджета поселения, муниципального района, муниципального округа, городского округа, консолидированного бюджета муниципального района определяется без учета объема безвозмездных поступлений и (или) поступлений налоговых доходов по дополни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 расчете доли долговых обязательств по рыночным заимствованиям учитываются возможности ее превышения, установленные федеральными законами, регулирующими бюджетные правоотношения;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течение текущего фин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нсового года параметры бюджета муниципального образования на текущий финансовый год, утвержденные решением о бюджете муниципального образования в части доходов местного бюджета и муниципального долга, должны соответствовать требованию по соблюдению огранич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ния доли долговых обязательств по рыночным заимствованиям,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года, в соответствии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 порядком ее определения и уровнями, указанными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данном пункте.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муниципальных образований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которых на 1 января текущего финансового года доля долговых обязательств по рыночным заимствованиям по итогам исполнения бюджета муниципального образования превышает 25% общего объема доходов бюджета муниципального образования, определенного без учета объ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ема безвозмездных поступлений и (или) поступлений налоговых доходов по дополнительным нормативам отчислений от налога на доходы физических лиц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аличие плана мероприятий по оздоровлению муниципальных финансов на текущий финансовый год, приводящего по итогам его выполнения к непревышению доли долговых обязательств по рыночным заимствованиям, сложившейся на 1 января текущего финансового года по итога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исполнения бюджета, утвержденного главой муниципального образования, главой входящего в состав муниципального района поселения, допустивших превышение на 1 января текущего финансового года доли долговых обязательств по рыночным заимствованиям по итогам ис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полнения бюджета 25% общего объема доходов бюджета, определенного без учета объема безвозмездных поступлений и (или) поступлений налоговых доходов по дополнительным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Муниципальное образование в течение текущего финансового года обеспечивает своевременную реализацию плана мероприятий по оздоровлению муниципальных финансов на текущий финансовый год, утвержденного главой муниципального образования.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10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) в приложении № 26 «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П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орядок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предоставления и распределения субсидий местным бюджетам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на реализацию мероприятий по созданию комфортной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городской среды в малых городах и исторических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поселениях - победителях Всероссийского конкурса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лучших проектов создания комфортной городской среды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государственной программы Новосибирской области «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Жилищно-коммунальное хозяйство Новосибирской области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»: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rFonts w:eastAsia="Courier New"/>
          <w:sz w:val="28"/>
          <w:szCs w:val="28"/>
          <w:highlight w:val="none"/>
          <w14:ligatures w14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а)  исключить 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подпункт 11 пункта 9;</w:t>
      </w:r>
      <w:r>
        <w:rPr>
          <w:rFonts w:eastAsia="Courier New"/>
          <w:sz w:val="28"/>
          <w:szCs w:val="28"/>
          <w:highlight w:val="none"/>
          <w14:ligatures w14:val="none"/>
        </w:rPr>
      </w:r>
      <w:r>
        <w:rPr>
          <w:rFonts w:eastAsia="Courier New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rPr>
          <w:highlight w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б) 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исключить 2 абзац пункта 12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11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)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в </w:t>
      </w:r>
      <w:r>
        <w:rPr>
          <w:highlight w:val="none"/>
        </w:rPr>
        <w:t xml:space="preserve"> </w:t>
      </w:r>
      <w:r>
        <w:rPr>
          <w:highlight w:val="none"/>
        </w:rPr>
        <w:t xml:space="preserve">приложении</w:t>
      </w:r>
      <w:r>
        <w:rPr>
          <w:color w:val="000000"/>
          <w:highlight w:val="none"/>
        </w:rPr>
        <w:t xml:space="preserve"> № 27 </w:t>
      </w:r>
      <w:r>
        <w:rPr>
          <w:highlight w:val="none"/>
        </w:rPr>
        <w:t xml:space="preserve">«</w:t>
      </w:r>
      <w:r>
        <w:rPr>
          <w:highlight w:val="none"/>
        </w:rPr>
        <w:t xml:space="preserve">Порядок предоставления и распределения субсидий местным бюджет</w:t>
      </w:r>
      <w:r>
        <w:rPr>
          <w:highlight w:val="none"/>
        </w:rPr>
        <w:t xml:space="preserve">ам на обеспечение мероприятий по переселению граждан из аварийного жилищного фонда за счет средств публично-правовой компании «Фонд развития территорий» государственной программы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»: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а) а</w:t>
      </w:r>
      <w:r>
        <w:t xml:space="preserve">бзац второй пункта 5 изложить в следующей редакции: </w:t>
      </w:r>
      <w:r>
        <w:rPr>
          <w:highlight w:val="none"/>
        </w:rPr>
      </w:r>
      <w:r/>
    </w:p>
    <w:p>
      <w:pPr>
        <w:rPr>
          <w:highlight w:val="none"/>
        </w:rPr>
      </w:pPr>
      <w:r>
        <w:t xml:space="preserve">«Уровень софинансирования расходных обязательств муниципальных образований, в целях софинансирования которых предоставляется субсидия, не может быть ниже уровня софинансирования, предусмотренного распоряж</w:t>
      </w:r>
      <w:r>
        <w:t xml:space="preserve">ением Правительства Новосибирской области об установлении предельных уровней софинансирования на очередной финансовый год и плановый период, для соответствующего муниципального образования.»;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б) </w:t>
      </w:r>
      <w:r>
        <w:t xml:space="preserve">дополнить пункт 7 абзацем следующего содержания: </w:t>
      </w:r>
      <w:r>
        <w:rPr>
          <w:highlight w:val="none"/>
        </w:rPr>
      </w:r>
      <w:r/>
    </w:p>
    <w:p>
      <w:pPr>
        <w:rPr>
          <w:highlight w:val="none"/>
        </w:rPr>
      </w:pPr>
      <w:r>
        <w:t xml:space="preserve">«Заключение Соглашений о предоставлении субсидий осуществляется в государственной интегрированной информационной системе управления общественными финансами «Электронный бюджет».»</w:t>
      </w:r>
      <w: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в) </w:t>
      </w:r>
      <w:r>
        <w:rPr>
          <w:highlight w:val="none"/>
        </w:rPr>
        <w:t xml:space="preserve">подпункт 11 пункта 8</w:t>
      </w:r>
      <w:r>
        <w:rPr>
          <w:highlight w:val="none"/>
        </w:rPr>
        <w:t xml:space="preserve"> </w:t>
      </w:r>
      <w:r>
        <w:rPr>
          <w:highlight w:val="none"/>
        </w:rPr>
        <w:t xml:space="preserve">изложить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«11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муниципальных образований, у которых на 1 января текущего финансового года общий объем муниципального долга по муниципальным ценным бумагам и кредитам, полученным от кредитных организаций (далее - доля долговых обязательств по рыночным заимствованиям),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итогам исполнения бюджета муниципального образования не превышает 25% общего объема доходов бюджета муниципального образования, определенного без учета объема безвозмездных поступлений и (или) поступлений налоговых доходов по дополнительным нормативам отчи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слений от налога на доходы физических лиц: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оответствие параметров бюджета муниципального образования на текущий финансовый год, утвержденных решением о бюджете муниципального образования в части доходов местного бюджета и муниципального долга, требованию по соблюдению ограничения доли долговых обяз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ательств по рыночным заимствованиям на текущий финансовый год: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Новосибирской области (далее - муниципальный район) и поселений, входящих в его состав, - на уровне не более 25% общего объема доходов консолидированного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округа - на уровне не более 25% общего объема доходов бюджета муниципального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городского округа - на уровне не более 25% общего объема доходов бюджета городского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поселения - на уровне не более 25% общего объема доходов бюджета поселения.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араметры бюджета муниципального образования на текущий финансовый год, утвержденные решением о бюджете муниципального образования в части муниципального долга, должны учитывать фактическое исполнение доли долговых обязательств по рыночным заимствованиям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итогам отчетного финансового года.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бщий объем доходов бюджета поселения, муниципального района, муниципального округа, городского округа, консолидированного бюджета муниципального района определяется без учета объема безвозмездных поступлений и (или) поступлений налоговых доходов по дополни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 расчете доли долговых обязательств по рыночным заимствованиям учитываются возможности ее превышения, установленные федеральными законами, регулирующими бюджетные правоотношения;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течение текущего фин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ансового года параметры бюджета муниципального образования на текущий финансовый год, утвержденные решением о бюджете муниципального образования в части доходов местного бюджета и муниципального долга, должны соотвествовать требованию по соблюдению огранич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ния доли долговых обязательств по рыночным заимствованиям,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года, в соответствии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 порядком ее определения и уровнями, указанными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данном пункте.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муниципальных образований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которых на 1 января текущего финансового года доля долговых обязательств по рыночным заимствованиям по итогам исполнения бюджета муниципального образования превышает 25% общего объема доходов бюджета муниципального образования, определенного без учета объ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ема безвозмездных поступлений и (или) поступлений налоговых доходов по дополнительным нормативам отчислений от налога на доходы физических лиц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аличие плана мероприятий по оздоровлению муниципальных финансов на текущий финансовый год, приводящего по итогам его выполнения к непревышению доли долговых обязательств по рыночным заимствованиям, сложившейся на 1 января текущего финансового года по итога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исполнения бюджета, утвержденного главой муниципального образования, главой входящего в состав муниципального района поселения, допустивших превышение на 1 января текущего финансового года доли долговых обязательств по рыночным заимствованиям по итогам ис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полнения бюджета 25% общего объема доходов бюджета, определенного без учета объема безвозмездных поступлений и (или) поступлений налоговых доходов по дополнительным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Муниципальное образование в течение текущего финансового года обеспечивает своевременную реализацию плана мероприятий по оздоровлению муниципальных финансов на текущий финансовый год, утвержденного главой муниципального образования.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</w:t>
      </w:r>
      <w:r>
        <w:rPr>
          <w:highlight w:val="none"/>
        </w:rPr>
        <w:t xml:space="preserve">) в</w:t>
      </w:r>
      <w:r>
        <w:rPr>
          <w:highlight w:val="none"/>
        </w:rPr>
        <w:t xml:space="preserve"> приложении № 29</w:t>
      </w:r>
      <w:r>
        <w:rPr>
          <w:highlight w:val="none"/>
        </w:rPr>
        <w:t xml:space="preserve"> «</w:t>
      </w:r>
      <w:r>
        <w:rPr>
          <w:highlight w:val="none"/>
        </w:rPr>
        <w:t xml:space="preserve">Порядок </w:t>
      </w:r>
      <w:r>
        <w:rPr>
          <w:highlight w:val="none"/>
        </w:rPr>
        <w:t xml:space="preserve">предоставления и распределения субсидий местным бюджетам</w:t>
      </w:r>
      <w:r>
        <w:rPr>
          <w:highlight w:val="none"/>
        </w:rPr>
        <w:t xml:space="preserve"> </w:t>
      </w:r>
      <w:r>
        <w:rPr>
          <w:highlight w:val="none"/>
        </w:rPr>
        <w:t xml:space="preserve">на реализацию мероприятий по модернизации коммунальной</w:t>
      </w:r>
      <w:r>
        <w:rPr>
          <w:highlight w:val="none"/>
        </w:rPr>
        <w:t xml:space="preserve"> </w:t>
      </w:r>
      <w:r>
        <w:rPr>
          <w:highlight w:val="none"/>
        </w:rPr>
        <w:t xml:space="preserve">инфраструктуры государственной программы Новосибирской</w:t>
      </w:r>
      <w:r>
        <w:rPr>
          <w:highlight w:val="none"/>
        </w:rPr>
        <w:t xml:space="preserve"> </w:t>
      </w:r>
      <w:r>
        <w:rPr>
          <w:highlight w:val="none"/>
        </w:rPr>
        <w:t xml:space="preserve">области «Жилищно-коммунальное хозяйство</w:t>
      </w:r>
      <w:r>
        <w:rPr>
          <w:highlight w:val="none"/>
        </w:rPr>
        <w:t xml:space="preserve"> </w:t>
      </w:r>
      <w:r>
        <w:rPr>
          <w:highlight w:val="none"/>
        </w:rPr>
        <w:t xml:space="preserve">Новосибирской области</w:t>
      </w:r>
      <w:r>
        <w:rPr>
          <w:highlight w:val="none"/>
        </w:rPr>
        <w:t xml:space="preserve">»: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1) в пункте 9: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а) подпункт 4 изложить в новой редакции: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«</w:t>
      </w:r>
      <w:r>
        <w:rPr>
          <w:highlight w:val="none"/>
        </w:rPr>
        <w:t xml:space="preserve">н</w:t>
      </w:r>
      <w:r>
        <w:rPr>
          <w:highlight w:val="none"/>
        </w:rPr>
        <w:t xml:space="preserve">аличие в местных бюджетах бюджетных ассигнований на исполнение расходных обязательств муниципальных образований, в целях софинансирования которых предоставляются субсидии, в объеме, необходимом для их исполнения, включая объем планируемых к предоставлению </w:t>
      </w:r>
      <w:r>
        <w:rPr>
          <w:highlight w:val="none"/>
        </w:rPr>
        <w:t xml:space="preserve">субсидий;</w:t>
      </w:r>
      <w:r>
        <w:rPr>
          <w:highlight w:val="none"/>
        </w:rPr>
        <w:t xml:space="preserve">»;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б) подпункты 5-7 и 10 исключить;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2) </w:t>
      </w:r>
      <w:r>
        <w:rPr>
          <w:highlight w:val="none"/>
        </w:rPr>
        <w:t xml:space="preserve">в абзаце четвертом пункта 10 </w:t>
      </w:r>
      <w:r>
        <w:rPr>
          <w:highlight w:val="none"/>
        </w:rPr>
        <w:t xml:space="preserve">цифры «</w:t>
      </w:r>
      <w:r>
        <w:rPr>
          <w:highlight w:val="none"/>
        </w:rPr>
        <w:t xml:space="preserve">1, 2, 4 - 10</w:t>
      </w:r>
      <w:r>
        <w:rPr>
          <w:highlight w:val="none"/>
        </w:rPr>
        <w:t xml:space="preserve">» заменить цифрами «1, 2, 4, 8 и 9»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3) в абзаце десятом пункта 15 слова «</w:t>
      </w:r>
      <w:r>
        <w:rPr>
          <w:highlight w:val="none"/>
        </w:rPr>
        <w:t xml:space="preserve">из областного бюджета Новосибирской области бюджетам муниципальных образований Новосибирской области, установленных постановлением Правительства Новосибирской области от 03.03.2020 № 40-п</w:t>
      </w:r>
      <w:r>
        <w:rPr>
          <w:highlight w:val="none"/>
        </w:rPr>
        <w:t xml:space="preserve">» заменить словами «</w:t>
      </w:r>
      <w:r>
        <w:rPr>
          <w:highlight w:val="none"/>
        </w:rPr>
        <w:t xml:space="preserve">федерального бюджета бюджетам субъектов Р</w:t>
      </w:r>
      <w:r>
        <w:rPr>
          <w:highlight w:val="none"/>
        </w:rPr>
        <w:t xml:space="preserve">оссийской Федерации, установленных </w:t>
      </w:r>
      <w:r>
        <w:rPr>
          <w:highlight w:val="none"/>
        </w:rPr>
        <w:t xml:space="preserve">постановлением Правительства</w:t>
      </w:r>
      <w:r>
        <w:rPr>
          <w:highlight w:val="none"/>
        </w:rPr>
        <w:t xml:space="preserve"> </w:t>
      </w:r>
      <w:r>
        <w:rPr>
          <w:highlight w:val="none"/>
        </w:rPr>
        <w:t xml:space="preserve">Российской Федерации</w:t>
      </w:r>
      <w:r>
        <w:rPr>
          <w:highlight w:val="none"/>
        </w:rPr>
        <w:t xml:space="preserve"> </w:t>
      </w:r>
      <w:r>
        <w:rPr>
          <w:highlight w:val="none"/>
        </w:rPr>
        <w:t xml:space="preserve">от 30.09.2014 № 999.</w:t>
      </w:r>
      <w:r>
        <w:rPr>
          <w:highlight w:val="none"/>
        </w:rPr>
        <w:t xml:space="preserve">»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</w:t>
      </w:r>
      <w:r>
        <w:rPr>
          <w:highlight w:val="none"/>
        </w:rPr>
        <w:t xml:space="preserve">) </w:t>
      </w:r>
      <w:r>
        <w:rPr>
          <w:highlight w:val="none"/>
        </w:rPr>
        <w:t xml:space="preserve">в приложении</w:t>
      </w:r>
      <w:r>
        <w:rPr>
          <w:color w:val="000000"/>
          <w:highlight w:val="none"/>
        </w:rPr>
        <w:t xml:space="preserve"> №</w:t>
      </w:r>
      <w:r>
        <w:rPr>
          <w:highlight w:val="none"/>
        </w:rPr>
        <w:t xml:space="preserve"> 30 «Порядок предо</w:t>
      </w:r>
      <w:r>
        <w:rPr>
          <w:highlight w:val="none"/>
        </w:rPr>
        <w:t xml:space="preserve">ставления и распределения субсидий местным бюджетам на реализацию мер</w:t>
      </w:r>
      <w:r>
        <w:rPr>
          <w:highlight w:val="none"/>
        </w:rPr>
        <w:t xml:space="preserve">оприятий по строительству и реконструкции объектов централизованных систем холодного водоснабжения и водоотведения государственной программы Новосибирской области «Жилищно-коммунальное хозяйство Новосибирской области»: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а) абзац десятый пункта 2 после слов «</w:t>
      </w:r>
      <w:r>
        <w:rPr>
          <w:highlight w:val="none"/>
        </w:rPr>
        <w:t xml:space="preserve">требований СанПиН 2.1.3684-21, включая</w:t>
      </w:r>
      <w:r>
        <w:rPr>
          <w:highlight w:val="none"/>
        </w:rPr>
        <w:t xml:space="preserve">» дополнить словами «</w:t>
      </w:r>
      <w:r>
        <w:rPr>
          <w:highlight w:val="none"/>
        </w:rPr>
        <w:t xml:space="preserve">строительный контроль,</w:t>
      </w:r>
      <w:r>
        <w:rPr>
          <w:highlight w:val="none"/>
        </w:rPr>
        <w:t xml:space="preserve">»;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б) пункт 5 изложить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«5. Критериями отбора сельских поселений в случаях, установленных </w:t>
      </w:r>
      <w:hyperlink r:id="rId12" w:tooltip="https://login.consultant.ru/link/?req=doc&amp;base=LAW&amp;n=501480&amp;dst=1142" w:history="1">
        <w:r>
          <w:rPr>
            <w:highlight w:val="none"/>
          </w:rPr>
          <w:t xml:space="preserve">частью 3 статьи 14</w:t>
        </w:r>
      </w:hyperlink>
      <w:r>
        <w:rPr>
          <w:highlight w:val="none"/>
        </w:rPr>
        <w:t xml:space="preserve"> Федерального закона от 06.10.2003 № 131-ФЗ «Об</w:t>
      </w:r>
      <w:r>
        <w:rPr>
          <w:highlight w:val="none"/>
        </w:rPr>
        <w:t xml:space="preserve"> общих принципах организации местного самоуправления в Российской Федерации», муниципальных районов, муниципальных округов и городских округов Новосибирской области (далее - получатель) для предоставления субсидии является представление получателем ГРБС до</w:t>
      </w:r>
      <w:r>
        <w:rPr>
          <w:highlight w:val="none"/>
        </w:rPr>
        <w:t xml:space="preserve"> 1 июля года, предшествующего плановому году предоставления субсидии, за исключением случая соответствия объекта строительства, реконструкции централизованных систем холодного водоснабжения и водоотведения одному из Критериев приоритетности, установленных </w:t>
      </w:r>
      <w:hyperlink r:id="rId13" w:tooltip="https://login.consultant.ru/link/?req=doc&amp;base=RLAW049&amp;n=190435&amp;dst=156184" w:history="1">
        <w:r>
          <w:rPr>
            <w:highlight w:val="none"/>
          </w:rPr>
          <w:t xml:space="preserve">подпунктами 1</w:t>
        </w:r>
      </w:hyperlink>
      <w:r>
        <w:rPr>
          <w:highlight w:val="none"/>
        </w:rPr>
        <w:t xml:space="preserve"> и </w:t>
      </w:r>
      <w:hyperlink r:id="rId14" w:tooltip="https://login.consultant.ru/link/?req=doc&amp;base=RLAW049&amp;n=190435&amp;dst=156185" w:history="1">
        <w:r>
          <w:rPr>
            <w:highlight w:val="none"/>
          </w:rPr>
          <w:t xml:space="preserve">2 пункта 2</w:t>
        </w:r>
      </w:hyperlink>
      <w:r>
        <w:rPr>
          <w:highlight w:val="none"/>
        </w:rPr>
        <w:t xml:space="preserve"> приложе</w:t>
      </w:r>
      <w:r>
        <w:rPr>
          <w:highlight w:val="none"/>
        </w:rPr>
        <w:t xml:space="preserve">н</w:t>
      </w:r>
      <w:r>
        <w:rPr>
          <w:highlight w:val="none"/>
        </w:rPr>
        <w:t xml:space="preserve">ия № 5.1 «Положение </w:t>
      </w:r>
      <w:r>
        <w:rPr>
          <w:highlight w:val="none"/>
        </w:rPr>
        <w:t xml:space="preserve">по ранжированию объектов водоснабжения и водоотведения для определения ежегодного перечня объектов водоснабжения и водоотведения» к государственной программе Новосибирской области «Жилищно-коммунальное хозяйство Новосибирской области» (далее - Положение): </w:t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1) з</w:t>
      </w:r>
      <w:r>
        <w:rPr>
          <w:highlight w:val="none"/>
        </w:rPr>
        <w:t xml:space="preserve">аявки на участие в мероприятиях государственной </w:t>
      </w:r>
      <w:hyperlink r:id="rId15" w:tooltip="https://login.consultant.ru/link/?req=doc&amp;base=RLAW049&amp;n=190435&amp;dst=112712" w:history="1">
        <w:r>
          <w:rPr>
            <w:highlight w:val="none"/>
          </w:rPr>
          <w:t xml:space="preserve">программы</w:t>
        </w:r>
      </w:hyperlink>
      <w:r>
        <w:rPr>
          <w:highlight w:val="none"/>
        </w:rPr>
        <w:t xml:space="preserve"> Новосибирской области «Жилищно-коммунальное хозяйство Новосибирской области»</w:t>
      </w:r>
      <w:r>
        <w:rPr>
          <w:highlight w:val="none"/>
        </w:rPr>
        <w:t xml:space="preserve">, по форме установленной п</w:t>
      </w:r>
      <w:r>
        <w:rPr>
          <w:highlight w:val="none"/>
        </w:rPr>
        <w:t xml:space="preserve">риложением </w:t>
      </w:r>
      <w:r>
        <w:rPr>
          <w:highlight w:val="none"/>
        </w:rPr>
        <w:t xml:space="preserve">к Положению</w:t>
      </w:r>
      <w:r>
        <w:rPr>
          <w:highlight w:val="none"/>
        </w:rPr>
        <w:t xml:space="preserve"> </w:t>
      </w:r>
      <w:r>
        <w:rPr>
          <w:highlight w:val="none"/>
        </w:rPr>
        <w:t xml:space="preserve">с приложением следующих документов:</w:t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а) в</w:t>
      </w:r>
      <w:r>
        <w:rPr>
          <w:highlight w:val="none"/>
        </w:rPr>
        <w:t xml:space="preserve"> случае разработки проектно-сметной документации: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коп</w:t>
      </w:r>
      <w:r>
        <w:rPr>
          <w:highlight w:val="none"/>
        </w:rPr>
        <w:t xml:space="preserve">ии согласованного технического задания на разработку проектной документации на строительство, реконструкцию объектов водоснабжения и водоотведения, проектируемых с 2017 года (применяется для случаев финансирования разработки проектно-сметной документации):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с 01.01.2017 по 01.03.2020 согласованного с ГРБС;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со 02.03.2020 согласованного с Государственным казенным учреждением Новосибирской области «Проектная дирекция министерства жилищно-коммунального хозяйства и энергетики Новосибирской области»;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для проектов, разработанных до 01.01.2017, согласованное техническое задание не требуется);</w:t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сводный расчет на основании коммерческих предложений на выполнении работ по разработке проектной документации (не менее трех организаций), либо сводный сметный расчет;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информация о земельном участке на котором планируется реализация мероприятия (необязательно для линейных объектов)</w:t>
      </w:r>
      <w:r>
        <w:rPr>
          <w:highlight w:val="none"/>
        </w:rPr>
        <w:t xml:space="preserve">;</w:t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б) в</w:t>
      </w:r>
      <w:r>
        <w:rPr>
          <w:highlight w:val="none"/>
        </w:rPr>
        <w:t xml:space="preserve"> случае строительства/реконструкции: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- копии положительного заключения государственной экспертизы проектно-сметной документации;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  <w:t xml:space="preserve">- информация о земельном участке на котором планируется реализация мероприятия (необязательно для линейных объектов);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2) п</w:t>
      </w:r>
      <w:r>
        <w:rPr>
          <w:highlight w:val="none"/>
        </w:rPr>
        <w:t xml:space="preserve">ояснительной записки, включающей в себя следующую информацию по каждому планируемому объекту:</w:t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 вид планируемых к реализации работ;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 обоснование необходимости реализации данного мероприятия;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 сроки реализации мероприятия;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 наличие утвержденных схем водоснабжения и водоотведения муниципального образования;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 наличие мероприятия в схемах водоснабжения и водоотведения муниципального образования;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 численность населения для которого качество предоставляемых услуг водоснабжения и водоотведения улучшится в результате реализации мероприятия;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 информацию о включение мероприятий в долгосрочный план социально-экономического развития опорных населенных пунктов и прилегающих территорий;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 о наличие мероприятия в программе комплексного развития коммунальной инфраструктуры, разработанной в соответствии с приказом Минрегиона РФ от 06.05.2011 № 204.</w:t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В случае необходимости решения отдельных задач социально-экономического развития Новосибирской области на основании постановлений, распоряжений, поруче</w:t>
      </w:r>
      <w:r>
        <w:rPr>
          <w:highlight w:val="none"/>
        </w:rPr>
        <w:t xml:space="preserve">ний Губернатора Новосибирской области или Правительства Новосибирской области (в сроки, установленные поручениями, или по мере необходимости), ГРБС направляются соответствующие предложения в министерство финансов и налоговой политики Новосибирской области.</w:t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b w:val="0"/>
          <w:i w:val="0"/>
          <w:strike w:val="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Основанием для включения в программу является письменное обращение </w:t>
      </w:r>
      <w:r>
        <w:rPr>
          <w:highlight w:val="none"/>
        </w:rPr>
        <w:t xml:space="preserve">муниципального образования Новосибирской области на основании подписанного поручения Губернатора Новосибирской области (Правительства Новосибирской области) или изменений, вносимых в закон об областном бюджете на очередной финансовый год и плановый период.</w:t>
      </w:r>
      <w:r>
        <w:rPr>
          <w:highlight w:val="none"/>
        </w:rPr>
        <w:t xml:space="preserve">».</w:t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  <w:r>
        <w:rPr>
          <w:b w:val="0"/>
          <w:i w:val="0"/>
          <w:strike w:val="0"/>
          <w:sz w:val="28"/>
          <w:szCs w:val="28"/>
          <w:highlight w:val="none"/>
          <w14:ligatures w14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в) в</w:t>
      </w:r>
      <w:r>
        <w:rPr>
          <w:highlight w:val="none"/>
        </w:rPr>
        <w:t xml:space="preserve"> пункте 8: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абзац второй изложить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«</w:t>
      </w:r>
      <w:r>
        <w:rPr>
          <w:highlight w:val="none"/>
        </w:rPr>
        <w:t xml:space="preserve">условия, установленные в подпункте 2 пункта 7 Правил формирования, предоставления и распределения субсидий из областного бюджета Новосибирской области бюджетам муниципальных образований Новосибирской области, установленных постановле</w:t>
      </w:r>
      <w:r>
        <w:rPr>
          <w:highlight w:val="none"/>
        </w:rPr>
        <w:t xml:space="preserve">нием Правительства Новосибирской области от 03.03.2020 № 40-п;</w:t>
      </w:r>
      <w:r>
        <w:rPr>
          <w:highlight w:val="none"/>
        </w:rPr>
        <w:t xml:space="preserve">»;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абзацы третий, с десятого по четырнадцатый и с двадцатого по двадцать четвертого исключить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г) </w:t>
      </w:r>
      <w:r>
        <w:rPr>
          <w:highlight w:val="none"/>
        </w:rPr>
        <w:t xml:space="preserve">в абзаце четвертом пункта 10 цифры «</w:t>
      </w:r>
      <w:r>
        <w:rPr>
          <w:highlight w:val="none"/>
        </w:rPr>
        <w:t xml:space="preserve">1 - 2, 4 - 12</w:t>
      </w:r>
      <w:r>
        <w:rPr>
          <w:highlight w:val="none"/>
        </w:rPr>
        <w:t xml:space="preserve">» заменить цифрами «1, 9 - 11»;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14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)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 </w:t>
      </w:r>
      <w:r>
        <w:rPr>
          <w:highlight w:val="none"/>
        </w:rPr>
        <w:t xml:space="preserve">подпункт 8 пункта 8 </w:t>
      </w:r>
      <w:r>
        <w:rPr>
          <w:highlight w:val="none"/>
        </w:rPr>
        <w:t xml:space="preserve">приложения</w:t>
      </w:r>
      <w:r>
        <w:rPr>
          <w:color w:val="000000"/>
          <w:highlight w:val="none"/>
        </w:rPr>
        <w:t xml:space="preserve"> № 31 </w:t>
      </w:r>
      <w:r>
        <w:rPr>
          <w:highlight w:val="none"/>
        </w:rPr>
        <w:t xml:space="preserve">«</w:t>
      </w:r>
      <w:r>
        <w:rPr>
          <w:color w:val="000000"/>
          <w:highlight w:val="none"/>
        </w:rPr>
        <w:t xml:space="preserve">Порядок предоставления и распределени</w:t>
      </w:r>
      <w:r>
        <w:rPr>
          <w:color w:val="000000"/>
          <w:highlight w:val="none"/>
        </w:rPr>
        <w:t xml:space="preserve">я субсидий местным бюджетам на оплату затрат технологического присоединения к электрическим сетям земельных участков, предоставленных многодетным семьям, государственной программы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 изложить в следующей редакции:</w:t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eastAsia="Courier New"/>
          <w:sz w:val="28"/>
          <w:szCs w:val="28"/>
          <w:highlight w:val="none"/>
          <w14:ligatures w14:val="none"/>
        </w:rPr>
        <w:t xml:space="preserve">«8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муниципальных образований, у которых на 1 января текущего финансового года общий объем муниципального долга по муниципальным ценным бумагам и кредитам, полученным от кредитных организаций (далее - доля долговых обязательств по рыночным заимствованиям),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итогам исполнения бюджета муниципального образования не превышает 25% общего объема доходов бюджета муниципального образования, определенного без учета объема безвозмездных поступлений и (или) поступлений налоговых доходов по дополнительным нормативам отчи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слений от налога на доходы физических лиц: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оответствие параметров бюджета муниципального образования на текущий финансовый год, утвержденных решением о бюджете муниципального образования в части доходов местного бюджета и муниципального долга, требованию по соблюдению ограничения доли долговых обяз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ательств по рыночным заимствованиям на текущий финансовый год: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Новосибирской области (далее - муниципальный район) и поселений, входящих в его состав, - на уровне не более 25% общего объема доходов консолидированного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района - на уровне не более 25% общего объема доходов бюджета муниципального района;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муниципального округа - на уровне не более 25% общего объема доходов бюджета муниципального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городского округа - на уровне не более 25% общего объема доходов бюджета городского округа;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отношении муниципального долга поселения - на уровне не более 25% общего объема доходов бюджета поселения.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араметры бюджета муниципального образования на текущий финансовый год, утвержденные решением о бюджете муниципального образования в части муниципального долга, должны учитывать фактическое исполнение доли долговых обязательств по рыночным заимствованиям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итогам отчетного финансового года.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бщий объем доходов бюджета поселения, муниципального района, муниципального округа, городского округа, консолидированного бюджета муниципального района определяется без учета объема безвозмездных поступлений и (или) поступлений налоговых доходов по дополни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 расчете доли долговых обязательств по рыночным заимствованиям учитываются возможности ее превышения, установленные федеральными законами, регулирующими бюджетные правоотношения;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течение текущего фин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нсового года параметры бюджета муниципального образования на текущий финансовый год, утвержденные решением о бюджете муниципального образования в части доходов местного бюджета и муниципального долга, должны соответствовать требованию по соблюдению огранич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ния доли долговых обязательств по рыночным заимствованиям, а также соблюдение ограничения доли долговых обязательств по рыночным заимствованиям по итогам исполнения бюджета муниципального образования на 1 января очередного финансового года, в соответствии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 порядком ее определения и уровнями, указанными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данном пункте.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муниципальных образований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которых на 1 января текущего финансового года доля долговых обязательств по рыночным заимствованиям по итогам исполнения бюджета муниципального образования превышает 25% общего объема доходов бюджета муниципального образования, определенного без учета объ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ема безвозмездных поступлений и (или) поступлений налоговых доходов по дополнительным нормативам отчислений от налога на доходы физических лиц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аличие плана мероприятий по оздоровлению муниципальных финансов на текущий финансовый год, приводящего по итогам его выполнения к непревышению доли долговых обязательств по рыночным заимствованиям, сложившейся на 1 января текущего финансового года по итога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исполнения бюджета, утвержденного главой муниципального образования, главой входящего в состав муниципального района поселения, допустивших превышение на 1 января текущего финансового года доли долговых обязательств по рыночным заимствованиям по итогам ис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полнения бюджета 25% общего объема доходов бюджета, определенного без учета объема безвозмездных поступлений и (или) поступлений налоговых доходов по дополнительным нормативам отчислений от налога на доходы физических лиц.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Муниципальное образование в течение текущего финансового года обеспечивает своевременную реализацию плана мероприятий по оздоровлению муниципальных финансов на текущий финансовый год, утвержденного главой муниципального образования.</w:t>
      </w:r>
      <w:r>
        <w:rPr>
          <w:rFonts w:eastAsia="Courier New"/>
          <w:sz w:val="28"/>
          <w:szCs w:val="28"/>
          <w:highlight w:val="none"/>
          <w14:ligatures w14:val="none"/>
        </w:rPr>
        <w:t xml:space="preserve">»;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15) </w:t>
      </w:r>
      <w:r>
        <w:rPr>
          <w:highlight w:val="none"/>
        </w:rPr>
        <w:t xml:space="preserve">в приложении № 32</w:t>
      </w:r>
      <w:r>
        <w:rPr>
          <w:highlight w:val="none"/>
        </w:rPr>
        <w:t xml:space="preserve"> «</w:t>
      </w:r>
      <w:r>
        <w:rPr>
          <w:highlight w:val="none"/>
        </w:rPr>
        <w:t xml:space="preserve">Методика </w:t>
      </w:r>
      <w:r>
        <w:rPr>
          <w:highlight w:val="none"/>
        </w:rPr>
        <w:t xml:space="preserve">распределения иных межбюджетных трансфертов на финансовое</w:t>
      </w:r>
      <w:r>
        <w:rPr>
          <w:highlight w:val="none"/>
        </w:rPr>
        <w:t xml:space="preserve"> </w:t>
      </w:r>
      <w:r>
        <w:rPr>
          <w:highlight w:val="none"/>
        </w:rPr>
        <w:t xml:space="preserve">обеспечение реализации инфраструктурных проектов за счет</w:t>
      </w:r>
      <w:r>
        <w:rPr>
          <w:highlight w:val="none"/>
        </w:rPr>
        <w:t xml:space="preserve"> </w:t>
      </w:r>
      <w:r>
        <w:rPr>
          <w:highlight w:val="none"/>
        </w:rPr>
        <w:t xml:space="preserve">казначейских инфраструктурных кредитов государственной</w:t>
      </w:r>
      <w:r>
        <w:rPr>
          <w:highlight w:val="none"/>
        </w:rPr>
        <w:t xml:space="preserve"> </w:t>
      </w:r>
      <w:r>
        <w:rPr>
          <w:highlight w:val="none"/>
        </w:rPr>
        <w:t xml:space="preserve">программы Новосибирской области «Жилищно-коммунальное</w:t>
      </w:r>
      <w:r>
        <w:rPr>
          <w:highlight w:val="none"/>
        </w:rPr>
        <w:t xml:space="preserve"> </w:t>
      </w:r>
      <w:r>
        <w:rPr>
          <w:highlight w:val="none"/>
        </w:rPr>
        <w:t xml:space="preserve">хозяйство Новосибирской области» и правила их предоставления</w:t>
      </w:r>
      <w:r>
        <w:rPr>
          <w:highlight w:val="none"/>
        </w:rPr>
        <w:t xml:space="preserve">» после абзаца первого подпункт 4 пункта 6 дополнить абзацем следующего содержания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«</w:t>
      </w:r>
      <w:r>
        <w:rPr>
          <w:highlight w:val="none"/>
        </w:rPr>
        <w:t xml:space="preserve">согласование проекта муниципального контракта с Государственным казенным учреждением Новосибирской области «Проектная дирекция министерства жилищно-коммунального хозяйства и энергетики Новосибирской области» в части </w:t>
      </w:r>
      <w:r>
        <w:rPr>
          <w:highlight w:val="none"/>
        </w:rPr>
        <w:t xml:space="preserve">сроков выполнения работ по строительству, реконструкции объектов централизованных систем холодного водоснабжения и (или) водоотведения;</w:t>
      </w:r>
      <w:r>
        <w:rPr>
          <w:highlight w:val="none"/>
        </w:rPr>
        <w:t xml:space="preserve"> </w:t>
      </w:r>
      <w:r>
        <w:rPr>
          <w:highlight w:val="none"/>
        </w:rPr>
        <w:t xml:space="preserve">необходимости включения в проект муниципального контракта этапности выполнения работ и условия авансирования;</w:t>
      </w:r>
      <w:r>
        <w:rPr>
          <w:highlight w:val="none"/>
        </w:rPr>
        <w:t xml:space="preserve"> </w:t>
      </w:r>
      <w:r>
        <w:rPr>
          <w:highlight w:val="none"/>
        </w:rPr>
        <w:t xml:space="preserve">наличия в муниципальном контракте условий расторжения муниципального контракта в одностороннем порядке;</w:t>
      </w:r>
      <w:r>
        <w:rPr>
          <w:highlight w:val="none"/>
        </w:rPr>
        <w:t xml:space="preserve">».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2. Дополнить </w:t>
      </w:r>
      <w:r>
        <w:rPr>
          <w:highlight w:val="none"/>
        </w:rPr>
        <w:t xml:space="preserve">государственную программу приложением № 33</w:t>
      </w:r>
      <w:r>
        <w:rPr>
          <w:highlight w:val="none"/>
        </w:rPr>
        <w:t xml:space="preserve"> </w:t>
      </w:r>
      <w:r>
        <w:rPr>
          <w:highlight w:val="none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Порядок предоставления и распределения субсидий местным бюджетам на приобретение, доставку и монтаж блочно-модульных очистных сооружений </w:t>
      </w:r>
      <w:r>
        <w:rPr>
          <w:highlight w:val="none"/>
        </w:rPr>
        <w:t xml:space="preserve">государственной программы Новосибирской области «Жилищно-коммунальное хозяйство Новосибирской области</w:t>
      </w:r>
      <w:r>
        <w:rPr>
          <w:highlight w:val="none"/>
        </w:rPr>
        <w:t xml:space="preserve">»</w:t>
      </w:r>
      <w:r>
        <w:rPr>
          <w:highlight w:val="none"/>
        </w:rPr>
        <w:t xml:space="preserve"> согласно приложения № 2 к настоящему постановлению.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3. </w:t>
      </w:r>
      <w:r>
        <w:rPr>
          <w:highlight w:val="none"/>
        </w:rPr>
        <w:t xml:space="preserve">Дополнить </w:t>
      </w:r>
      <w:r>
        <w:rPr>
          <w:highlight w:val="none"/>
        </w:rPr>
        <w:t xml:space="preserve">государственную программу приложением № 34 </w:t>
      </w:r>
      <w:r>
        <w:rPr>
          <w:sz w:val="28"/>
          <w:szCs w:val="28"/>
          <w:lang w:eastAsia="en-US"/>
        </w:rPr>
        <w:t xml:space="preserve">«Порядок предоставления и распределения субсидий местным бюджетам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замену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области»</w:t>
      </w:r>
      <w:r>
        <w:rPr>
          <w:highlight w:val="none"/>
        </w:rPr>
        <w:t xml:space="preserve"> </w:t>
      </w:r>
      <w:r>
        <w:rPr>
          <w:highlight w:val="none"/>
        </w:rPr>
        <w:t xml:space="preserve">согласно приложения № 2 к настоящему постановлению.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4. </w:t>
      </w:r>
      <w:r>
        <w:rPr>
          <w:highlight w:val="none"/>
        </w:rPr>
        <w:t xml:space="preserve">Дополнить </w:t>
      </w:r>
      <w:r>
        <w:rPr>
          <w:highlight w:val="none"/>
        </w:rPr>
        <w:t xml:space="preserve">государственную программу приложением № 35 </w:t>
      </w:r>
      <w:r>
        <w:rPr>
          <w:sz w:val="28"/>
          <w:szCs w:val="28"/>
          <w:lang w:eastAsia="en-US"/>
        </w:rPr>
        <w:t xml:space="preserve">«Порядок предоставления и распределения субсидий местным бюджетам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</w:rPr>
        <w:t xml:space="preserve">разработ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</w:rPr>
        <w:t xml:space="preserve">ку 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й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ументации</w:t>
      </w:r>
      <w:r>
        <w:rPr>
          <w:rFonts w:ascii="Times New Roman" w:hAnsi="Times New Roman" w:eastAsia="Arial" w:cs="Times New Roman"/>
          <w:b w:val="0"/>
          <w:bCs w:val="0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замену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государственной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 «Жилищно-коммунальное хозяйство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Новосибирской области»</w:t>
      </w:r>
      <w:r>
        <w:rPr>
          <w:highlight w:val="none"/>
        </w:rPr>
        <w:t xml:space="preserve"> </w:t>
      </w:r>
      <w:r>
        <w:rPr>
          <w:highlight w:val="none"/>
        </w:rPr>
        <w:t xml:space="preserve">согласно приложения № 2 к настоящему постановлению.</w:t>
      </w:r>
      <w:r>
        <w:rPr>
          <w:highlight w:val="none"/>
        </w:rPr>
      </w:r>
      <w:r>
        <w:rPr>
          <w:highlight w:val="none"/>
        </w:rPr>
      </w:r>
    </w:p>
    <w:p>
      <w:pPr>
        <w:shd w:val="clear" w:color="ffffff" w:themeColor="background1" w:fill="ffffff" w:themeFill="background1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5. В абзаце шестом пункта 15 приложения </w:t>
      </w:r>
      <w:r>
        <w:rPr>
          <w:highlight w:val="none"/>
        </w:rPr>
        <w:t xml:space="preserve">№ 18 «Порядок предоставления субсидии из областного бюджета Новосибирской области некоммерческой организации «Фонд </w:t>
      </w:r>
      <w:r>
        <w:rPr>
          <w:highlight w:val="none"/>
        </w:rPr>
        <w:t xml:space="preserve">модернизации и развития жилищно-коммунального хозяйства муниципальных образований Новосибирской области» на обеспечение деятельности»</w:t>
      </w:r>
      <w:r>
        <w:rPr>
          <w:highlight w:val="none"/>
        </w:rPr>
        <w:t xml:space="preserve"> слово «пяти» заменять словом «двадцати».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jc w:val="center"/>
        <w:rPr>
          <w:highlight w:val="none"/>
        </w:rPr>
      </w:pPr>
      <w:r>
        <w:rPr>
          <w:highlight w:val="none"/>
        </w:rPr>
        <w:t xml:space="preserve">_________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sectPr>
      <w:headerReference w:type="default" r:id="rId9"/>
      <w:headerReference w:type="even" r:id="rId10"/>
      <w:footnotePr/>
      <w:endnotePr/>
      <w:type w:val="nextPage"/>
      <w:pgSz w:w="11907" w:h="16840" w:orient="portrait"/>
      <w:pgMar w:top="1134" w:right="567" w:bottom="1134" w:left="1418" w:header="709" w:footer="709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Tahoma">
    <w:panose1 w:val="020B0604030504040204"/>
  </w:font>
  <w:font w:name="Courier">
    <w:panose1 w:val="02070309020205020404"/>
  </w:font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2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\* MERGEFORMAT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 xml:space="preserve">17</w:t>
    </w:r>
    <w:r>
      <w:rPr>
        <w:sz w:val="20"/>
        <w:szCs w:val="20"/>
      </w:rPr>
      <w:fldChar w:fldCharType="end"/>
    </w:r>
    <w:r/>
  </w:p>
  <w:p>
    <w:pPr>
      <w:pStyle w:val="902"/>
      <w:tabs>
        <w:tab w:val="clear" w:pos="4153" w:leader="none"/>
        <w:tab w:val="center" w:pos="4961" w:leader="none"/>
        <w:tab w:val="clear" w:pos="8306" w:leader="none"/>
        <w:tab w:val="right" w:pos="9922" w:leader="none"/>
      </w:tabs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2"/>
      <w:rPr>
        <w:rStyle w:val="923"/>
      </w:rPr>
      <w:framePr w:wrap="around" w:vAnchor="text" w:hAnchor="margin" w:xAlign="center" w:y="1"/>
    </w:pPr>
    <w:r>
      <w:rPr>
        <w:rStyle w:val="923"/>
      </w:rPr>
      <w:fldChar w:fldCharType="begin"/>
    </w:r>
    <w:r>
      <w:rPr>
        <w:rStyle w:val="923"/>
      </w:rPr>
      <w:instrText xml:space="preserve">PAGE  </w:instrText>
    </w:r>
    <w:r>
      <w:rPr>
        <w:rStyle w:val="923"/>
      </w:rPr>
      <w:fldChar w:fldCharType="end"/>
    </w:r>
    <w:r>
      <w:rPr>
        <w:rStyle w:val="923"/>
      </w:rPr>
    </w:r>
    <w:r>
      <w:rPr>
        <w:rStyle w:val="923"/>
      </w:rPr>
    </w:r>
  </w:p>
  <w:p>
    <w:pPr>
      <w:pStyle w:val="90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2" w:hanging="495"/>
        <w:tabs>
          <w:tab w:val="num" w:pos="1062" w:leader="none"/>
        </w:tabs>
      </w:pPr>
      <w:rPr>
        <w:rFonts w:hint="default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0" w:hanging="360"/>
        <w:tabs>
          <w:tab w:val="num" w:pos="1280" w:leader="none"/>
        </w:tabs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0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360"/>
        <w:tabs>
          <w:tab w:val="num" w:pos="1065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5" w:hanging="360"/>
        <w:tabs>
          <w:tab w:val="num" w:pos="1785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505" w:hanging="180"/>
        <w:tabs>
          <w:tab w:val="num" w:pos="2505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225" w:hanging="360"/>
        <w:tabs>
          <w:tab w:val="num" w:pos="3225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945" w:hanging="360"/>
        <w:tabs>
          <w:tab w:val="num" w:pos="3945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665" w:hanging="180"/>
        <w:tabs>
          <w:tab w:val="num" w:pos="4665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85" w:hanging="360"/>
        <w:tabs>
          <w:tab w:val="num" w:pos="5385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105" w:hanging="360"/>
        <w:tabs>
          <w:tab w:val="num" w:pos="6105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825" w:hanging="180"/>
        <w:tabs>
          <w:tab w:val="num" w:pos="6825" w:leader="none"/>
        </w:tabs>
      </w:pPr>
      <w:rPr>
        <w:rFonts w:cs="Times New Roman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num w:numId="1">
    <w:abstractNumId w:val="1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</w:num>
  <w:num w:numId="8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6" w:default="1">
    <w:name w:val="Normal"/>
    <w:qFormat/>
    <w:pPr>
      <w:ind w:firstLine="709"/>
      <w:jc w:val="both"/>
      <w:spacing w:after="0" w:line="240" w:lineRule="auto"/>
    </w:pPr>
    <w:rPr>
      <w:sz w:val="28"/>
      <w:szCs w:val="28"/>
    </w:rPr>
  </w:style>
  <w:style w:type="paragraph" w:styleId="707">
    <w:name w:val="Heading 1"/>
    <w:basedOn w:val="706"/>
    <w:next w:val="706"/>
    <w:link w:val="890"/>
    <w:uiPriority w:val="99"/>
    <w:qFormat/>
    <w:pPr>
      <w:keepNext/>
      <w:outlineLvl w:val="0"/>
    </w:pPr>
    <w:rPr>
      <w:sz w:val="24"/>
      <w:szCs w:val="24"/>
    </w:rPr>
  </w:style>
  <w:style w:type="paragraph" w:styleId="708">
    <w:name w:val="Heading 2"/>
    <w:basedOn w:val="706"/>
    <w:next w:val="706"/>
    <w:link w:val="891"/>
    <w:uiPriority w:val="99"/>
    <w:qFormat/>
    <w:pPr>
      <w:keepNext/>
      <w:widowControl w:val="off"/>
      <w:outlineLvl w:val="1"/>
    </w:pPr>
  </w:style>
  <w:style w:type="paragraph" w:styleId="709">
    <w:name w:val="Heading 3"/>
    <w:basedOn w:val="706"/>
    <w:next w:val="706"/>
    <w:link w:val="892"/>
    <w:uiPriority w:val="99"/>
    <w:qFormat/>
    <w:pPr>
      <w:ind w:firstLine="708"/>
      <w:jc w:val="right"/>
      <w:keepNext/>
      <w:outlineLvl w:val="2"/>
    </w:pPr>
  </w:style>
  <w:style w:type="paragraph" w:styleId="710">
    <w:name w:val="Heading 4"/>
    <w:basedOn w:val="706"/>
    <w:next w:val="706"/>
    <w:link w:val="893"/>
    <w:uiPriority w:val="99"/>
    <w:qFormat/>
    <w:pPr>
      <w:ind w:left="6237"/>
      <w:jc w:val="center"/>
      <w:keepNext/>
      <w:outlineLvl w:val="3"/>
    </w:pPr>
    <w:rPr>
      <w:color w:val="000000"/>
    </w:rPr>
  </w:style>
  <w:style w:type="paragraph" w:styleId="711">
    <w:name w:val="Heading 5"/>
    <w:basedOn w:val="706"/>
    <w:next w:val="706"/>
    <w:link w:val="894"/>
    <w:uiPriority w:val="99"/>
    <w:qFormat/>
    <w:pPr>
      <w:keepNext/>
      <w:outlineLvl w:val="4"/>
    </w:pPr>
    <w:rPr>
      <w:color w:val="000000"/>
    </w:rPr>
  </w:style>
  <w:style w:type="paragraph" w:styleId="712">
    <w:name w:val="Heading 6"/>
    <w:basedOn w:val="706"/>
    <w:next w:val="706"/>
    <w:link w:val="895"/>
    <w:uiPriority w:val="99"/>
    <w:qFormat/>
    <w:pPr>
      <w:ind w:left="6237" w:right="-625"/>
      <w:jc w:val="center"/>
      <w:keepNext/>
      <w:outlineLvl w:val="5"/>
    </w:pPr>
    <w:rPr>
      <w:color w:val="000000"/>
    </w:rPr>
  </w:style>
  <w:style w:type="paragraph" w:styleId="713">
    <w:name w:val="Heading 7"/>
    <w:basedOn w:val="706"/>
    <w:next w:val="706"/>
    <w:link w:val="896"/>
    <w:uiPriority w:val="99"/>
    <w:qFormat/>
    <w:pPr>
      <w:ind w:right="-2"/>
      <w:jc w:val="center"/>
      <w:keepNext/>
      <w:outlineLvl w:val="6"/>
    </w:pPr>
    <w:rPr>
      <w:b/>
      <w:bCs/>
      <w:color w:val="000000"/>
    </w:rPr>
  </w:style>
  <w:style w:type="paragraph" w:styleId="714">
    <w:name w:val="Heading 8"/>
    <w:basedOn w:val="706"/>
    <w:next w:val="706"/>
    <w:link w:val="897"/>
    <w:uiPriority w:val="99"/>
    <w:qFormat/>
    <w:pPr>
      <w:ind w:left="6237" w:right="-2"/>
      <w:jc w:val="center"/>
      <w:keepNext/>
      <w:outlineLvl w:val="7"/>
    </w:pPr>
    <w:rPr>
      <w:color w:val="000000"/>
    </w:rPr>
  </w:style>
  <w:style w:type="paragraph" w:styleId="715">
    <w:name w:val="Heading 9"/>
    <w:basedOn w:val="706"/>
    <w:next w:val="706"/>
    <w:link w:val="898"/>
    <w:uiPriority w:val="99"/>
    <w:qFormat/>
    <w:pPr>
      <w:ind w:firstLine="720"/>
      <w:jc w:val="right"/>
      <w:keepNext/>
      <w:outlineLvl w:val="8"/>
    </w:pPr>
  </w:style>
  <w:style w:type="character" w:styleId="716" w:default="1">
    <w:name w:val="Default Paragraph Font"/>
    <w:uiPriority w:val="1"/>
    <w:semiHidden/>
    <w:unhideWhenUsed/>
  </w:style>
  <w:style w:type="table" w:styleId="7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8" w:default="1">
    <w:name w:val="No List"/>
    <w:uiPriority w:val="99"/>
    <w:semiHidden/>
    <w:unhideWhenUsed/>
  </w:style>
  <w:style w:type="character" w:styleId="719" w:customStyle="1">
    <w:name w:val="Title Char"/>
    <w:basedOn w:val="716"/>
    <w:uiPriority w:val="10"/>
    <w:rPr>
      <w:sz w:val="48"/>
      <w:szCs w:val="48"/>
    </w:rPr>
  </w:style>
  <w:style w:type="character" w:styleId="720" w:customStyle="1">
    <w:name w:val="Subtitle Char"/>
    <w:basedOn w:val="716"/>
    <w:uiPriority w:val="11"/>
    <w:rPr>
      <w:sz w:val="24"/>
      <w:szCs w:val="24"/>
    </w:rPr>
  </w:style>
  <w:style w:type="character" w:styleId="721" w:customStyle="1">
    <w:name w:val="Quote Char"/>
    <w:uiPriority w:val="29"/>
    <w:rPr>
      <w:i/>
    </w:rPr>
  </w:style>
  <w:style w:type="character" w:styleId="722" w:customStyle="1">
    <w:name w:val="Intense Quote Char"/>
    <w:uiPriority w:val="30"/>
    <w:rPr>
      <w:i/>
    </w:rPr>
  </w:style>
  <w:style w:type="character" w:styleId="723" w:customStyle="1">
    <w:name w:val="Footnote Text Char"/>
    <w:uiPriority w:val="99"/>
    <w:rPr>
      <w:sz w:val="18"/>
    </w:rPr>
  </w:style>
  <w:style w:type="character" w:styleId="724" w:customStyle="1">
    <w:name w:val="Endnote Text Char"/>
    <w:uiPriority w:val="99"/>
    <w:rPr>
      <w:sz w:val="20"/>
    </w:rPr>
  </w:style>
  <w:style w:type="character" w:styleId="725" w:customStyle="1">
    <w:name w:val="Heading 1 Char"/>
    <w:basedOn w:val="716"/>
    <w:uiPriority w:val="9"/>
    <w:rPr>
      <w:rFonts w:ascii="Arial" w:hAnsi="Arial" w:eastAsia="Arial" w:cs="Arial"/>
      <w:sz w:val="40"/>
      <w:szCs w:val="40"/>
    </w:rPr>
  </w:style>
  <w:style w:type="character" w:styleId="726" w:customStyle="1">
    <w:name w:val="Heading 2 Char"/>
    <w:basedOn w:val="716"/>
    <w:uiPriority w:val="9"/>
    <w:rPr>
      <w:rFonts w:ascii="Arial" w:hAnsi="Arial" w:eastAsia="Arial" w:cs="Arial"/>
      <w:sz w:val="34"/>
    </w:rPr>
  </w:style>
  <w:style w:type="character" w:styleId="727" w:customStyle="1">
    <w:name w:val="Heading 3 Char"/>
    <w:basedOn w:val="716"/>
    <w:uiPriority w:val="9"/>
    <w:rPr>
      <w:rFonts w:ascii="Arial" w:hAnsi="Arial" w:eastAsia="Arial" w:cs="Arial"/>
      <w:sz w:val="30"/>
      <w:szCs w:val="30"/>
    </w:rPr>
  </w:style>
  <w:style w:type="character" w:styleId="728" w:customStyle="1">
    <w:name w:val="Heading 4 Char"/>
    <w:basedOn w:val="716"/>
    <w:uiPriority w:val="9"/>
    <w:rPr>
      <w:rFonts w:ascii="Arial" w:hAnsi="Arial" w:eastAsia="Arial" w:cs="Arial"/>
      <w:b/>
      <w:bCs/>
      <w:sz w:val="26"/>
      <w:szCs w:val="26"/>
    </w:rPr>
  </w:style>
  <w:style w:type="character" w:styleId="729" w:customStyle="1">
    <w:name w:val="Heading 5 Char"/>
    <w:basedOn w:val="716"/>
    <w:uiPriority w:val="9"/>
    <w:rPr>
      <w:rFonts w:ascii="Arial" w:hAnsi="Arial" w:eastAsia="Arial" w:cs="Arial"/>
      <w:b/>
      <w:bCs/>
      <w:sz w:val="24"/>
      <w:szCs w:val="24"/>
    </w:rPr>
  </w:style>
  <w:style w:type="character" w:styleId="730" w:customStyle="1">
    <w:name w:val="Heading 6 Char"/>
    <w:basedOn w:val="716"/>
    <w:uiPriority w:val="9"/>
    <w:rPr>
      <w:rFonts w:ascii="Arial" w:hAnsi="Arial" w:eastAsia="Arial" w:cs="Arial"/>
      <w:b/>
      <w:bCs/>
      <w:sz w:val="22"/>
      <w:szCs w:val="22"/>
    </w:rPr>
  </w:style>
  <w:style w:type="character" w:styleId="731" w:customStyle="1">
    <w:name w:val="Heading 7 Char"/>
    <w:basedOn w:val="71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32" w:customStyle="1">
    <w:name w:val="Heading 8 Char"/>
    <w:basedOn w:val="716"/>
    <w:uiPriority w:val="9"/>
    <w:rPr>
      <w:rFonts w:ascii="Arial" w:hAnsi="Arial" w:eastAsia="Arial" w:cs="Arial"/>
      <w:i/>
      <w:iCs/>
      <w:sz w:val="22"/>
      <w:szCs w:val="22"/>
    </w:rPr>
  </w:style>
  <w:style w:type="character" w:styleId="733" w:customStyle="1">
    <w:name w:val="Heading 9 Char"/>
    <w:basedOn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34">
    <w:name w:val="List Paragraph"/>
    <w:basedOn w:val="706"/>
    <w:uiPriority w:val="34"/>
    <w:qFormat/>
    <w:pPr>
      <w:contextualSpacing/>
      <w:ind w:left="720"/>
    </w:pPr>
  </w:style>
  <w:style w:type="paragraph" w:styleId="735">
    <w:name w:val="No Spacing"/>
    <w:uiPriority w:val="1"/>
    <w:qFormat/>
    <w:pPr>
      <w:spacing w:after="0" w:line="240" w:lineRule="auto"/>
    </w:pPr>
  </w:style>
  <w:style w:type="paragraph" w:styleId="736">
    <w:name w:val="Title"/>
    <w:basedOn w:val="706"/>
    <w:next w:val="706"/>
    <w:link w:val="7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7" w:customStyle="1">
    <w:name w:val="Заголовок Знак"/>
    <w:basedOn w:val="716"/>
    <w:link w:val="736"/>
    <w:uiPriority w:val="10"/>
    <w:rPr>
      <w:sz w:val="48"/>
      <w:szCs w:val="48"/>
    </w:rPr>
  </w:style>
  <w:style w:type="paragraph" w:styleId="738">
    <w:name w:val="Subtitle"/>
    <w:basedOn w:val="706"/>
    <w:next w:val="706"/>
    <w:link w:val="739"/>
    <w:uiPriority w:val="11"/>
    <w:qFormat/>
    <w:pPr>
      <w:spacing w:before="200" w:after="200"/>
    </w:pPr>
    <w:rPr>
      <w:sz w:val="24"/>
      <w:szCs w:val="24"/>
    </w:rPr>
  </w:style>
  <w:style w:type="character" w:styleId="739" w:customStyle="1">
    <w:name w:val="Подзаголовок Знак"/>
    <w:basedOn w:val="716"/>
    <w:link w:val="738"/>
    <w:uiPriority w:val="11"/>
    <w:rPr>
      <w:sz w:val="24"/>
      <w:szCs w:val="24"/>
    </w:rPr>
  </w:style>
  <w:style w:type="paragraph" w:styleId="740">
    <w:name w:val="Quote"/>
    <w:basedOn w:val="706"/>
    <w:next w:val="706"/>
    <w:link w:val="741"/>
    <w:uiPriority w:val="29"/>
    <w:qFormat/>
    <w:pPr>
      <w:ind w:left="720" w:right="720"/>
    </w:pPr>
    <w:rPr>
      <w:i/>
    </w:rPr>
  </w:style>
  <w:style w:type="character" w:styleId="741" w:customStyle="1">
    <w:name w:val="Цитата 2 Знак"/>
    <w:link w:val="740"/>
    <w:uiPriority w:val="29"/>
    <w:rPr>
      <w:i/>
    </w:rPr>
  </w:style>
  <w:style w:type="paragraph" w:styleId="742">
    <w:name w:val="Intense Quote"/>
    <w:basedOn w:val="706"/>
    <w:next w:val="706"/>
    <w:link w:val="74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3" w:customStyle="1">
    <w:name w:val="Выделенная цитата Знак"/>
    <w:link w:val="742"/>
    <w:uiPriority w:val="30"/>
    <w:rPr>
      <w:i/>
    </w:rPr>
  </w:style>
  <w:style w:type="character" w:styleId="744" w:customStyle="1">
    <w:name w:val="Header Char"/>
    <w:basedOn w:val="716"/>
    <w:uiPriority w:val="99"/>
  </w:style>
  <w:style w:type="character" w:styleId="745" w:customStyle="1">
    <w:name w:val="Footer Char"/>
    <w:basedOn w:val="716"/>
    <w:uiPriority w:val="99"/>
  </w:style>
  <w:style w:type="paragraph" w:styleId="746">
    <w:name w:val="Caption"/>
    <w:basedOn w:val="706"/>
    <w:next w:val="706"/>
    <w:link w:val="7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7" w:customStyle="1">
    <w:name w:val="Caption Char"/>
    <w:uiPriority w:val="99"/>
  </w:style>
  <w:style w:type="table" w:styleId="748" w:customStyle="1">
    <w:name w:val="Table Grid Light"/>
    <w:basedOn w:val="71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49">
    <w:name w:val="Plain Table 1"/>
    <w:basedOn w:val="71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0">
    <w:name w:val="Plain Table 2"/>
    <w:basedOn w:val="71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1">
    <w:name w:val="Plain Table 3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2">
    <w:name w:val="Plain Table 4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Plain Table 5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4">
    <w:name w:val="Grid Table 1 Light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 w:customStyle="1">
    <w:name w:val="Grid Table 1 Light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 w:customStyle="1">
    <w:name w:val="Grid Table 1 Light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 w:customStyle="1">
    <w:name w:val="Grid Table 1 Light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 w:customStyle="1">
    <w:name w:val="Grid Table 1 Light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 w:customStyle="1">
    <w:name w:val="Grid Table 1 Light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 w:customStyle="1">
    <w:name w:val="Grid Table 1 Light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Grid Table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2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2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2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2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2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2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Grid Table 3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Grid Table 3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Grid Table 3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Grid Table 3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3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3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4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6" w:customStyle="1">
    <w:name w:val="Grid Table 4 - Accent 1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77" w:customStyle="1">
    <w:name w:val="Grid Table 4 - Accent 2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78" w:customStyle="1">
    <w:name w:val="Grid Table 4 - Accent 3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79" w:customStyle="1">
    <w:name w:val="Grid Table 4 - Accent 4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80" w:customStyle="1">
    <w:name w:val="Grid Table 4 - Accent 5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81" w:customStyle="1">
    <w:name w:val="Grid Table 4 - Accent 6"/>
    <w:basedOn w:val="71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82">
    <w:name w:val="Grid Table 5 Dark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83" w:customStyle="1">
    <w:name w:val="Grid Table 5 Dark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84" w:customStyle="1">
    <w:name w:val="Grid Table 5 Dark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85" w:customStyle="1">
    <w:name w:val="Grid Table 5 Dark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86" w:customStyle="1">
    <w:name w:val="Grid Table 5 Dark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87" w:customStyle="1">
    <w:name w:val="Grid Table 5 Dark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88" w:customStyle="1">
    <w:name w:val="Grid Table 5 Dark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89">
    <w:name w:val="Grid Table 6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90" w:customStyle="1">
    <w:name w:val="Grid Table 6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91" w:customStyle="1">
    <w:name w:val="Grid Table 6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92" w:customStyle="1">
    <w:name w:val="Grid Table 6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93" w:customStyle="1">
    <w:name w:val="Grid Table 6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94" w:customStyle="1">
    <w:name w:val="Grid Table 6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95" w:customStyle="1">
    <w:name w:val="Grid Table 6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96">
    <w:name w:val="Grid Table 7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7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7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7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7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7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Grid Table 7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1 Light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List Table 1 Light - Accent 1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List Table 1 Light - Accent 2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List Table 1 Light - Accent 3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List Table 1 Light - Accent 4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List Table 1 Light - Accent 5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List Table 1 Light - Accent 6"/>
    <w:basedOn w:val="71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11" w:customStyle="1">
    <w:name w:val="List Table 2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12" w:customStyle="1">
    <w:name w:val="List Table 2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13" w:customStyle="1">
    <w:name w:val="List Table 2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14" w:customStyle="1">
    <w:name w:val="List Table 2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15" w:customStyle="1">
    <w:name w:val="List Table 2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16" w:customStyle="1">
    <w:name w:val="List Table 2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17">
    <w:name w:val="List Table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3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3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List Table 3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List Table 3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List Table 3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List Table 3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List Table 4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List Table 4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List Table 4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List Table 4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List Table 4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List Table 4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5 Dark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2" w:customStyle="1">
    <w:name w:val="List Table 5 Dark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3" w:customStyle="1">
    <w:name w:val="List Table 5 Dark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4" w:customStyle="1">
    <w:name w:val="List Table 5 Dark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5" w:customStyle="1">
    <w:name w:val="List Table 5 Dark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6" w:customStyle="1">
    <w:name w:val="List Table 5 Dark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7" w:customStyle="1">
    <w:name w:val="List Table 5 Dark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8">
    <w:name w:val="List Table 6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39" w:customStyle="1">
    <w:name w:val="List Table 6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40" w:customStyle="1">
    <w:name w:val="List Table 6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41" w:customStyle="1">
    <w:name w:val="List Table 6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42" w:customStyle="1">
    <w:name w:val="List Table 6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43" w:customStyle="1">
    <w:name w:val="List Table 6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44" w:customStyle="1">
    <w:name w:val="List Table 6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45">
    <w:name w:val="List Table 7 Colorful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List Table 7 Colorful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List Table 7 Colorful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7 Colorful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7 Colorful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7 Colorful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List Table 7 Colorful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Lined - Accent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3" w:customStyle="1">
    <w:name w:val="Lined - Accent 1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54" w:customStyle="1">
    <w:name w:val="Lined - Accent 2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55" w:customStyle="1">
    <w:name w:val="Lined - Accent 3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56" w:customStyle="1">
    <w:name w:val="Lined - Accent 4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57" w:customStyle="1">
    <w:name w:val="Lined - Accent 5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58" w:customStyle="1">
    <w:name w:val="Lined - Accent 6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59" w:customStyle="1">
    <w:name w:val="Bordered &amp; Lined - Accent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60" w:customStyle="1">
    <w:name w:val="Bordered &amp; Lined - Accent 1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61" w:customStyle="1">
    <w:name w:val="Bordered &amp; Lined - Accent 2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62" w:customStyle="1">
    <w:name w:val="Bordered &amp; Lined - Accent 3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63" w:customStyle="1">
    <w:name w:val="Bordered &amp; Lined - Accent 4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64" w:customStyle="1">
    <w:name w:val="Bordered &amp; Lined - Accent 5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65" w:customStyle="1">
    <w:name w:val="Bordered &amp; Lined - Accent 6"/>
    <w:basedOn w:val="717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66" w:customStyle="1">
    <w:name w:val="Bordered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67" w:customStyle="1">
    <w:name w:val="Bordered - Accent 1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68" w:customStyle="1">
    <w:name w:val="Bordered - Accent 2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69" w:customStyle="1">
    <w:name w:val="Bordered - Accent 3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70" w:customStyle="1">
    <w:name w:val="Bordered - Accent 4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71" w:customStyle="1">
    <w:name w:val="Bordered - Accent 5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72" w:customStyle="1">
    <w:name w:val="Bordered - Accent 6"/>
    <w:basedOn w:val="71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73">
    <w:name w:val="footnote text"/>
    <w:basedOn w:val="706"/>
    <w:link w:val="874"/>
    <w:uiPriority w:val="99"/>
    <w:semiHidden/>
    <w:unhideWhenUsed/>
    <w:pPr>
      <w:spacing w:after="40"/>
    </w:pPr>
    <w:rPr>
      <w:sz w:val="18"/>
    </w:rPr>
  </w:style>
  <w:style w:type="character" w:styleId="874" w:customStyle="1">
    <w:name w:val="Текст сноски Знак"/>
    <w:link w:val="873"/>
    <w:uiPriority w:val="99"/>
    <w:rPr>
      <w:sz w:val="18"/>
    </w:rPr>
  </w:style>
  <w:style w:type="character" w:styleId="875">
    <w:name w:val="footnote reference"/>
    <w:basedOn w:val="716"/>
    <w:uiPriority w:val="99"/>
    <w:unhideWhenUsed/>
    <w:rPr>
      <w:vertAlign w:val="superscript"/>
    </w:rPr>
  </w:style>
  <w:style w:type="paragraph" w:styleId="876">
    <w:name w:val="endnote text"/>
    <w:basedOn w:val="706"/>
    <w:link w:val="877"/>
    <w:uiPriority w:val="99"/>
    <w:semiHidden/>
    <w:unhideWhenUsed/>
    <w:rPr>
      <w:sz w:val="20"/>
    </w:rPr>
  </w:style>
  <w:style w:type="character" w:styleId="877" w:customStyle="1">
    <w:name w:val="Текст концевой сноски Знак"/>
    <w:link w:val="876"/>
    <w:uiPriority w:val="99"/>
    <w:rPr>
      <w:sz w:val="20"/>
    </w:rPr>
  </w:style>
  <w:style w:type="character" w:styleId="878">
    <w:name w:val="endnote reference"/>
    <w:basedOn w:val="716"/>
    <w:uiPriority w:val="99"/>
    <w:semiHidden/>
    <w:unhideWhenUsed/>
    <w:rPr>
      <w:vertAlign w:val="superscript"/>
    </w:rPr>
  </w:style>
  <w:style w:type="paragraph" w:styleId="879">
    <w:name w:val="toc 1"/>
    <w:basedOn w:val="706"/>
    <w:next w:val="706"/>
    <w:uiPriority w:val="39"/>
    <w:unhideWhenUsed/>
    <w:pPr>
      <w:ind w:firstLine="0"/>
      <w:spacing w:after="57"/>
    </w:pPr>
  </w:style>
  <w:style w:type="paragraph" w:styleId="880">
    <w:name w:val="toc 2"/>
    <w:basedOn w:val="706"/>
    <w:next w:val="706"/>
    <w:uiPriority w:val="39"/>
    <w:unhideWhenUsed/>
    <w:pPr>
      <w:ind w:left="283" w:firstLine="0"/>
      <w:spacing w:after="57"/>
    </w:pPr>
  </w:style>
  <w:style w:type="paragraph" w:styleId="881">
    <w:name w:val="toc 3"/>
    <w:basedOn w:val="706"/>
    <w:next w:val="706"/>
    <w:uiPriority w:val="39"/>
    <w:unhideWhenUsed/>
    <w:pPr>
      <w:ind w:left="567" w:firstLine="0"/>
      <w:spacing w:after="57"/>
    </w:pPr>
  </w:style>
  <w:style w:type="paragraph" w:styleId="882">
    <w:name w:val="toc 4"/>
    <w:basedOn w:val="706"/>
    <w:next w:val="706"/>
    <w:uiPriority w:val="39"/>
    <w:unhideWhenUsed/>
    <w:pPr>
      <w:ind w:left="850" w:firstLine="0"/>
      <w:spacing w:after="57"/>
    </w:pPr>
  </w:style>
  <w:style w:type="paragraph" w:styleId="883">
    <w:name w:val="toc 5"/>
    <w:basedOn w:val="706"/>
    <w:next w:val="706"/>
    <w:uiPriority w:val="39"/>
    <w:unhideWhenUsed/>
    <w:pPr>
      <w:ind w:left="1134" w:firstLine="0"/>
      <w:spacing w:after="57"/>
    </w:pPr>
  </w:style>
  <w:style w:type="paragraph" w:styleId="884">
    <w:name w:val="toc 6"/>
    <w:basedOn w:val="706"/>
    <w:next w:val="706"/>
    <w:uiPriority w:val="39"/>
    <w:unhideWhenUsed/>
    <w:pPr>
      <w:ind w:left="1417" w:firstLine="0"/>
      <w:spacing w:after="57"/>
    </w:pPr>
  </w:style>
  <w:style w:type="paragraph" w:styleId="885">
    <w:name w:val="toc 7"/>
    <w:basedOn w:val="706"/>
    <w:next w:val="706"/>
    <w:uiPriority w:val="39"/>
    <w:unhideWhenUsed/>
    <w:pPr>
      <w:ind w:left="1701" w:firstLine="0"/>
      <w:spacing w:after="57"/>
    </w:pPr>
  </w:style>
  <w:style w:type="paragraph" w:styleId="886">
    <w:name w:val="toc 8"/>
    <w:basedOn w:val="706"/>
    <w:next w:val="706"/>
    <w:uiPriority w:val="39"/>
    <w:unhideWhenUsed/>
    <w:pPr>
      <w:ind w:left="1984" w:firstLine="0"/>
      <w:spacing w:after="57"/>
    </w:pPr>
  </w:style>
  <w:style w:type="paragraph" w:styleId="887">
    <w:name w:val="toc 9"/>
    <w:basedOn w:val="706"/>
    <w:next w:val="706"/>
    <w:uiPriority w:val="39"/>
    <w:unhideWhenUsed/>
    <w:pPr>
      <w:ind w:left="2268" w:firstLine="0"/>
      <w:spacing w:after="57"/>
    </w:pPr>
  </w:style>
  <w:style w:type="paragraph" w:styleId="888">
    <w:name w:val="TOC Heading"/>
    <w:uiPriority w:val="39"/>
    <w:unhideWhenUsed/>
  </w:style>
  <w:style w:type="paragraph" w:styleId="889">
    <w:name w:val="table of figures"/>
    <w:basedOn w:val="706"/>
    <w:next w:val="706"/>
    <w:uiPriority w:val="99"/>
    <w:unhideWhenUsed/>
  </w:style>
  <w:style w:type="character" w:styleId="890" w:customStyle="1">
    <w:name w:val="Заголовок 1 Знак"/>
    <w:basedOn w:val="716"/>
    <w:link w:val="707"/>
    <w:uiPriority w:val="99"/>
    <w:rPr>
      <w:rFonts w:ascii="Cambria" w:hAnsi="Cambria" w:cs="Times New Roman"/>
      <w:b/>
      <w:bCs/>
      <w:sz w:val="32"/>
      <w:szCs w:val="32"/>
    </w:rPr>
  </w:style>
  <w:style w:type="character" w:styleId="891" w:customStyle="1">
    <w:name w:val="Заголовок 2 Знак"/>
    <w:basedOn w:val="716"/>
    <w:link w:val="708"/>
    <w:uiPriority w:val="99"/>
    <w:semiHidden/>
    <w:rPr>
      <w:rFonts w:ascii="Cambria" w:hAnsi="Cambria" w:cs="Times New Roman"/>
      <w:b/>
      <w:bCs/>
      <w:i/>
      <w:iCs/>
      <w:sz w:val="28"/>
      <w:szCs w:val="28"/>
    </w:rPr>
  </w:style>
  <w:style w:type="character" w:styleId="892" w:customStyle="1">
    <w:name w:val="Заголовок 3 Знак"/>
    <w:basedOn w:val="716"/>
    <w:link w:val="709"/>
    <w:uiPriority w:val="99"/>
    <w:semiHidden/>
    <w:rPr>
      <w:rFonts w:ascii="Cambria" w:hAnsi="Cambria" w:cs="Times New Roman"/>
      <w:b/>
      <w:bCs/>
      <w:sz w:val="26"/>
      <w:szCs w:val="26"/>
    </w:rPr>
  </w:style>
  <w:style w:type="character" w:styleId="893" w:customStyle="1">
    <w:name w:val="Заголовок 4 Знак"/>
    <w:basedOn w:val="716"/>
    <w:link w:val="710"/>
    <w:uiPriority w:val="99"/>
    <w:semiHidden/>
    <w:rPr>
      <w:rFonts w:ascii="Calibri" w:hAnsi="Calibri" w:cs="Times New Roman"/>
      <w:b/>
      <w:bCs/>
      <w:sz w:val="28"/>
      <w:szCs w:val="28"/>
    </w:rPr>
  </w:style>
  <w:style w:type="character" w:styleId="894" w:customStyle="1">
    <w:name w:val="Заголовок 5 Знак"/>
    <w:basedOn w:val="716"/>
    <w:link w:val="711"/>
    <w:uiPriority w:val="99"/>
    <w:semiHidden/>
    <w:rPr>
      <w:rFonts w:ascii="Calibri" w:hAnsi="Calibri" w:cs="Times New Roman"/>
      <w:b/>
      <w:bCs/>
      <w:i/>
      <w:iCs/>
      <w:sz w:val="26"/>
      <w:szCs w:val="26"/>
    </w:rPr>
  </w:style>
  <w:style w:type="character" w:styleId="895" w:customStyle="1">
    <w:name w:val="Заголовок 6 Знак"/>
    <w:basedOn w:val="716"/>
    <w:link w:val="712"/>
    <w:uiPriority w:val="99"/>
    <w:semiHidden/>
    <w:rPr>
      <w:rFonts w:ascii="Calibri" w:hAnsi="Calibri" w:cs="Times New Roman"/>
      <w:b/>
      <w:bCs/>
    </w:rPr>
  </w:style>
  <w:style w:type="character" w:styleId="896" w:customStyle="1">
    <w:name w:val="Заголовок 7 Знак"/>
    <w:basedOn w:val="716"/>
    <w:link w:val="713"/>
    <w:uiPriority w:val="99"/>
    <w:semiHidden/>
    <w:rPr>
      <w:rFonts w:ascii="Calibri" w:hAnsi="Calibri" w:cs="Times New Roman"/>
      <w:sz w:val="24"/>
      <w:szCs w:val="24"/>
    </w:rPr>
  </w:style>
  <w:style w:type="character" w:styleId="897" w:customStyle="1">
    <w:name w:val="Заголовок 8 Знак"/>
    <w:basedOn w:val="716"/>
    <w:link w:val="714"/>
    <w:uiPriority w:val="99"/>
    <w:semiHidden/>
    <w:rPr>
      <w:rFonts w:ascii="Calibri" w:hAnsi="Calibri" w:cs="Times New Roman"/>
      <w:i/>
      <w:iCs/>
      <w:sz w:val="24"/>
      <w:szCs w:val="24"/>
    </w:rPr>
  </w:style>
  <w:style w:type="character" w:styleId="898" w:customStyle="1">
    <w:name w:val="Заголовок 9 Знак"/>
    <w:basedOn w:val="716"/>
    <w:link w:val="715"/>
    <w:uiPriority w:val="99"/>
    <w:semiHidden/>
    <w:rPr>
      <w:rFonts w:ascii="Cambria" w:hAnsi="Cambria" w:cs="Times New Roman"/>
    </w:rPr>
  </w:style>
  <w:style w:type="paragraph" w:styleId="899" w:customStyle="1">
    <w:name w:val="заголовок 1"/>
    <w:basedOn w:val="706"/>
    <w:next w:val="706"/>
    <w:uiPriority w:val="99"/>
    <w:pPr>
      <w:jc w:val="center"/>
      <w:keepNext/>
      <w:outlineLvl w:val="0"/>
    </w:pPr>
    <w:rPr>
      <w:b/>
      <w:bCs/>
    </w:rPr>
  </w:style>
  <w:style w:type="paragraph" w:styleId="900" w:customStyle="1">
    <w:name w:val="заголовок 2"/>
    <w:basedOn w:val="706"/>
    <w:next w:val="706"/>
    <w:uiPriority w:val="99"/>
    <w:pPr>
      <w:jc w:val="center"/>
      <w:keepNext/>
      <w:outlineLvl w:val="1"/>
    </w:pPr>
  </w:style>
  <w:style w:type="character" w:styleId="901" w:customStyle="1">
    <w:name w:val="Основной шрифт"/>
    <w:uiPriority w:val="99"/>
  </w:style>
  <w:style w:type="paragraph" w:styleId="902">
    <w:name w:val="Header"/>
    <w:basedOn w:val="706"/>
    <w:link w:val="903"/>
    <w:uiPriority w:val="99"/>
    <w:pPr>
      <w:tabs>
        <w:tab w:val="center" w:pos="4153" w:leader="none"/>
        <w:tab w:val="right" w:pos="8306" w:leader="none"/>
      </w:tabs>
    </w:pPr>
  </w:style>
  <w:style w:type="character" w:styleId="903" w:customStyle="1">
    <w:name w:val="Верхний колонтитул Знак"/>
    <w:basedOn w:val="716"/>
    <w:link w:val="902"/>
    <w:uiPriority w:val="99"/>
    <w:rPr>
      <w:rFonts w:cs="Times New Roman"/>
      <w:sz w:val="20"/>
      <w:szCs w:val="20"/>
    </w:rPr>
  </w:style>
  <w:style w:type="character" w:styleId="904" w:customStyle="1">
    <w:name w:val="номер страницы"/>
    <w:basedOn w:val="901"/>
    <w:uiPriority w:val="99"/>
    <w:rPr>
      <w:rFonts w:cs="Times New Roman"/>
    </w:rPr>
  </w:style>
  <w:style w:type="paragraph" w:styleId="905">
    <w:name w:val="Body Text"/>
    <w:basedOn w:val="706"/>
    <w:link w:val="906"/>
    <w:uiPriority w:val="99"/>
  </w:style>
  <w:style w:type="character" w:styleId="906" w:customStyle="1">
    <w:name w:val="Основной текст Знак"/>
    <w:basedOn w:val="716"/>
    <w:link w:val="905"/>
    <w:uiPriority w:val="99"/>
    <w:semiHidden/>
    <w:rPr>
      <w:rFonts w:cs="Times New Roman"/>
      <w:sz w:val="20"/>
      <w:szCs w:val="20"/>
    </w:rPr>
  </w:style>
  <w:style w:type="paragraph" w:styleId="907">
    <w:name w:val="Body Text 2"/>
    <w:basedOn w:val="706"/>
    <w:link w:val="908"/>
    <w:uiPriority w:val="99"/>
  </w:style>
  <w:style w:type="character" w:styleId="908" w:customStyle="1">
    <w:name w:val="Основной текст 2 Знак"/>
    <w:basedOn w:val="716"/>
    <w:link w:val="907"/>
    <w:uiPriority w:val="99"/>
    <w:semiHidden/>
    <w:rPr>
      <w:rFonts w:cs="Times New Roman"/>
      <w:sz w:val="20"/>
      <w:szCs w:val="20"/>
    </w:rPr>
  </w:style>
  <w:style w:type="paragraph" w:styleId="909">
    <w:name w:val="Body Text Indent 2"/>
    <w:basedOn w:val="706"/>
    <w:link w:val="910"/>
    <w:uiPriority w:val="99"/>
  </w:style>
  <w:style w:type="character" w:styleId="910" w:customStyle="1">
    <w:name w:val="Основной текст с отступом 2 Знак"/>
    <w:basedOn w:val="716"/>
    <w:link w:val="909"/>
    <w:uiPriority w:val="99"/>
    <w:semiHidden/>
    <w:rPr>
      <w:rFonts w:cs="Times New Roman"/>
      <w:sz w:val="20"/>
      <w:szCs w:val="20"/>
    </w:rPr>
  </w:style>
  <w:style w:type="paragraph" w:styleId="911">
    <w:name w:val="Footer"/>
    <w:basedOn w:val="706"/>
    <w:link w:val="912"/>
    <w:uiPriority w:val="99"/>
    <w:pPr>
      <w:tabs>
        <w:tab w:val="center" w:pos="4153" w:leader="none"/>
        <w:tab w:val="right" w:pos="8306" w:leader="none"/>
      </w:tabs>
    </w:pPr>
  </w:style>
  <w:style w:type="character" w:styleId="912" w:customStyle="1">
    <w:name w:val="Нижний колонтитул Знак"/>
    <w:basedOn w:val="716"/>
    <w:link w:val="911"/>
    <w:uiPriority w:val="99"/>
    <w:rPr>
      <w:rFonts w:cs="Times New Roman"/>
      <w:sz w:val="20"/>
      <w:szCs w:val="20"/>
    </w:rPr>
  </w:style>
  <w:style w:type="paragraph" w:styleId="913">
    <w:name w:val="Body Text Indent 3"/>
    <w:basedOn w:val="706"/>
    <w:link w:val="914"/>
    <w:uiPriority w:val="99"/>
    <w:pPr>
      <w:ind w:firstLine="720"/>
    </w:pPr>
    <w:rPr>
      <w:color w:val="000000"/>
    </w:rPr>
  </w:style>
  <w:style w:type="character" w:styleId="914" w:customStyle="1">
    <w:name w:val="Основной текст с отступом 3 Знак"/>
    <w:basedOn w:val="716"/>
    <w:link w:val="913"/>
    <w:uiPriority w:val="99"/>
    <w:semiHidden/>
    <w:rPr>
      <w:rFonts w:cs="Times New Roman"/>
      <w:sz w:val="16"/>
      <w:szCs w:val="16"/>
    </w:rPr>
  </w:style>
  <w:style w:type="paragraph" w:styleId="915" w:customStyle="1">
    <w:name w:val="ConsNonformat"/>
    <w:uiPriority w:val="99"/>
    <w:pPr>
      <w:spacing w:after="0" w:line="240" w:lineRule="auto"/>
      <w:widowControl w:val="off"/>
    </w:pPr>
    <w:rPr>
      <w:rFonts w:ascii="Courier New" w:hAnsi="Courier New" w:cs="Courier New"/>
      <w:sz w:val="20"/>
      <w:szCs w:val="20"/>
    </w:rPr>
  </w:style>
  <w:style w:type="paragraph" w:styleId="916" w:customStyle="1">
    <w:name w:val="ConsNormal"/>
    <w:uiPriority w:val="99"/>
    <w:pPr>
      <w:ind w:firstLine="720"/>
      <w:spacing w:after="0" w:line="240" w:lineRule="auto"/>
      <w:widowControl w:val="off"/>
    </w:pPr>
    <w:rPr>
      <w:rFonts w:ascii="Courier" w:hAnsi="Courier" w:cs="Courier"/>
      <w:sz w:val="20"/>
      <w:szCs w:val="20"/>
    </w:rPr>
  </w:style>
  <w:style w:type="paragraph" w:styleId="917" w:customStyle="1">
    <w:name w:val="ConsTitle"/>
    <w:uiPriority w:val="99"/>
    <w:pPr>
      <w:spacing w:after="0" w:line="240" w:lineRule="auto"/>
      <w:widowControl w:val="off"/>
    </w:pPr>
    <w:rPr>
      <w:rFonts w:ascii="Arial" w:hAnsi="Arial" w:cs="Arial"/>
      <w:b/>
      <w:bCs/>
      <w:sz w:val="16"/>
      <w:szCs w:val="16"/>
    </w:rPr>
  </w:style>
  <w:style w:type="table" w:styleId="918">
    <w:name w:val="Table Grid"/>
    <w:basedOn w:val="717"/>
    <w:uiPriority w:val="99"/>
    <w:pPr>
      <w:spacing w:after="0" w:line="240" w:lineRule="auto"/>
    </w:pPr>
    <w:rPr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9">
    <w:name w:val="Body Text Indent"/>
    <w:basedOn w:val="706"/>
    <w:link w:val="920"/>
    <w:uiPriority w:val="99"/>
    <w:pPr>
      <w:ind w:left="283"/>
      <w:spacing w:after="120"/>
    </w:pPr>
  </w:style>
  <w:style w:type="character" w:styleId="920" w:customStyle="1">
    <w:name w:val="Основной текст с отступом Знак"/>
    <w:basedOn w:val="716"/>
    <w:link w:val="919"/>
    <w:uiPriority w:val="99"/>
    <w:semiHidden/>
    <w:rPr>
      <w:rFonts w:cs="Times New Roman"/>
      <w:sz w:val="20"/>
      <w:szCs w:val="20"/>
    </w:rPr>
  </w:style>
  <w:style w:type="paragraph" w:styleId="921">
    <w:name w:val="Balloon Text"/>
    <w:basedOn w:val="706"/>
    <w:link w:val="922"/>
    <w:uiPriority w:val="99"/>
    <w:semiHidden/>
    <w:rPr>
      <w:rFonts w:ascii="Tahoma" w:hAnsi="Tahoma" w:cs="Tahoma"/>
      <w:sz w:val="16"/>
      <w:szCs w:val="16"/>
    </w:rPr>
  </w:style>
  <w:style w:type="character" w:styleId="922" w:customStyle="1">
    <w:name w:val="Текст выноски Знак"/>
    <w:basedOn w:val="716"/>
    <w:link w:val="921"/>
    <w:uiPriority w:val="99"/>
    <w:semiHidden/>
    <w:rPr>
      <w:rFonts w:ascii="Tahoma" w:hAnsi="Tahoma" w:cs="Tahoma"/>
      <w:sz w:val="16"/>
      <w:szCs w:val="16"/>
    </w:rPr>
  </w:style>
  <w:style w:type="character" w:styleId="923">
    <w:name w:val="page number"/>
    <w:basedOn w:val="716"/>
    <w:uiPriority w:val="99"/>
    <w:rPr>
      <w:rFonts w:cs="Times New Roman"/>
    </w:rPr>
  </w:style>
  <w:style w:type="table" w:styleId="924" w:customStyle="1">
    <w:name w:val="Сетка таблицы1"/>
    <w:uiPriority w:val="99"/>
    <w:pPr>
      <w:spacing w:after="0" w:line="240" w:lineRule="auto"/>
    </w:pPr>
    <w:rPr>
      <w:sz w:val="20"/>
      <w:szCs w:val="20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925" w:customStyle="1">
    <w:name w:val="ConsPlusNormal"/>
    <w:uiPriority w:val="99"/>
    <w:pPr>
      <w:ind w:firstLine="720"/>
      <w:spacing w:after="0" w:line="240" w:lineRule="auto"/>
      <w:widowControl w:val="off"/>
    </w:pPr>
    <w:rPr>
      <w:rFonts w:ascii="Arial" w:hAnsi="Arial" w:cs="Arial"/>
      <w:sz w:val="20"/>
      <w:szCs w:val="20"/>
    </w:rPr>
  </w:style>
  <w:style w:type="character" w:styleId="926">
    <w:name w:val="Hyperlink"/>
    <w:basedOn w:val="716"/>
    <w:uiPriority w:val="99"/>
    <w:semiHidden/>
    <w:unhideWhenUsed/>
    <w:rPr>
      <w:rFonts w:cs="Times New Roman"/>
      <w:color w:val="0000ff"/>
      <w:u w:val="single"/>
    </w:rPr>
  </w:style>
  <w:style w:type="paragraph" w:styleId="927" w:customStyle="1">
    <w:name w:val="ConsPlusCell"/>
    <w:uiPriority w:val="99"/>
    <w:pPr>
      <w:spacing w:after="0" w:line="240" w:lineRule="auto"/>
    </w:pPr>
    <w:rPr>
      <w:sz w:val="28"/>
      <w:szCs w:val="28"/>
    </w:rPr>
  </w:style>
  <w:style w:type="character" w:styleId="928">
    <w:name w:val="annotation reference"/>
    <w:basedOn w:val="716"/>
    <w:uiPriority w:val="99"/>
    <w:semiHidden/>
    <w:unhideWhenUsed/>
    <w:rPr>
      <w:sz w:val="16"/>
      <w:szCs w:val="16"/>
    </w:rPr>
  </w:style>
  <w:style w:type="paragraph" w:styleId="929">
    <w:name w:val="annotation text"/>
    <w:basedOn w:val="706"/>
    <w:link w:val="930"/>
    <w:uiPriority w:val="99"/>
    <w:unhideWhenUsed/>
    <w:rPr>
      <w:sz w:val="20"/>
      <w:szCs w:val="20"/>
    </w:rPr>
  </w:style>
  <w:style w:type="character" w:styleId="930" w:customStyle="1">
    <w:name w:val="Текст примечания Знак"/>
    <w:basedOn w:val="716"/>
    <w:link w:val="929"/>
    <w:uiPriority w:val="99"/>
    <w:rPr>
      <w:sz w:val="20"/>
      <w:szCs w:val="20"/>
    </w:rPr>
  </w:style>
  <w:style w:type="paragraph" w:styleId="931">
    <w:name w:val="annotation subject"/>
    <w:basedOn w:val="929"/>
    <w:next w:val="929"/>
    <w:link w:val="932"/>
    <w:uiPriority w:val="99"/>
    <w:semiHidden/>
    <w:unhideWhenUsed/>
    <w:rPr>
      <w:b/>
      <w:bCs/>
    </w:rPr>
  </w:style>
  <w:style w:type="character" w:styleId="932" w:customStyle="1">
    <w:name w:val="Тема примечания Знак"/>
    <w:basedOn w:val="930"/>
    <w:link w:val="931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s://login.consultant.ru/link/?req=doc&amp;base=LAW&amp;n=501480&amp;dst=1142" TargetMode="External"/><Relationship Id="rId13" Type="http://schemas.openxmlformats.org/officeDocument/2006/relationships/hyperlink" Target="https://login.consultant.ru/link/?req=doc&amp;base=RLAW049&amp;n=190435&amp;dst=156184" TargetMode="External"/><Relationship Id="rId14" Type="http://schemas.openxmlformats.org/officeDocument/2006/relationships/hyperlink" Target="https://login.consultant.ru/link/?req=doc&amp;base=RLAW049&amp;n=190435&amp;dst=156185" TargetMode="External"/><Relationship Id="rId15" Type="http://schemas.openxmlformats.org/officeDocument/2006/relationships/hyperlink" Target="https://login.consultant.ru/link/?req=doc&amp;base=RLAW049&amp;n=190435&amp;dst=11271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80D5967-6CB5-4B8E-BC79-64DC79B37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АГНОиПНО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АДМИНИСТРАЦИЯ НОВОСИБИРСКОЙ ОБЛАСТИ</dc:title>
  <dc:creator>User</dc:creator>
  <cp:lastModifiedBy>kolp@NSO.LOC</cp:lastModifiedBy>
  <cp:revision>181</cp:revision>
  <dcterms:created xsi:type="dcterms:W3CDTF">2022-10-05T10:16:00Z</dcterms:created>
  <dcterms:modified xsi:type="dcterms:W3CDTF">2026-03-25T09:58:23Z</dcterms:modified>
</cp:coreProperties>
</file>