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5000" w:type="pct"/>
        <w:tblInd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716"/>
      </w:tblGrid>
      <w:tr>
        <w:trPr>
          <w:trHeight w:val="3031" w:hRule="exact"/>
        </w:trP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</w:tblPrEx>
        <w:tc>
          <w:tcPr>
            <w:tcW w:w="10716" w:type="dxa"/>
            <w:tcBorders>
              <w:top w:val="none"/>
              <w:left w:val="none"/>
              <w:bottom w:val="none"/>
              <w:right w:val="none"/>
            </w:tcBorders>
            <w:tcMar>
              <w:left w:w="80" w:type="dxa"/>
              <w:top w:w="60" w:type="dxa"/>
              <w:right w:w="80" w:type="dxa"/>
              <w:bottom w:w="60" w:type="dxa"/>
            </w:tcMar>
          </w:tcPr>
          <w:p>
            <w:pPr>
              <w:pStyle w:val="5"/>
            </w:pPr>
            <w:r>
              <w:rPr>
                <w:position w:val="-61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810000" cy="904875"/>
                      <wp:effectExtent l="0" t="0" r="0" b="0"/>
                      <wp:docPr id="1" name="Консультант Плюс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 preferRelativeResize="0"/>
                              <pic:nvPr/>
                            </pic:nvPicPr>
                            <pic:blipFill>
                              <a:blip r:embed="rId10"/>
                              <a:srcRect/>
                              <a:stretch/>
                            </pic:blipFill>
                            <pic:spPr bwMode="auto">
                              <a:xfrm>
                                <a:off x="0" y="0"/>
                                <a:ext cx="3810000" cy="9048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300.00pt;height:71.25pt;mso-wrap-distance-left:0.00pt;mso-wrap-distance-top:0.00pt;mso-wrap-distance-right:0.00pt;mso-wrap-distance-bottom:0.00pt;" stroked="f">
                      <v:path textboxrect="0,0,0,0"/>
                      <v:imagedata r:id="rId10" o:title=""/>
                    </v:shape>
                  </w:pict>
                </mc:Fallback>
              </mc:AlternateContent>
            </w:r>
          </w:p>
        </w:tc>
      </w:tr>
      <w:tr>
        <w:trPr>
          <w:trHeight w:val="8335" w:hRule="exact"/>
        </w:trP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</w:tblPrEx>
        <w:tc>
          <w:tcPr>
            <w:tcW w:w="10716" w:type="dxa"/>
            <w:tcBorders>
              <w:top w:val="none"/>
              <w:left w:val="none"/>
              <w:bottom w:val="none"/>
              <w:right w:val="none"/>
            </w:tcBorders>
            <w:tcMar>
              <w:left w:w="80" w:type="dxa"/>
              <w:top w:w="60" w:type="dxa"/>
              <w:right w:w="80" w:type="dxa"/>
              <w:bottom w:w="60" w:type="dxa"/>
            </w:tcMar>
            <w:vAlign w:val="center"/>
          </w:tcPr>
          <w:p>
            <w:pPr>
              <w:pStyle w:val="5"/>
              <w:jc w:val="center"/>
            </w:pPr>
            <w:r>
              <w:rPr>
                <w:sz w:val="48"/>
              </w:rPr>
              <w:t xml:space="preserve">&lt;Письмо&gt; Минфина России от 05.07.2023 N 12-12-06/62296</w:t>
              <w:br/>
              <w:t xml:space="preserve">&lt;О направлении Методических рекомендаций по содержательному наполнению государственных программ субъектов Российской Федерации (структурных элементов государственных программ субъектов Российской Федерации)/региональных программ, направленных на повышение финансовой грамотности населения&gt;</w:t>
            </w:r>
          </w:p>
        </w:tc>
      </w:tr>
      <w:tr>
        <w:trPr>
          <w:trHeight w:val="3031" w:hRule="exact"/>
        </w:trP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</w:tblPrEx>
        <w:tc>
          <w:tcPr>
            <w:tcW w:w="10716" w:type="dxa"/>
            <w:tcBorders>
              <w:top w:val="none"/>
              <w:left w:val="none"/>
              <w:bottom w:val="none"/>
              <w:right w:val="none"/>
            </w:tcBorders>
            <w:tcMar>
              <w:left w:w="80" w:type="dxa"/>
              <w:top w:w="60" w:type="dxa"/>
              <w:right w:w="80" w:type="dxa"/>
              <w:bottom w:w="60" w:type="dxa"/>
            </w:tcMar>
            <w:vAlign w:val="center"/>
          </w:tcPr>
          <w:p>
            <w:pPr>
              <w:pStyle w:val="5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r:id="rId11" w:tooltip="Ссылка на КонсультантПлюс" w:history="0">
              <w:r>
                <w:rPr>
                  <w:b/>
                  <w:color w:val="0000ff"/>
                  <w:sz w:val="28"/>
                </w:rPr>
                <w:t xml:space="preserve">КонсультантПлюс</w:t>
                <w:br/>
                <w:br/>
              </w:r>
            </w:hyperlink>
            <w:hyperlink r:id="rId12" w:tooltip="Ссылка на КонсультантПлюс" w:history="0">
              <w:r>
                <w:rPr>
                  <w:b/>
                  <w:color w:val="0000ff"/>
                  <w:sz w:val="28"/>
                </w:rPr>
                <w:t xml:space="preserve">www.consultant.ru</w:t>
              </w:r>
            </w:hyperlink>
            <w:r>
              <w:rPr>
                <w:sz w:val="28"/>
              </w:rPr>
              <w:br/>
              <w:br/>
              <w:t xml:space="preserve">Дата сохранения: 14.04.2026</w:t>
            </w:r>
            <w:r>
              <w:rPr>
                <w:sz w:val="28"/>
              </w:rPr>
              <w:br/>
              <w:t xml:space="preserve"> </w:t>
            </w:r>
          </w:p>
        </w:tc>
      </w:tr>
    </w:tbl>
    <w:p>
      <w:pPr>
        <w:sectPr>
          <w:pgSz w:w="11906" w:h="16838"/>
          <w:pgMar w:top="841" w:right="595" w:bottom="841" w:left="595" w:header="0" w:footer="0" w:gutter="0"/>
          <w:cols w:space="708"/>
          <w:docGrid w:linePitch="360"/>
          <w:titlePg/>
        </w:sectPr>
      </w:pPr>
    </w:p>
    <w:p>
      <w:pPr>
        <w:pStyle w:val="0"/>
        <w:jc w:val="both"/>
        <w:outlineLvl w:val="0"/>
      </w:pPr>
      <w:r>
        <w:rPr>
          <w:sz w:val="24"/>
        </w:rPr>
      </w:r>
    </w:p>
    <w:p>
      <w:pPr>
        <w:pStyle w:val="2"/>
        <w:jc w:val="center"/>
        <w:outlineLvl w:val="0"/>
      </w:pPr>
      <w:r>
        <w:rPr>
          <w:sz w:val="24"/>
        </w:rPr>
        <w:t xml:space="preserve">МИНИСТЕРСТВО ФИНАНСОВ РОССИЙСКОЙ ФЕДЕРАЦИИ</w:t>
      </w:r>
    </w:p>
    <w:p>
      <w:pPr>
        <w:pStyle w:val="2"/>
        <w:jc w:val="center"/>
      </w:pPr>
      <w:r>
        <w:rPr>
          <w:sz w:val="24"/>
        </w:rPr>
      </w:r>
    </w:p>
    <w:p>
      <w:pPr>
        <w:pStyle w:val="2"/>
        <w:jc w:val="center"/>
      </w:pPr>
      <w:r>
        <w:rPr>
          <w:sz w:val="24"/>
        </w:rPr>
        <w:t xml:space="preserve">ПИСЬМО</w:t>
      </w:r>
    </w:p>
    <w:p>
      <w:pPr>
        <w:pStyle w:val="2"/>
        <w:jc w:val="center"/>
      </w:pPr>
      <w:r>
        <w:rPr>
          <w:sz w:val="24"/>
        </w:rPr>
        <w:t xml:space="preserve">от 5 июля 2023 г. N 12-12-06/62296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Министерство финансов Российской Федерации направляет для использования в работе разработанные Министерством финансов Российской Федерации совместно с Центральным банком Российской Федерации </w:t>
      </w:r>
      <w:hyperlink w:tooltip="МЕТОДИЧЕСКИЕ РЕКОМЕНДАЦИИ" w:anchor="P29" w:history="0">
        <w:r>
          <w:rPr>
            <w:color w:val="0000ff"/>
            <w:sz w:val="24"/>
          </w:rPr>
          <w:t xml:space="preserve">Методические рекомендации</w:t>
        </w:r>
      </w:hyperlink>
      <w:r>
        <w:rPr>
          <w:sz w:val="24"/>
        </w:rPr>
        <w:t xml:space="preserve"> по содержательному наполнению государственных программ субъектов Российской Федерации (структурных элементов государственных программ субъектов Российской Федерации)/региональных программ, направленных на повышение финансовой грамотности населения, утвержденные протоколом девятого заседания Межведомственной координационной комиссии по реализации </w:t>
      </w:r>
      <w:r>
        <w:rPr>
          <w:sz w:val="24"/>
        </w:rPr>
        <w:t xml:space="preserve">Стратегии</w:t>
      </w:r>
      <w:r>
        <w:rPr>
          <w:sz w:val="24"/>
        </w:rPr>
        <w:t xml:space="preserve"> повышения финансовой грамотности в Российской Федерации на 2017 - 2023 годы от 27 июня 2023 г. N 12-12-12/ВН-30051/ПРГ-59-6-1/1560 (далее - программы повышения финансовой грамотности населения).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Для получения методической, консультационной и информационной поддержки, в том числе по вопросам разработки (актуализации) и реализации программ повышения финансовой грамотности населения просим обращаться в НИФИ Минфина России (Анастасия Сергеевна Боброва, тел.: +7 (909) 793-23-02, e-mail: ABobrova@nifi.ru) и в Центральный банк Российской Федерации (Ольга Викторовна Поршакова, тел.: +7 (495) 957-89-64, доб. 7-89-64, e-mail: KovalenkoOV@cbr.ru; контактное лицо в территориальном учреждении Центрального банка Российской Федерации в соответствующем субъекте Российской Федерации).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right"/>
      </w:pPr>
      <w:r>
        <w:rPr>
          <w:sz w:val="24"/>
        </w:rPr>
        <w:t xml:space="preserve">П.А.КАДОЧНИКОВ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tbl>
      <w:tblPr>
        <w:tblW w:w="5000" w:type="pct"/>
        <w:tblInd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Borders>
              <w:top w:val="none"/>
              <w:left w:val="none"/>
              <w:bottom w:val="none"/>
              <w:right w:val="none"/>
            </w:tcBorders>
            <w:shd w:val="clear" w:fill="ced3f1"/>
            <w:tcMar>
              <w:left w:w="0" w:type="dxa"/>
              <w:top w:w="0" w:type="dxa"/>
              <w:right w:w="0" w:type="dxa"/>
              <w:bottom w:w="0" w:type="dxa"/>
            </w:tcMar>
          </w:tcPr>
          <w:p/>
        </w:tc>
        <w:tc>
          <w:tcPr>
            <w:tcW w:w="113" w:type="dxa"/>
            <w:tcBorders>
              <w:top w:val="none"/>
              <w:left w:val="none"/>
              <w:bottom w:val="none"/>
              <w:right w:val="none"/>
            </w:tcBorders>
            <w:shd w:val="clear" w:fill="f4f3f8"/>
            <w:tcMar>
              <w:left w:w="0" w:type="dxa"/>
              <w:top w:w="0" w:type="dxa"/>
              <w:right w:w="0" w:type="dxa"/>
              <w:bottom w:w="0" w:type="dxa"/>
            </w:tcMar>
          </w:tcPr>
          <w:p/>
        </w:tc>
        <w:tc>
          <w:tcPr>
            <w:tcW w:w="0" w:type="auto"/>
            <w:tcBorders>
              <w:top w:val="none"/>
              <w:left w:val="none"/>
              <w:bottom w:val="none"/>
              <w:right w:val="none"/>
            </w:tcBorders>
            <w:shd w:val="clear" w:fill="f4f3f8"/>
            <w:tcMar>
              <w:left w:w="0" w:type="dxa"/>
              <w:top w:w="113" w:type="dxa"/>
              <w:right w:w="0" w:type="dxa"/>
              <w:bottom w:w="113" w:type="dxa"/>
            </w:tcMar>
          </w:tcPr>
          <w:p>
            <w:pPr>
              <w:pStyle w:val="0"/>
              <w:jc w:val="both"/>
            </w:pPr>
            <w:r>
              <w:rPr>
                <w:color w:val="392c69"/>
                <w:sz w:val="24"/>
              </w:rPr>
              <w:t xml:space="preserve">КонсультантПлюс: примечание.</w:t>
            </w:r>
          </w:p>
          <w:p>
            <w:pPr>
              <w:pStyle w:val="0"/>
              <w:jc w:val="both"/>
            </w:pPr>
            <w:r>
              <w:rPr>
                <w:color w:val="392c69"/>
                <w:sz w:val="24"/>
              </w:rPr>
              <w:t xml:space="preserve">Нумерация приложений дана в соответствии с официальным текстом документа.</w:t>
            </w:r>
          </w:p>
        </w:tc>
        <w:tc>
          <w:tcPr>
            <w:tcW w:w="113" w:type="dxa"/>
            <w:tcBorders>
              <w:top w:val="none"/>
              <w:left w:val="none"/>
              <w:bottom w:val="none"/>
              <w:right w:val="none"/>
            </w:tcBorders>
            <w:shd w:val="clear" w:fill="f4f3f8"/>
            <w:tcMar>
              <w:left w:w="0" w:type="dxa"/>
              <w:top w:w="0" w:type="dxa"/>
              <w:right w:w="0" w:type="dxa"/>
              <w:bottom w:w="0" w:type="dxa"/>
            </w:tcMar>
          </w:tcPr>
          <w:p/>
        </w:tc>
      </w:tr>
    </w:tbl>
    <w:p>
      <w:pPr>
        <w:pStyle w:val="0"/>
        <w:spacing w:before="300"/>
        <w:jc w:val="right"/>
        <w:outlineLvl w:val="0"/>
      </w:pPr>
      <w:r>
        <w:rPr>
          <w:sz w:val="24"/>
        </w:rPr>
        <w:t xml:space="preserve">Приложение N 2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right"/>
      </w:pPr>
      <w:r>
        <w:rPr>
          <w:sz w:val="24"/>
        </w:rPr>
        <w:t xml:space="preserve">Утверждены</w:t>
      </w:r>
    </w:p>
    <w:p>
      <w:pPr>
        <w:pStyle w:val="0"/>
        <w:jc w:val="right"/>
      </w:pPr>
      <w:r>
        <w:rPr>
          <w:sz w:val="24"/>
        </w:rPr>
        <w:t xml:space="preserve">протоколом девятого заседания</w:t>
      </w:r>
    </w:p>
    <w:p>
      <w:pPr>
        <w:pStyle w:val="0"/>
        <w:jc w:val="right"/>
      </w:pPr>
      <w:r>
        <w:rPr>
          <w:sz w:val="24"/>
        </w:rPr>
        <w:t xml:space="preserve">Межведомственной координационной</w:t>
      </w:r>
    </w:p>
    <w:p>
      <w:pPr>
        <w:pStyle w:val="0"/>
        <w:jc w:val="right"/>
      </w:pPr>
      <w:r>
        <w:rPr>
          <w:sz w:val="24"/>
        </w:rPr>
        <w:t xml:space="preserve">комиссии по реализации Стратегии</w:t>
      </w:r>
    </w:p>
    <w:p>
      <w:pPr>
        <w:pStyle w:val="0"/>
        <w:jc w:val="right"/>
      </w:pPr>
      <w:r>
        <w:rPr>
          <w:sz w:val="24"/>
        </w:rPr>
        <w:t xml:space="preserve">повышения финансовой грамотности</w:t>
      </w:r>
    </w:p>
    <w:p>
      <w:pPr>
        <w:pStyle w:val="0"/>
        <w:jc w:val="right"/>
      </w:pPr>
      <w:r>
        <w:rPr>
          <w:sz w:val="24"/>
        </w:rPr>
        <w:t xml:space="preserve">в Российской Федерации</w:t>
      </w:r>
    </w:p>
    <w:p>
      <w:pPr>
        <w:pStyle w:val="0"/>
        <w:jc w:val="right"/>
      </w:pPr>
      <w:r>
        <w:rPr>
          <w:sz w:val="24"/>
        </w:rPr>
        <w:t xml:space="preserve">на 2017 - 2023 годы</w:t>
      </w:r>
    </w:p>
    <w:p>
      <w:pPr>
        <w:pStyle w:val="0"/>
        <w:jc w:val="right"/>
      </w:pPr>
      <w:r>
        <w:rPr>
          <w:sz w:val="24"/>
        </w:rPr>
        <w:t xml:space="preserve">от 27 июня 2023 г.</w:t>
      </w:r>
    </w:p>
    <w:p>
      <w:pPr>
        <w:pStyle w:val="0"/>
        <w:jc w:val="right"/>
      </w:pPr>
      <w:r>
        <w:rPr>
          <w:sz w:val="24"/>
        </w:rPr>
        <w:t xml:space="preserve">N 12-12-12/ВН-30051/ПРГ-59-6-1/1560</w:t>
      </w:r>
    </w:p>
    <w:p>
      <w:pPr>
        <w:pStyle w:val="0"/>
        <w:jc w:val="both"/>
      </w:pPr>
      <w:r>
        <w:rPr>
          <w:sz w:val="24"/>
        </w:rPr>
      </w:r>
    </w:p>
    <w:bookmarkStart w:id="29" w:name="P29"/>
    <w:bookmarkEnd w:id="29"/>
    <w:p>
      <w:pPr>
        <w:pStyle w:val="2"/>
        <w:jc w:val="center"/>
      </w:pPr>
      <w:r>
        <w:rPr>
          <w:sz w:val="24"/>
        </w:rPr>
        <w:t xml:space="preserve">МЕТОДИЧЕСКИЕ РЕКОМЕНДАЦИИ</w:t>
      </w:r>
    </w:p>
    <w:p>
      <w:pPr>
        <w:pStyle w:val="2"/>
        <w:jc w:val="center"/>
      </w:pPr>
      <w:r>
        <w:rPr>
          <w:sz w:val="24"/>
        </w:rPr>
        <w:t xml:space="preserve">ПО СОДЕРЖАТЕЛЬНОМУ НАПОЛНЕНИЮ ГОСУДАРСТВЕННЫХ</w:t>
      </w:r>
    </w:p>
    <w:p>
      <w:pPr>
        <w:pStyle w:val="2"/>
        <w:jc w:val="center"/>
      </w:pPr>
      <w:r>
        <w:rPr>
          <w:sz w:val="24"/>
        </w:rPr>
        <w:t xml:space="preserve">ПРОГРАММ СУБЪЕКТОВ РОССИЙСКОЙ ФЕДЕРАЦИИ (СТРУКТУРНЫХ</w:t>
      </w:r>
    </w:p>
    <w:p>
      <w:pPr>
        <w:pStyle w:val="2"/>
        <w:jc w:val="center"/>
      </w:pPr>
      <w:r>
        <w:rPr>
          <w:sz w:val="24"/>
        </w:rPr>
        <w:t xml:space="preserve">ЭЛЕМЕНТОВ ГОСУДАРСТВЕННЫХ ПРОГРАММ СУБЪЕКТОВ</w:t>
      </w:r>
    </w:p>
    <w:p>
      <w:pPr>
        <w:pStyle w:val="2"/>
        <w:jc w:val="center"/>
      </w:pPr>
      <w:r>
        <w:rPr>
          <w:sz w:val="24"/>
        </w:rPr>
        <w:t xml:space="preserve">РОССИЙСКОЙ ФЕДЕРАЦИИ)/РЕГИОНАЛЬНЫХ ПРОГРАММ,</w:t>
      </w:r>
    </w:p>
    <w:p>
      <w:pPr>
        <w:pStyle w:val="2"/>
        <w:jc w:val="center"/>
      </w:pPr>
      <w:r>
        <w:rPr>
          <w:sz w:val="24"/>
        </w:rPr>
        <w:t xml:space="preserve">НАПРАВЛЕННЫХ НА ПОВЫШЕНИЕ ФИНАНСОВОЙ</w:t>
      </w:r>
    </w:p>
    <w:p>
      <w:pPr>
        <w:pStyle w:val="2"/>
        <w:jc w:val="center"/>
      </w:pPr>
      <w:r>
        <w:rPr>
          <w:sz w:val="24"/>
        </w:rPr>
        <w:t xml:space="preserve">ГРАМОТНОСТИ НАСЕЛЕНИЯ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 Настоящие Методические рекомендации по содержательному наполнению государственных программ субъектов Российской Федерации (структурных элементов государственных программ субъектов Российской Федерации)/региональных программ, направленных на повышение финансовой грамотности населения (далее - Методические рекомендации, программы повышения финансовой грамотности населения) разработаны во исполнение пункта 1.3 протокола восьмого заседания Межведомственной координационной комиссии по реализации </w:t>
      </w:r>
      <w:hyperlink r:id="rId13" w:tooltip="Распоряжение Правительства РФ от 25.09.2017 N 2039-р &lt;Об утверждении Стратегии повышения финансовой грамотности в Российской Федерации на 2017 - 2023 годы&gt; {КонсультантПлюс}" w:history="0">
        <w:r>
          <w:rPr>
            <w:color w:val="0000ff"/>
            <w:sz w:val="24"/>
          </w:rPr>
          <w:t xml:space="preserve">Стратегии</w:t>
        </w:r>
      </w:hyperlink>
      <w:r>
        <w:rPr>
          <w:sz w:val="24"/>
        </w:rPr>
        <w:t xml:space="preserve"> повышения финансовой грамотности в Российской Федерации на 2017 - 2023 годы (далее - Стратегия), утвержденного Министром финансов Российской Федерации А.Г. Силуановым и Председателем Банка России Э.С. Набиуллиной от 27 марта 2023 г. N 12-12-11/ВН-13657/ПРГ-59-6-1/641, в целях определения подходов к содержательному наполнению программ повышения финансовой грамотности населения, разрабатываемых уполномоченными органами исполнительной власти субъектов Российской Федерации во взаимодействии с территориальными учреждениями Банка России.</w:t>
      </w:r>
    </w:p>
    <w:bookmarkStart w:id="38" w:name="P38"/>
    <w:bookmarkEnd w:id="38"/>
    <w:p>
      <w:pPr>
        <w:pStyle w:val="0"/>
        <w:spacing w:before="240"/>
        <w:ind w:firstLine="540"/>
        <w:jc w:val="both"/>
      </w:pPr>
      <w:r>
        <w:rPr>
          <w:sz w:val="24"/>
        </w:rPr>
        <w:t xml:space="preserve">2. Основаниями для разработки программ повышения финансовой грамотности населения являются Федеральный </w:t>
      </w:r>
      <w:hyperlink r:id="rId14" w:tooltip="Федеральный закон от 28.06.2014 N 172-ФЗ (ред. от 13.07.2024) &quot;О стратегическом планировании в Российской Федерации&quot; {КонсультантПлюс}" w:history="0">
        <w:r>
          <w:rPr>
            <w:color w:val="0000ff"/>
            <w:sz w:val="24"/>
          </w:rPr>
          <w:t xml:space="preserve">закон</w:t>
        </w:r>
      </w:hyperlink>
      <w:r>
        <w:rPr>
          <w:sz w:val="24"/>
        </w:rPr>
        <w:t xml:space="preserve"> от 28 июня 2014 г. N 172-ФЗ "О стратегическом планировании в Российской Федерации", Единый </w:t>
      </w:r>
      <w:hyperlink r:id="rId15" w:tooltip="&quot;Единый план по достижению национальных целей развития Российской Федерации на период до 2024 года и на плановый период до 2030 года&quot; (утв. распоряжением Правительства РФ от 01.10.2021 N 2765-р) (с изм. от 24.12.2021) {КонсультантПлюс}" w:history="0">
        <w:r>
          <w:rPr>
            <w:color w:val="0000ff"/>
            <w:sz w:val="24"/>
          </w:rPr>
          <w:t xml:space="preserve">план</w:t>
        </w:r>
      </w:hyperlink>
      <w:r>
        <w:rPr>
          <w:sz w:val="24"/>
        </w:rPr>
        <w:t xml:space="preserve"> по достижению национальных целей развития Российской Федерации на период до 2024 года и на плановый период до 2030 года, утвержденный </w:t>
      </w:r>
      <w:hyperlink r:id="rId16" w:tooltip="Распоряжение Правительства РФ от 01.10.2021 N 2765-р &lt;Об утверждении Единого плана по достижению национальных целей развития Российской Федерации на период до 2024 года и на плановый период до 2030 года&gt; {КонсультантПлюс}" w:history="0">
        <w:r>
          <w:rPr>
            <w:color w:val="0000ff"/>
            <w:sz w:val="24"/>
          </w:rPr>
          <w:t xml:space="preserve">распоряжением</w:t>
        </w:r>
      </w:hyperlink>
      <w:r>
        <w:rPr>
          <w:sz w:val="24"/>
        </w:rPr>
        <w:t xml:space="preserve"> Правительства Российской Федерации от 1 октября 2021 г. N 2765-р, </w:t>
      </w:r>
      <w:hyperlink r:id="rId17" w:tooltip="Распоряжение Правительства РФ от 25.09.2017 N 2039-р &lt;Об утверждении Стратегии повышения финансовой грамотности в Российской Федерации на 2017 - 2023 годы&gt; {КонсультантПлюс}" w:history="0">
        <w:r>
          <w:rPr>
            <w:color w:val="0000ff"/>
            <w:sz w:val="24"/>
          </w:rPr>
          <w:t xml:space="preserve">Стратегия</w:t>
        </w:r>
      </w:hyperlink>
      <w:r>
        <w:rPr>
          <w:sz w:val="24"/>
        </w:rPr>
        <w:t xml:space="preserve"> повышения финансовой грамотности в Российской Федерации на 2017 - 2023 годы &lt;1&gt;, утвержденная распоряжением Правительства Российской Федерации от 25 сентября 2017 г. N 2039-р, ведомственный проект "Новая финансовая культура (МоиФинансы: просто о сложном)", являющийся структурным элементом государственной </w:t>
      </w:r>
      <w:hyperlink r:id="rId18" w:tooltip="Постановление Правительства РФ от 15.04.2014 N 320 (ред. от 21.02.2026) &quot;Об утверждении государственной программы Российской Федерации &quot;Управление государственными финансами и регулирование финансовых рынков&quot; {КонсультантПлюс}" w:history="0">
        <w:r>
          <w:rPr>
            <w:color w:val="0000ff"/>
            <w:sz w:val="24"/>
          </w:rPr>
          <w:t xml:space="preserve">программы</w:t>
        </w:r>
      </w:hyperlink>
      <w:r>
        <w:rPr>
          <w:sz w:val="24"/>
        </w:rPr>
        <w:t xml:space="preserve"> Российской Федерации "Управление государственными финансами и регулирование финансовых рынков", утвержденной постановлением Правительства Российской Федерации от 15 апреля 2014 г. N 320.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--------------------------------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&lt;1&gt; После завершения срока реализации </w:t>
      </w:r>
      <w:hyperlink r:id="rId19" w:tooltip="Распоряжение Правительства РФ от 25.09.2017 N 2039-р &lt;Об утверждении Стратегии повышения финансовой грамотности в Российской Федерации на 2017 - 2023 годы&gt; {КонсультантПлюс}" w:history="0">
        <w:r>
          <w:rPr>
            <w:color w:val="0000ff"/>
            <w:sz w:val="24"/>
          </w:rPr>
          <w:t xml:space="preserve">Стратегии</w:t>
        </w:r>
      </w:hyperlink>
      <w:r>
        <w:rPr>
          <w:sz w:val="24"/>
        </w:rPr>
        <w:t xml:space="preserve"> повышения финансовой грамотности в Российской Федерации на 2017 - 2023 годы, утвержденной распоряжением Правительства Российской Федерации от 25 сентября 2017 г. N 2039-р, основанием будет являться соответствующий отраслевой документ стратегического планирования Российской Федерации до 2030 года.</w:t>
      </w:r>
    </w:p>
    <w:p>
      <w:pPr>
        <w:pStyle w:val="0"/>
        <w:jc w:val="both"/>
      </w:pPr>
      <w:r>
        <w:rPr>
          <w:sz w:val="24"/>
        </w:rPr>
      </w:r>
    </w:p>
    <w:bookmarkStart w:id="42" w:name="P42"/>
    <w:bookmarkEnd w:id="42"/>
    <w:p>
      <w:pPr>
        <w:pStyle w:val="0"/>
        <w:ind w:firstLine="540"/>
        <w:jc w:val="both"/>
      </w:pPr>
      <w:r>
        <w:rPr>
          <w:sz w:val="24"/>
        </w:rPr>
        <w:t xml:space="preserve">3. При разработке (актуализации) программ повышения финансовой грамотности населения рекомендуется: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руководствоваться положениями </w:t>
      </w:r>
      <w:hyperlink r:id="rId20" w:tooltip="&lt;Письмо&gt; Минэкономразвития России N 3493-ПК/Д19и, Минфина России N 26-02-06/9321 от 06.02.2023 &lt;О направлении Методических рекомендаций по разработке и реализации государственных программ субъектов Российской Федерации и муниципальных программ&gt; (вместе с &quot;Методическими рекомендациями по разработке и реализации государственных программ субъектов Российской Федерации и муниципальных программ&quot;) {КонсультантПлюс}" w:history="0">
        <w:r>
          <w:rPr>
            <w:color w:val="0000ff"/>
            <w:sz w:val="24"/>
          </w:rPr>
          <w:t xml:space="preserve">Методических рекомендаций</w:t>
        </w:r>
      </w:hyperlink>
      <w:r>
        <w:rPr>
          <w:sz w:val="24"/>
        </w:rPr>
        <w:t xml:space="preserve"> по разработке и реализации государственных программ субъектов Российской Федерации и муниципальных программ &lt;2&gt;;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--------------------------------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&lt;2&gt; Разработаны во исполнение поручения Правительства Российской Федерации от 30 августа 2022 г. N ММ-П6-14588 в целях методического обеспечения процесса разработки и реализации государственных (муниципальных) программ с учетом подходов и принципов, предусмотренных </w:t>
      </w:r>
      <w:hyperlink r:id="rId21" w:tooltip="Постановление Правительства РФ от 26.05.2021 N 786 (ред. от 02.08.2025) &quot;О системе управления государственными программами Российской Федерации&quot; (вместе с &quot;Положением о системе управления государственными программами Российской Федерации&quot;) {КонсультантПлюс}" w:history="0">
        <w:r>
          <w:rPr>
            <w:color w:val="0000ff"/>
            <w:sz w:val="24"/>
          </w:rPr>
          <w:t xml:space="preserve">постановлением</w:t>
        </w:r>
      </w:hyperlink>
      <w:r>
        <w:rPr>
          <w:sz w:val="24"/>
        </w:rPr>
        <w:t xml:space="preserve"> Правительства Российской Федерации от 26 мая 2021 г. N 786 "О системе управления государственными программами Российской Федерации".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учитывать положения действующих документов стратегического планирования субъектов Российской Федерации, связанных с государственной политикой в отношении мер по повышению финансовой грамотности населения и субъектов малого и среднего предпринимательства.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4. Муниципальным образованиям, входящим в состав соответствующего субъекта Российской Федерации, рекомендуется при реализации мероприятий, направленных на повышение финансовой грамотности и формирование финансовой культуры населения, руководствоваться положениями Методических рекомендаций.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5. При описании стратегических приоритетов программы повышения финансовой грамотности населения рекомендуется в том числе отражать: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оценку текущего состояния и прогноз развития государственной политики в сфере реализации программы повышения финансовой грамотности населения;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анализ рисков реализации программы повышения финансовой грамотности населения и описание мер управления рисками реализации программы повышения финансовой грамотности населения.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6. При установлении целей, задач, показателей и ожидаемых результатов реализации программы повышения финансовой грамотности населения, а также периода и этапов реализации программы повышения финансовой грамотности населения рекомендуется руководствоваться положениями </w:t>
      </w:r>
      <w:hyperlink r:id="rId22" w:tooltip="&lt;Письмо&gt; Минэкономразвития России N 3493-ПК/Д19и, Минфина России N 26-02-06/9321 от 06.02.2023 &lt;О направлении Методических рекомендаций по разработке и реализации государственных программ субъектов Российской Федерации и муниципальных программ&gt; (вместе с &quot;Методическими рекомендациями по разработке и реализации государственных программ субъектов Российской Федерации и муниципальных программ&quot;) {КонсультантПлюс}" w:history="0">
        <w:r>
          <w:rPr>
            <w:color w:val="0000ff"/>
            <w:sz w:val="24"/>
          </w:rPr>
          <w:t xml:space="preserve">Методических рекомендаций</w:t>
        </w:r>
      </w:hyperlink>
      <w:r>
        <w:rPr>
          <w:sz w:val="24"/>
        </w:rPr>
        <w:t xml:space="preserve"> по разработке и реализации государственных программ субъектов Российской Федерации и муниципальных программ и учитывать региональные особенности.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7. Цели программы повышения финансовой грамотности должны способствовать формированию у большинства граждан субъекта Российской Федерации ключевых элементов финансовой культуры (ценностей, установок и поведенческих практик), способствующих финансовому благополучию человека, семьи и общества, в том числе через формирование компетенций по финансовой грамотности, развитие финансового рынка и общественных институтов, а также воздействие на ценности человека с помощью продукции креативных индустрий.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8. Для достижения поставленных целей в программу повышения финансовой грамотности населения рекомендуется включать следующие задачи: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разработка и утверждение критериев и требований к образовательным программам, направленным на повышение финансовой грамотности и формирование финансовой культуры населения, с последующим мониторингом качества планируемых и/или реализуемых программ;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внедрение и своевременная актуализация образовательных программ, обеспечивающих повышение финансовой грамотности и формирование финансовой культуры населения, в систему образования Российской Федерации на всех уровнях, развитие институциональной инфраструктуры и учебно-методических ресурсов образовательного сообщества;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обеспечение доступности и создание равных возможностей для всех целевых групп населения к обучению по программам повышения финансовой грамотности и формирования финансовой культуры;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развитие кадрового потенциала, в том числе путем подготовки и регулярного повышения квалификации педагогических работников и преподавателей образовательных организаций, иных специалистов в области финансового просвещения, а также обеспечения их методического сопровождения;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формирование и закрепление навыков осознанного финансового поведения, развитие механизмов информирования населения по актуальным вопросам финансовой грамотности, в том числе в области цифровых услуг, финансовой киберграмотности и кибергигиены, в инвестиционной, пенсионной, налоговой, бюджетной и жилищной сферах, ведение просветительской деятельности в отношении социально уязвимых групп населения, таргетированная работа с целевыми аудиториями;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поддержка гражданских инициатив и обеспечение открытости бюджетной информации, а также развитие инструментов участия граждан в бюджетном процессе (в том числе механизма инициативного бюджетирования);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обеспечение доступности финансовых услуг (включая доступность проверенной информации о соответствующих финансовых услугах) для всех целевых групп населения, в том числе проживающих в сельской местности, малонаселенных и труднодоступных (отдаленных) населенных пунктах;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расширение опыта использования населением финансовых продуктов и услуг, сопровождаемое экспертизой (как со стороны регулятора, так и со стороны гражданского общества) качества и потребительской ценности предлагаемых на рынке финансовых продуктов и услуг;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разработка механизмов сбалансированного партнерства государства, гражданского общества и бизнеса, формирование доверительного отношения граждан к финансовым институтам;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формирование инфраструктуры, обеспечивающей доступное информирование и ответственное консультирование по вопросам использования финансовых продуктов;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популяризация знаний в области финансовой грамотности в жилищной сфере, а также навыков использования современных финансовых инструментов;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развитие движения волонтеров финансового просвещения;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расширение каналов коммуникации с населением с помощью самых современных и популярных методов доведения информации, включая цифровые;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обеспечение финансовой безопасности, включая формирование у граждан правильных установок и паттернов (моделей) поведения для защиты от возможных рисков в финансовой сфере, эффективную борьбу с мошенничеством, повышение финансовой защищенности потребителей;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формирование и продвижение базовых навыков и установок по финансовой киберграмотности и кибергигиене для всех целевых групп населения в целях предупреждения использования их платежных инструментов (платежных реквизитов) при совершении противоправных действий;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формирование и развитие правовой базы, обеспечивающей эффективную реализацию программы повышения финансовой грамотности населения.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9. В программу повышения финансовой грамотности населения могут включаться дополнительные цели и задачи, сформированные на основе оценки текущего состояния и прогноза развития государственной политики в сфере реализации программы повышения финансовой грамотности населения, национальных, культурных и религиозных особенностей населения, а также на основе анализа действующих документов стратегического планирования субъекта Российской Федерации, связанных с государственной политикой в отношении мер по повышению финансовой грамотности населения, включая субъекты малого и среднего предпринимательства.</w:t>
      </w:r>
    </w:p>
    <w:bookmarkStart w:id="72" w:name="P72"/>
    <w:bookmarkEnd w:id="72"/>
    <w:p>
      <w:pPr>
        <w:pStyle w:val="0"/>
        <w:spacing w:before="240"/>
        <w:ind w:firstLine="540"/>
        <w:jc w:val="both"/>
      </w:pPr>
      <w:r>
        <w:rPr>
          <w:sz w:val="24"/>
        </w:rPr>
        <w:t xml:space="preserve">10. В программе повышения финансовой грамотности населения рекомендуется определять целевые группы населения, к которым следует относить: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обучающихся дошкольных образовательных организаций;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обучающихся общеобразовательных организаций;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обучающихся профессиональных образовательных организаций;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обучающихся образовательных организаций высшего образования;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детей-сирот и детей, оставшихся без попечения родителей;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людей с ограниченными возможностями здоровья;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взрослое (экономически активное) население;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лиц предпенсионного и пенсионного возрастов;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волонтеров финансового просвещения;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субъектов малого и среднего предпринимательства, индивидуальных предпринимателей и самозанятых граждан;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безработных граждан, стоящих на учете в службах занятости населения.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11. В показатели реализации программы повышения финансовой грамотности населения рекомендуется включать показатели, указанные в </w:t>
      </w:r>
      <w:hyperlink w:tooltip="ПОКАЗАТЕЛИ," w:anchor="P156" w:history="0">
        <w:r>
          <w:rPr>
            <w:color w:val="0000ff"/>
            <w:sz w:val="24"/>
          </w:rPr>
          <w:t xml:space="preserve">приложении N 1</w:t>
        </w:r>
      </w:hyperlink>
      <w:r>
        <w:rPr>
          <w:sz w:val="24"/>
        </w:rPr>
        <w:t xml:space="preserve"> к Методическим рекомендациям, (но не ограничиваться данными показателями).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12. Мероприятия программы повышения финансовой грамотности населения рекомендуется формировать с учетом следующих направлений: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создание (развитие) необходимой устойчивой инфраструктуры (в том числе создание регионального центра финансовой грамотности (в случае отсутствия соответствующего центра));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подготовка и развитие квалифицированного кадрового состава в сфере повышения финансовой грамотности и формирования финансовой культуры населения с учетом потребностей субъекта Российской Федерации (включая повышение квалификации и профессиональную переподготовку представителей органа исполнительной власти субъекта Российской Федерации, осуществляющего государственное управление в сфере образования, педагогических работников и преподавателей образовательных организаций, иных специалистов в области финансового просвещения), в том числе путем взаимодействия с федеральными методическими центрами повышения финансовой грамотности населения;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разработка и апробация новых образовательных программ и материалов;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внедрение и развитие образовательных программ на всех уровнях системы образования;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содействие укреплению традиционных российских духовно-нравственных ценностей через обеспечение и защиту прав человека в финансовой сфере, укрепление семьи через повышение качества жизни и борьбу с бедностью, развитие навыков рационального потребления в контексте формирования экономики предложения - приоритет финансовой культуры над материальными ценностями;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популяризация тематики финансовой грамотности и финансовой культуры;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привлечение общественного интереса к различным аспектам повышения финансовой грамотности и формирования финансовой культуры населения, включая лучшие практики в данной сфере, позитивный и негативный опыт взаимодействия человека и финансовой организации;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повышение уровня доступности информации по тематике финансовой грамотности и финансовой культуры для населения, в том числе проживающего в сельской местности, малонаселенных и труднодоступных (отдаленных) населенных пунктах;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подготовка и организация мероприятий (в том числе с участием федеральных органов исполнительной власти, органов исполнительной власти субъектов Российской Федерации, органов местного самоуправления, Банка России, образовательных, финансовых, общественных и иных организаций, представителей научного и экспертного сообщества), направленных на финансовое просвещение и информирование различных целевых групп населения, в том числе указанных в </w:t>
      </w:r>
      <w:hyperlink w:tooltip="10. В программе повышения финансовой грамотности населения рекомендуется определять целевые группы населения, к которым следует относить:" w:anchor="P72" w:history="0">
        <w:r>
          <w:rPr>
            <w:color w:val="0000ff"/>
            <w:sz w:val="24"/>
          </w:rPr>
          <w:t xml:space="preserve">пункте 10</w:t>
        </w:r>
      </w:hyperlink>
      <w:r>
        <w:rPr>
          <w:sz w:val="24"/>
        </w:rPr>
        <w:t xml:space="preserve"> Методических рекомендаций;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содействие распространению, а также участие и поддержка мероприятий по финансовой грамотности федерального уровня в субъекте Российской Федерации;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развитие наставничества и волонтерского движения по финансовой грамотности;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развитие и популяризация инструментов участия граждан в бюджетном процессе (в том числе механизма инициативного бюджетирования), а также обеспечение размещения актуальной бюджетной информации в открытом и понятном формате для широкого круга лиц;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использование лучших практик и поддержка частных и общественных инициатив в сфере повышения финансовой грамотности и формирования финансовой культуры населения;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развитие механизмов государственно-частного партнерства, в том числе путем организации взаимодействия с Ассоциацией развития финансовой грамотности для реализации мероприятий программы повышения финансовой грамотности населения;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проведение мероприятий, нацеленных на повышение финансовой грамотности в жилищной сфере, распространение знаний о способах и инструментах улучшения жилищных условий;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создание и развитие цифровых ресурсов в сфере повышения финансовой грамотности и формирования финансовой культуры населения;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популяризация различных аспектов финансовой культуры среди представителей средств массовой информации и блогосферы;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организация мониторинга уровня финансовой грамотности и финансового поведения населения.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13. При подготовке и реализации мероприятий программы повышения финансовой грамотности населения рекомендуется учитывать лучшие практики, разработанные представителями субъектов Российской Федерации и другими участниками реализации мероприятий </w:t>
      </w:r>
      <w:hyperlink r:id="rId23" w:tooltip="Распоряжение Правительства РФ от 25.09.2017 N 2039-р &lt;Об утверждении Стратегии повышения финансовой грамотности в Российской Федерации на 2017 - 2023 годы&gt; {КонсультантПлюс}" w:history="0">
        <w:r>
          <w:rPr>
            <w:color w:val="0000ff"/>
            <w:sz w:val="24"/>
          </w:rPr>
          <w:t xml:space="preserve">Стратегии</w:t>
        </w:r>
      </w:hyperlink>
      <w:r>
        <w:rPr>
          <w:sz w:val="24"/>
        </w:rPr>
        <w:t xml:space="preserve">, с использованием цифровых ресурсов, указанных в </w:t>
      </w:r>
      <w:hyperlink w:tooltip="ЦИФРОВЫЕ РЕСУРСЫ," w:anchor="P194" w:history="0">
        <w:r>
          <w:rPr>
            <w:color w:val="0000ff"/>
            <w:sz w:val="24"/>
          </w:rPr>
          <w:t xml:space="preserve">приложении N 2</w:t>
        </w:r>
      </w:hyperlink>
      <w:r>
        <w:rPr>
          <w:sz w:val="24"/>
        </w:rPr>
        <w:t xml:space="preserve"> к Методическим рекомендациям.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14. При формировании перечня мероприятий для достижения целей программы повышения финансовой грамотности населения рекомендуется дополнительно использовать информацию в разрезе компонентов, указанных в </w:t>
      </w:r>
      <w:hyperlink w:tooltip="КОМПОНЕНТЫ" w:anchor="P261" w:history="0">
        <w:r>
          <w:rPr>
            <w:color w:val="0000ff"/>
            <w:sz w:val="24"/>
          </w:rPr>
          <w:t xml:space="preserve">приложении N 3</w:t>
        </w:r>
      </w:hyperlink>
      <w:r>
        <w:rPr>
          <w:sz w:val="24"/>
        </w:rPr>
        <w:t xml:space="preserve"> к Методическим рекомендациям.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15. Информацию о мероприятиях программы повышения финансовой грамотности населения с детализацией до контрольных точек рекомендуется отражать в плане реализации программы повышения финансовой грамотности населения.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16. В анализе рисков реализации программы повышения финансовой грамотности населения и описании мер управления рисками реализации программы повышения финансовой грамотности населения рекомендуется предусмотреть: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идентификацию факторов риска по источникам возникновения и характеру влияния на ход и результаты реализации программы повышения финансовой грамотности населения (качественную и (или) количественную оценку факторов рисков);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описание мер управления рисками реализации программы повышения финансовой грамотности населения.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При определении перечня рисков реализации программы повышения финансовой грамотности населения рекомендуется учитывать следующие риски: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риски, связанные с законодательной и правовой базой, нарушением сроков принятия необходимых правовых актов для обеспечения реализации программы повышения финансовой грамотности населения;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недостаточный уровень развития образовательной инфраструктуры, отсутствие необходимых правил и порядка при планировании, выполнении, учете и контроле мероприятий, слабая мотивация участников реализации программы повышения финансовой грамотности населения по выполнению поставленных задач;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недостаточный уровень квалификации кадрового обеспечения мероприятий программы повышения финансовой грамотности населения;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организационные и управленческие риски, связанные с работой системы управления реализацией программы повышения финансовой грамотности населения, слабое взаимодействие между исполнителями программы повышения финансовой грамотности населения, образовательными организациями и другими участниками, в том числе в части получения методической поддержки, отставание от сроков реализации мероприятий;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социальные риски, связанные со слабой активностью населения в связи с недостаточной информированностью и освещением в средствах массовой информации целей и задач реализации программы повышения финансовой грамотности населения;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недостаточность ресурсного обеспечения мероприятий программы повышения финансовой грамотности населения.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17. Управление реализацией программы повышения финансовой грамотности населения осуществляется уполномоченным органом исполнительной власти субъекта Российской Федерации и территориальным учреждением Банка России на условиях системного партнерства и паритета.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К реализации программы повышения финансовой грамотности населения рекомендуется привлекать широкий круг участников, включая государственные, коммерческие, образовательные и научные учреждения, некоммерческие организации, общественные объединения, экспертное сообщество, волонтеров и иных участников, заинтересованных в достижении целей программы повышения финансовой грамотности населения.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18. Вопросы согласования и координации действий, эффективного взаимодействия органов исполнительной власти субъекта Российской Федерации, территориального учреждения Банка России и других участников программы повышения финансовой грамотности населения целесообразно делегировать полномочному координационному органу (совету или комиссии) (далее - координационный орган).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В состав координационного органа рекомендуется включать представителей финансового органа субъекта Российской Федерации и территориального учреждения Банка России на правах партнерства и сопредседательства, представителей иных органов исполнительной власти субъекта Российской Федерации и органов местного самоуправления, а также заинтересованных организаций.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Полномочия, вопросы компетенции и порядок работы координационного органа определяются его положением.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К полномочиям координационного органа рекомендуется относить общее руководство действиями участников реализации программы повышения финансовой грамотности населения, в том числе определение стратегических направлений работы, общий контроль за реализацией программы повышения финансовой грамотности населения, контроль и оказание содействия в реализации мероприятий программы повышения финансовой грамотности населения.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19. С целью оказания аналитической поддержки работе координационного органа рекомендуется создавать экспертный совет по финансовой грамотности, в состав которого войдут представители экспертного и научного сообщества, ведущих образовательных и финансовых (включая некоммерческие и общественные) и иных организаций, эксперты и иные участники программы повышения финансовой грамотности населения.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К задачам экспертного совета могут относиться: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подготовка предложений по мерам, направленным на привлечение внимания населения к проблематике повышения финансовой грамотности и формирования финансовой культуры, в целях возрастания интереса к развитию своих финансовых знаний;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подготовка предложений по реализации мероприятий, проектов и программ, направленных на повышение финансовой грамотности и формирование финансовой культуры населения;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формирование предложений по запросам гражданского общества;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предоставление экспертного суждения по содержанию образовательных программ и просветительской деятельности в сфере повышения финансовой грамотности и формирования финансовой культуры населения, а также подготовка предложений по их совершенствованию;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предоставление экспертного суждения по проектам документов, разрабатываемых в целях реализации программ повышения финансовой грамотности населения;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анализ лучших региональных практик в сфере повышения финансовой грамотности и формирования финансовой культуры населения, а также подготовка предложений по их масштабированию;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формирование предложений по повышению эффективности реализации мероприятий программы повышения финансовой грамотности населения.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20. В рамках реализации программы повышения финансовой грамотности населения рекомендуется создавать региональный центр финансовой грамотности.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К основным функциям регионального центра финансовой грамотности могут быть отнесены: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обеспечение проведения мероприятий плана реализации программы повышения финансовой грамотности населения;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координация реализации отдельных проектов и/или работ с различными целевыми группами населения;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развитие сотрудничества с представителями финансового рынка и экспертным сообществом;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развитие взаимодействия с Ассоциацией развития финансовой грамотности;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содействие в проведении мероприятий плана реализации программы повышения финансовой грамотности населения во взаимодействии с координационным органом, органами исполнительной власти субъекта Российской Федерации и органами местного самоуправления;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оказания информационной и консультационной поддержки различным целевым группам населения;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развитие сотрудничества с федеральными методическими центрами повышения финансовой грамотности населения;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проведение мониторинга хода реализации мероприятий в сфере повышения финансовой грамотности и формирования финансовой культуры населения.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21. Мониторинг реализации программы повышения финансовой грамотности населения может быть ориентирован на раннее предупреждение возникновения проблем и отклонений хода реализации программы повышения финансовой грамотности населения от ранее запланированных результатов.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22. Утвержденный отчет о реализации программы повышения финансовой грамотности населения, подготовленный уполномоченным органом исполнительной власти субъекта Российской Федерации с привлечением территориального учреждения Банка России по форме, указанной в </w:t>
      </w:r>
      <w:hyperlink w:tooltip="Форма" w:anchor="P376" w:history="0">
        <w:r>
          <w:rPr>
            <w:color w:val="0000ff"/>
            <w:sz w:val="24"/>
          </w:rPr>
          <w:t xml:space="preserve">приложение N 4</w:t>
        </w:r>
      </w:hyperlink>
      <w:r>
        <w:rPr>
          <w:sz w:val="24"/>
        </w:rPr>
        <w:t xml:space="preserve"> к Методическим рекомендациями, направляется в официальном порядке в Минфин России и Банк России в срок до 1 марта года, следующего за отчетным (далее - отчет).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23. В случае отклонений от сроков реализации программы повышения финансовой грамотности населения или воздействия факторов риска, оказывающих негативное влияние на основные параметры программы повышения финансовой грамотности населения, в отчет могут включаться предложения по дальнейшей реализации программы повышения финансовой грамотности населения и их обоснование.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24. Финансовое обеспечение реализации программы повышения финансовой грамотности населения отражается с учетом положений, установленных Методическими рекомендациями по разработке и реализации государственных программ субъектов Российской Федерации и муниципальных программ.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25. Сроки реализации программы повышения финансовой грамотности населения рекомендуется синхронизировать с документами, указанными в </w:t>
      </w:r>
      <w:hyperlink w:tooltip="2. Основаниями для разработки программ повышения финансовой грамотности населения являются Федеральный закон от 28 июня 2014 г. N 172-ФЗ &quot;О стратегическом планировании в Российской Федерации&quot;, Единый план по достижению национальных целей развития Российской Федерации на период до 2024 года и на плановый период до 2030 года, утвержденный распоряжением Правительства Российской Федерации от 1 октября 2021 г. N 2765-р, Стратегия повышения финансовой грамотности в Российской Федерации на 2017 - 2023 годы &lt;1&gt;,..." w:anchor="P38" w:history="0">
        <w:r>
          <w:rPr>
            <w:color w:val="0000ff"/>
            <w:sz w:val="24"/>
          </w:rPr>
          <w:t xml:space="preserve">пунктах 2</w:t>
        </w:r>
      </w:hyperlink>
      <w:r>
        <w:rPr>
          <w:sz w:val="24"/>
        </w:rPr>
        <w:t xml:space="preserve"> и </w:t>
      </w:r>
      <w:hyperlink w:tooltip="3. При разработке (актуализации) программ повышения финансовой грамотности населения рекомендуется:" w:anchor="P42" w:history="0">
        <w:r>
          <w:rPr>
            <w:color w:val="0000ff"/>
            <w:sz w:val="24"/>
          </w:rPr>
          <w:t xml:space="preserve">3</w:t>
        </w:r>
      </w:hyperlink>
      <w:r>
        <w:rPr>
          <w:sz w:val="24"/>
        </w:rPr>
        <w:t xml:space="preserve"> Методических рекомендаций.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26. При необходимости в программу повышения финансовой грамотности населения в установленном порядке могут вноситься изменения, в том числе на основании предложений, поступивших от участников реализации программы повышения финансовой грамотности населения, предварительно рассмотренных координационным органом.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right"/>
        <w:outlineLvl w:val="1"/>
      </w:pPr>
      <w:r>
        <w:rPr>
          <w:sz w:val="24"/>
        </w:rPr>
        <w:t xml:space="preserve">Приложение N 1</w:t>
      </w:r>
    </w:p>
    <w:p>
      <w:pPr>
        <w:pStyle w:val="0"/>
        <w:jc w:val="right"/>
      </w:pPr>
      <w:r>
        <w:rPr>
          <w:sz w:val="24"/>
        </w:rPr>
        <w:t xml:space="preserve">к Методическим рекомендациям</w:t>
      </w:r>
    </w:p>
    <w:p>
      <w:pPr>
        <w:pStyle w:val="0"/>
        <w:jc w:val="both"/>
      </w:pPr>
      <w:r>
        <w:rPr>
          <w:sz w:val="24"/>
        </w:rPr>
      </w:r>
    </w:p>
    <w:bookmarkStart w:id="156" w:name="P156"/>
    <w:bookmarkEnd w:id="156"/>
    <w:p>
      <w:pPr>
        <w:pStyle w:val="2"/>
        <w:jc w:val="center"/>
      </w:pPr>
      <w:r>
        <w:rPr>
          <w:sz w:val="24"/>
        </w:rPr>
        <w:t xml:space="preserve">ПОКАЗАТЕЛИ,</w:t>
      </w:r>
    </w:p>
    <w:p>
      <w:pPr>
        <w:pStyle w:val="2"/>
        <w:jc w:val="center"/>
      </w:pPr>
      <w:r>
        <w:rPr>
          <w:sz w:val="24"/>
        </w:rPr>
        <w:t xml:space="preserve">РЕКОМЕНДУЕМЫЕ ДЛЯ ВКЛЮЧЕНИЯ В ГОСУДАРСТВЕННУЮ</w:t>
      </w:r>
    </w:p>
    <w:p>
      <w:pPr>
        <w:pStyle w:val="2"/>
        <w:jc w:val="center"/>
      </w:pPr>
      <w:r>
        <w:rPr>
          <w:sz w:val="24"/>
        </w:rPr>
        <w:t xml:space="preserve">ПРОГРАММУ СУБЪЕКТА РОССИЙСКОЙ ФЕДЕРАЦИИ (СТРУКТУРНЫЙ</w:t>
      </w:r>
    </w:p>
    <w:p>
      <w:pPr>
        <w:pStyle w:val="2"/>
        <w:jc w:val="center"/>
      </w:pPr>
      <w:r>
        <w:rPr>
          <w:sz w:val="24"/>
        </w:rPr>
        <w:t xml:space="preserve">ЭЛЕМЕНТ ГОСУДАРСТВЕННОЙ ПРОГРАММЫ СУБЪЕКТА</w:t>
      </w:r>
    </w:p>
    <w:p>
      <w:pPr>
        <w:pStyle w:val="2"/>
        <w:jc w:val="center"/>
      </w:pPr>
      <w:r>
        <w:rPr>
          <w:sz w:val="24"/>
        </w:rPr>
        <w:t xml:space="preserve">РОССИЙСКОЙ ФЕДЕРАЦИИ)/РЕГИОНАЛЬНУЮ ПРОГРАММУ,</w:t>
      </w:r>
    </w:p>
    <w:p>
      <w:pPr>
        <w:pStyle w:val="2"/>
        <w:jc w:val="center"/>
      </w:pPr>
      <w:r>
        <w:rPr>
          <w:sz w:val="24"/>
        </w:rPr>
        <w:t xml:space="preserve">НАПРАВЛЕННЫЕ НА ПОВЫШЕНИЕ ФИНАНСОВОЙ</w:t>
      </w:r>
    </w:p>
    <w:p>
      <w:pPr>
        <w:pStyle w:val="2"/>
        <w:jc w:val="center"/>
      </w:pPr>
      <w:r>
        <w:rPr>
          <w:sz w:val="24"/>
        </w:rPr>
        <w:t xml:space="preserve">ГРАМОТНОСТИ НАСЕЛЕНИЯ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 Количество (доля) общеобразовательных организаций, осуществляющих деятельность на территории субъекта Российской Федерации, которые обеспечили включение элементов финансовой грамотности в образовательные программы начального общего образования, образовательные программы основного общего образования, образовательные программы среднего общего образования.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2. Количество (доля) обучающихся в общеобразовательных организациях, осуществляющих деятельность на территории субъекта Российской Федерации, которые освоили элементы финансовой грамотности в рамках обучения по образовательным программам начального общего образования, образовательным программам основного общего образования, образовательным программам среднего общего образования.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3. Количество (доля) профессиональных образовательных организаций, осуществляющих деятельность на территории субъекта Российской Федерации, которые обеспечили включение элементов финансовой грамотности в образовательные программы среднего профессионального образования.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4. Количество (доля) обучающихся в профессиональных образовательных организациях, осуществляющих деятельность на территории субъекта Российской Федерации, которые освоили элементы финансовой грамотности в рамках обучения по образовательным программам среднего профессионального образования.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5. Количество (доля) образовательных организаций высшего образования, осуществляющих деятельность на территории субъекта Российской Федерации, которые обеспечили включение элементов финансовой грамотности в образовательные программы высшего образования.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6. Количество (доля) обучающихся в образовательных организациях высшего образования, осуществляющих деятельность на территории субъекта Российской Федерации, которые освоили элементы финансовой грамотности в рамках обучения по образовательным программам высшего образования.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7. Количество (доля) образовательных организаций/общеобразовательных организаций/профессиональных образовательных организаций/организаций для детей-сирот и детей, оставшихся без попечения родителей, осуществляющих деятельность на территории субъекта Российской Федерации, которые приняли участие в онлайн-уроках по финансовой грамотности.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8. Количество (доля) учителей-предметников &lt;3&gt; общеобразовательных организаций, преподающих элементы финансовой грамотности в рамках образовательных программ начального общего образования, образовательных программ основного общего образования, образовательных программ среднего общего образования, которые прошли обучение в государственных образовательных организациях субъекта Российской Федерации, подведомственных органу исполнительной власти субъекта Российской Федерации, осуществляющему государственное управление в сфере образования (включая региональные институты развития образования), по программам повышения квалификации, содержащем элементы финансовой грамотности.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--------------------------------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&lt;3&gt; Учителя-предметники по соответствующим учебным предметам, в рамках которых в соответствии с федеральным государственным образовательным стандартом начального общего образования, федеральным государственным образовательным стандартом основного общего образования, федеральным государственным образовательным стандартом среднего общего образования обеспечивается преподавание элементов финансовой грамотности.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9. Количество (доля) педагогических работников общеобразовательных организаций, преподающих элементы финансовой грамотности в рамках части образовательных программ начального общего образования, образовательных программ основного общего образования, образовательных программ среднего общего образования, формируемой участниками образовательных отношений (вариативная часть), которые прошли обучение в федеральных методических центрах повышения финансовой грамотности населения по соответствующим программам повышения квалификации, содержащим элементы финансовой грамотности.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10. Количество (доля) представителей государственных образовательных организаций субъекта Российской Федерации, подведомственных органу исполнительной власти субъекта Российской Федерации, осуществляющему государственное управление в сфере образования (включая региональные институты развития образования), которые прошли обучение в федеральных методических центрах повышения финансовой грамотности населения по соответствующим программам повышения квалификации, содержащим элементы финансовой грамотности.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11. Количество (доля) преподавателей образовательных организаций высшего образования, осуществляющих деятельность на территории субъекта Российской Федерации, которые прошли обучение по соответствующим программам повышения квалификации, содержащим элементы финансовой грамотности.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12. Количество (доля) специалистов в области финансового просвещения населения, которые прошли обучение по соответствующим программам повышения квалификации, содержащим элементы финансовой грамотности (в том числе в федеральных методических центрах повышения финансовой грамотности населения).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13. Количество проведенных региональных мероприятий (олимпиад, конкурсов, фестивалей, чемпионатов, вебинаров, семинаров, лекций, мастер-классов и т.д.), направленных на повышение финансовой грамотности различных целевых групп населения (с возможной детализацией в соответствии с </w:t>
      </w:r>
      <w:hyperlink w:tooltip="10. В программе повышения финансовой грамотности населения рекомендуется определять целевые группы населения, к которым следует относить:" w:anchor="P72" w:history="0">
        <w:r>
          <w:rPr>
            <w:color w:val="0000ff"/>
            <w:sz w:val="24"/>
          </w:rPr>
          <w:t xml:space="preserve">пунктом 10</w:t>
        </w:r>
      </w:hyperlink>
      <w:r>
        <w:rPr>
          <w:sz w:val="24"/>
        </w:rPr>
        <w:t xml:space="preserve"> Методических рекомендаций).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14. Количество (доля) различных целевых групп граждан, в том числе проживающих в сельской местности, малонаселенных и труднодоступных (отдаленных) населенных пунктах (с возможной детализацией в соответствии с </w:t>
      </w:r>
      <w:hyperlink w:tooltip="10. В программе повышения финансовой грамотности населения рекомендуется определять целевые группы населения, к которым следует относить:" w:anchor="P72" w:history="0">
        <w:r>
          <w:rPr>
            <w:color w:val="0000ff"/>
            <w:sz w:val="24"/>
          </w:rPr>
          <w:t xml:space="preserve">пунктом 10</w:t>
        </w:r>
      </w:hyperlink>
      <w:r>
        <w:rPr>
          <w:sz w:val="24"/>
        </w:rPr>
        <w:t xml:space="preserve"> Методических рекомендаций), охваченных региональными мероприятиями (олимпиады, конкурсы, фестивали, чемпионаты, вебинары, семинары, лекции, мастер-классы и т.д.), направленными на повышение их финансовой грамотности.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15. Количество публикаций по тематике финансовой грамотности в различных сферах деятельности, размещенных в средствах массовой информации и на официальных цифровых ресурсах участников реализации государственной программы субъекта Российской Федерации (структурного элемента государственной программы субъекта Российской Федерации)/региональной программы, направленных на повышение финансовой грамотности населения.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16. Количество информационно-просветительских материалов (буклетов, памяток, брошюр, плакатов и т.д.), разработанных по тематике финансовой грамотности в различных сферах деятельности.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17. Количество волонтеров финансового просвещения, осуществляющих деятельность на территории субъекта Российской Федерации, которые зарегистрировались в личном кабинете на официальном сайте Ассоциации развития финансовой грамотности.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18. Доля расходов местных бюджетов на мероприятия, имеющие приоритетное значение для жителей муниципального образования и определяемые с учетом их мнения.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19. Доля служб занятости населения, реализующих мероприятия по тематике финансовой грамотности.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right"/>
        <w:outlineLvl w:val="1"/>
      </w:pPr>
      <w:r>
        <w:rPr>
          <w:sz w:val="24"/>
        </w:rPr>
        <w:t xml:space="preserve">Приложение N 2</w:t>
      </w:r>
    </w:p>
    <w:p>
      <w:pPr>
        <w:pStyle w:val="0"/>
        <w:jc w:val="right"/>
      </w:pPr>
      <w:r>
        <w:rPr>
          <w:sz w:val="24"/>
        </w:rPr>
        <w:t xml:space="preserve">к Методическим рекомендациям</w:t>
      </w:r>
    </w:p>
    <w:p>
      <w:pPr>
        <w:pStyle w:val="0"/>
        <w:jc w:val="both"/>
      </w:pPr>
      <w:r>
        <w:rPr>
          <w:sz w:val="24"/>
        </w:rPr>
      </w:r>
    </w:p>
    <w:bookmarkStart w:id="194" w:name="P194"/>
    <w:bookmarkEnd w:id="194"/>
    <w:p>
      <w:pPr>
        <w:pStyle w:val="2"/>
        <w:jc w:val="center"/>
      </w:pPr>
      <w:r>
        <w:rPr>
          <w:sz w:val="24"/>
        </w:rPr>
        <w:t xml:space="preserve">ЦИФРОВЫЕ РЕСУРСЫ,</w:t>
      </w:r>
    </w:p>
    <w:p>
      <w:pPr>
        <w:pStyle w:val="2"/>
        <w:jc w:val="center"/>
      </w:pPr>
      <w:r>
        <w:rPr>
          <w:sz w:val="24"/>
        </w:rPr>
        <w:t xml:space="preserve">РЕКОМЕНДУЕМЫЕ ДЛЯ ИСПОЛЬЗОВАНИЯ ПРИ ПОДГОТОВКЕ И РЕАЛИЗАЦИИ</w:t>
      </w:r>
    </w:p>
    <w:p>
      <w:pPr>
        <w:pStyle w:val="2"/>
        <w:jc w:val="center"/>
      </w:pPr>
      <w:r>
        <w:rPr>
          <w:sz w:val="24"/>
        </w:rPr>
        <w:t xml:space="preserve">ГОСУДАРСТВЕННОЙ ПРОГРАММЫ СУБЪЕКТА РОССИЙСКОЙ ФЕДЕРАЦИИ</w:t>
      </w:r>
    </w:p>
    <w:p>
      <w:pPr>
        <w:pStyle w:val="2"/>
        <w:jc w:val="center"/>
      </w:pPr>
      <w:r>
        <w:rPr>
          <w:sz w:val="24"/>
        </w:rPr>
        <w:t xml:space="preserve">(СТРУКТУРНОГО ЭЛЕМЕНТА ГОСУДАРСТВЕННОЙ ПРОГРАММЫ СУБЪЕКТА</w:t>
      </w:r>
    </w:p>
    <w:p>
      <w:pPr>
        <w:pStyle w:val="2"/>
        <w:jc w:val="center"/>
      </w:pPr>
      <w:r>
        <w:rPr>
          <w:sz w:val="24"/>
        </w:rPr>
        <w:t xml:space="preserve">РОССИЙСКОЙ ФЕДЕРАЦИИ)/РЕГИОНАЛЬНОЙ ПРОГРАММЫ, НАПРАВЛЕННЫХ</w:t>
      </w:r>
    </w:p>
    <w:p>
      <w:pPr>
        <w:pStyle w:val="2"/>
        <w:jc w:val="center"/>
      </w:pPr>
      <w:r>
        <w:rPr>
          <w:sz w:val="24"/>
        </w:rPr>
        <w:t xml:space="preserve">НА ПОВЫШЕНИЕ ФИНАНСОВОЙ ГРАМОТНОСТИ НАСЕЛЕНИЯ</w:t>
      </w:r>
    </w:p>
    <w:p>
      <w:pPr>
        <w:pStyle w:val="0"/>
        <w:jc w:val="both"/>
      </w:pPr>
      <w:r>
        <w:rPr>
          <w:sz w:val="24"/>
        </w:rPr>
      </w:r>
    </w:p>
    <w:tbl>
      <w:tblPr>
        <w:tblInd w:w="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left w:w="62" w:type="dxa"/>
          <w:top w:w="102" w:type="dxa"/>
          <w:right w:w="62" w:type="dxa"/>
          <w:bottom w:w="102" w:type="dxa"/>
        </w:tblCellMar>
      </w:tblPr>
      <w:tblGrid>
        <w:gridCol w:w="4876"/>
        <w:gridCol w:w="4195"/>
      </w:tblGrid>
      <w:tr>
        <w:tc>
          <w:tcPr>
            <w:tcW w:w="4876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Наименование цифрового ресурса</w:t>
            </w:r>
          </w:p>
        </w:tc>
        <w:tc>
          <w:tcPr>
            <w:tcW w:w="4195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Ссылка на цифровой ресурс</w:t>
            </w:r>
          </w:p>
        </w:tc>
      </w:tr>
      <w:tr>
        <w:tc>
          <w:tcPr>
            <w:tcW w:w="4876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Министерство просвещения Российской Федерации</w:t>
            </w:r>
          </w:p>
        </w:tc>
        <w:tc>
          <w:tcPr>
            <w:tcW w:w="4195" w:type="dxa"/>
          </w:tcPr>
          <w:p>
            <w:pPr>
              <w:pStyle w:val="0"/>
              <w:jc w:val="center"/>
            </w:pPr>
            <w:hyperlink r:id="rId24" w:history="0">
              <w:r>
                <w:rPr>
                  <w:color w:val="0000ff"/>
                  <w:sz w:val="24"/>
                </w:rPr>
                <w:t xml:space="preserve">https://edu.gov.ru/</w:t>
              </w:r>
            </w:hyperlink>
          </w:p>
        </w:tc>
      </w:tr>
      <w:tr>
        <w:tc>
          <w:tcPr>
            <w:tcW w:w="4876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Министерство науки и высшего образования Российской Федерации</w:t>
            </w:r>
          </w:p>
        </w:tc>
        <w:tc>
          <w:tcPr>
            <w:tcW w:w="4195" w:type="dxa"/>
          </w:tcPr>
          <w:p>
            <w:pPr>
              <w:pStyle w:val="0"/>
              <w:jc w:val="center"/>
            </w:pPr>
            <w:hyperlink r:id="rId25" w:history="0">
              <w:r>
                <w:rPr>
                  <w:color w:val="0000ff"/>
                  <w:sz w:val="24"/>
                </w:rPr>
                <w:t xml:space="preserve">https://minobrnauki.gov.ru/</w:t>
              </w:r>
            </w:hyperlink>
          </w:p>
        </w:tc>
      </w:tr>
      <w:tr>
        <w:tc>
          <w:tcPr>
            <w:tcW w:w="4876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Министерство финансов Российской Федерации</w:t>
            </w:r>
          </w:p>
        </w:tc>
        <w:tc>
          <w:tcPr>
            <w:tcW w:w="4195" w:type="dxa"/>
          </w:tcPr>
          <w:p>
            <w:pPr>
              <w:pStyle w:val="0"/>
              <w:jc w:val="center"/>
            </w:pPr>
            <w:hyperlink r:id="rId26" w:history="0">
              <w:r>
                <w:rPr>
                  <w:color w:val="0000ff"/>
                  <w:sz w:val="24"/>
                </w:rPr>
                <w:t xml:space="preserve">https://minfin.gov.ru/</w:t>
              </w:r>
            </w:hyperlink>
          </w:p>
        </w:tc>
      </w:tr>
      <w:tr>
        <w:tc>
          <w:tcPr>
            <w:tcW w:w="4876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Министерство экономического развития Российской Федерации</w:t>
            </w:r>
          </w:p>
        </w:tc>
        <w:tc>
          <w:tcPr>
            <w:tcW w:w="4195" w:type="dxa"/>
          </w:tcPr>
          <w:p>
            <w:pPr>
              <w:pStyle w:val="0"/>
              <w:jc w:val="center"/>
            </w:pPr>
            <w:hyperlink r:id="rId27" w:history="0">
              <w:r>
                <w:rPr>
                  <w:color w:val="0000ff"/>
                  <w:sz w:val="24"/>
                </w:rPr>
                <w:t xml:space="preserve">https://economy.gov.ru/</w:t>
              </w:r>
            </w:hyperlink>
          </w:p>
        </w:tc>
      </w:tr>
      <w:tr>
        <w:tc>
          <w:tcPr>
            <w:tcW w:w="4876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Центральный банк Российской Федерации</w:t>
            </w:r>
          </w:p>
        </w:tc>
        <w:tc>
          <w:tcPr>
            <w:tcW w:w="4195" w:type="dxa"/>
          </w:tcPr>
          <w:p>
            <w:pPr>
              <w:pStyle w:val="0"/>
              <w:jc w:val="center"/>
            </w:pPr>
            <w:hyperlink r:id="rId28" w:history="0">
              <w:r>
                <w:rPr>
                  <w:color w:val="0000ff"/>
                  <w:sz w:val="24"/>
                </w:rPr>
                <w:t xml:space="preserve">https://cbr.ru/</w:t>
              </w:r>
            </w:hyperlink>
          </w:p>
        </w:tc>
      </w:tr>
      <w:tr>
        <w:tc>
          <w:tcPr>
            <w:tcW w:w="4876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Федеральная служба по надзору в сфере защиты прав потребителей и благополучия человека</w:t>
            </w:r>
          </w:p>
        </w:tc>
        <w:tc>
          <w:tcPr>
            <w:tcW w:w="4195" w:type="dxa"/>
          </w:tcPr>
          <w:p>
            <w:pPr>
              <w:pStyle w:val="0"/>
              <w:jc w:val="center"/>
            </w:pPr>
            <w:hyperlink r:id="rId29" w:history="0">
              <w:r>
                <w:rPr>
                  <w:color w:val="0000ff"/>
                  <w:sz w:val="24"/>
                </w:rPr>
                <w:t xml:space="preserve">https://www.rospotrebnadzor.ru/</w:t>
              </w:r>
            </w:hyperlink>
          </w:p>
        </w:tc>
      </w:tr>
      <w:tr>
        <w:tc>
          <w:tcPr>
            <w:tcW w:w="4876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Социальный фонд России</w:t>
            </w:r>
          </w:p>
        </w:tc>
        <w:tc>
          <w:tcPr>
            <w:tcW w:w="4195" w:type="dxa"/>
          </w:tcPr>
          <w:p>
            <w:pPr>
              <w:pStyle w:val="0"/>
              <w:jc w:val="center"/>
            </w:pPr>
            <w:hyperlink r:id="rId30" w:history="0">
              <w:r>
                <w:rPr>
                  <w:color w:val="0000ff"/>
                  <w:sz w:val="24"/>
                </w:rPr>
                <w:t xml:space="preserve">https://sfr.gov.ru/</w:t>
              </w:r>
            </w:hyperlink>
          </w:p>
        </w:tc>
      </w:tr>
      <w:tr>
        <w:tc>
          <w:tcPr>
            <w:tcW w:w="4876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Ассоциация развития финансовой грамотности</w:t>
            </w:r>
          </w:p>
        </w:tc>
        <w:tc>
          <w:tcPr>
            <w:tcW w:w="4195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https://fincubator.ru/</w:t>
            </w:r>
          </w:p>
        </w:tc>
      </w:tr>
      <w:tr>
        <w:tc>
          <w:tcPr>
            <w:tcW w:w="4876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Федеральный методический центр по финансовой грамотности системы общего и среднего профессионального образования на базе Национального исследовательского университета "Высшая школа экономики"</w:t>
            </w:r>
          </w:p>
        </w:tc>
        <w:tc>
          <w:tcPr>
            <w:tcW w:w="4195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https://fmc.hse.ru/</w:t>
            </w:r>
          </w:p>
        </w:tc>
      </w:tr>
      <w:tr>
        <w:tc>
          <w:tcPr>
            <w:tcW w:w="4876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Федеральный методический центр повышения финансовой грамотности населения на базе Российской академии народного хозяйства и государственной службы при Президенте Российской Федерации</w:t>
            </w:r>
          </w:p>
        </w:tc>
        <w:tc>
          <w:tcPr>
            <w:tcW w:w="4195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https://iurr.ranepa.ru/</w:t>
            </w:r>
          </w:p>
        </w:tc>
      </w:tr>
      <w:tr>
        <w:tc>
          <w:tcPr>
            <w:tcW w:w="4876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Федеральный сетевой методический центр повышения квалификации преподавателей вузов и развития программ повышения финансовой грамотности студентов на базе Московского государственного университета имени М.В. Ломоносова</w:t>
            </w:r>
          </w:p>
        </w:tc>
        <w:tc>
          <w:tcPr>
            <w:tcW w:w="4195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https://fingramota.econ.msu.ru/</w:t>
            </w:r>
          </w:p>
        </w:tc>
      </w:tr>
      <w:tr>
        <w:tc>
          <w:tcPr>
            <w:tcW w:w="4876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Федеральный методический центр финансовой грамотности на базе Российского экономического университета имени Г.В. Плеханова</w:t>
            </w:r>
          </w:p>
        </w:tc>
        <w:tc>
          <w:tcPr>
            <w:tcW w:w="4195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https://fingram.rea.ru/</w:t>
            </w:r>
          </w:p>
        </w:tc>
      </w:tr>
      <w:tr>
        <w:tc>
          <w:tcPr>
            <w:tcW w:w="4876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Федеральный методический центр повышения финансовой грамотности населения Института финансовой грамотности на базе Финансового университета</w:t>
            </w:r>
          </w:p>
        </w:tc>
        <w:tc>
          <w:tcPr>
            <w:tcW w:w="4195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https://www.fa.ru/org/science/ifg/</w:t>
            </w:r>
          </w:p>
        </w:tc>
      </w:tr>
      <w:tr>
        <w:tc>
          <w:tcPr>
            <w:tcW w:w="4876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Персональный навигатор по финансам</w:t>
            </w:r>
          </w:p>
        </w:tc>
        <w:tc>
          <w:tcPr>
            <w:tcW w:w="4195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https://моифинансы.рф/</w:t>
            </w:r>
          </w:p>
        </w:tc>
      </w:tr>
      <w:tr>
        <w:tc>
          <w:tcPr>
            <w:tcW w:w="4876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Финансовая культура</w:t>
            </w:r>
          </w:p>
        </w:tc>
        <w:tc>
          <w:tcPr>
            <w:tcW w:w="4195" w:type="dxa"/>
          </w:tcPr>
          <w:p>
            <w:pPr>
              <w:pStyle w:val="0"/>
              <w:jc w:val="center"/>
            </w:pPr>
            <w:hyperlink r:id="rId31" w:history="0">
              <w:r>
                <w:rPr>
                  <w:color w:val="0000ff"/>
                  <w:sz w:val="24"/>
                </w:rPr>
                <w:t xml:space="preserve">https://fincult.info/</w:t>
              </w:r>
            </w:hyperlink>
          </w:p>
        </w:tc>
      </w:tr>
      <w:tr>
        <w:tc>
          <w:tcPr>
            <w:tcW w:w="4876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ФГИС "Моя школа"</w:t>
            </w:r>
          </w:p>
        </w:tc>
        <w:tc>
          <w:tcPr>
            <w:tcW w:w="4195" w:type="dxa"/>
          </w:tcPr>
          <w:p>
            <w:pPr>
              <w:pStyle w:val="0"/>
              <w:jc w:val="center"/>
            </w:pPr>
            <w:hyperlink r:id="rId32" w:history="0">
              <w:r>
                <w:rPr>
                  <w:color w:val="0000ff"/>
                  <w:sz w:val="24"/>
                </w:rPr>
                <w:t xml:space="preserve">https://myschool.edu.ru/</w:t>
              </w:r>
            </w:hyperlink>
          </w:p>
        </w:tc>
      </w:tr>
      <w:tr>
        <w:tc>
          <w:tcPr>
            <w:tcW w:w="4876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Реестр примерных основных общеобразовательных программ</w:t>
            </w:r>
          </w:p>
        </w:tc>
        <w:tc>
          <w:tcPr>
            <w:tcW w:w="4195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https://fgosreestr.ru/</w:t>
            </w:r>
          </w:p>
        </w:tc>
      </w:tr>
      <w:tr>
        <w:tc>
          <w:tcPr>
            <w:tcW w:w="4876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ПроеКториЯ</w:t>
            </w:r>
          </w:p>
        </w:tc>
        <w:tc>
          <w:tcPr>
            <w:tcW w:w="4195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https://proektoria.online/</w:t>
            </w:r>
          </w:p>
        </w:tc>
      </w:tr>
      <w:tr>
        <w:tc>
          <w:tcPr>
            <w:tcW w:w="4876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Музей Банка России</w:t>
            </w:r>
          </w:p>
        </w:tc>
        <w:tc>
          <w:tcPr>
            <w:tcW w:w="4195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https://museum.cbr.ru/</w:t>
            </w:r>
          </w:p>
        </w:tc>
      </w:tr>
      <w:tr>
        <w:tc>
          <w:tcPr>
            <w:tcW w:w="4876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Российская электронная школа</w:t>
            </w:r>
          </w:p>
        </w:tc>
        <w:tc>
          <w:tcPr>
            <w:tcW w:w="4195" w:type="dxa"/>
          </w:tcPr>
          <w:p>
            <w:pPr>
              <w:pStyle w:val="0"/>
              <w:jc w:val="center"/>
            </w:pPr>
            <w:hyperlink r:id="rId33" w:history="0">
              <w:r>
                <w:rPr>
                  <w:color w:val="0000ff"/>
                  <w:sz w:val="24"/>
                </w:rPr>
                <w:t xml:space="preserve">https://resh.edu.ru/</w:t>
              </w:r>
            </w:hyperlink>
          </w:p>
        </w:tc>
      </w:tr>
      <w:tr>
        <w:tc>
          <w:tcPr>
            <w:tcW w:w="4876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Современная цифровая образовательная среда</w:t>
            </w:r>
          </w:p>
        </w:tc>
        <w:tc>
          <w:tcPr>
            <w:tcW w:w="4195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https://www.neorusedu.ru/</w:t>
            </w:r>
          </w:p>
        </w:tc>
      </w:tr>
      <w:tr>
        <w:tc>
          <w:tcPr>
            <w:tcW w:w="4876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Фонд новых форм развития образования</w:t>
            </w:r>
          </w:p>
        </w:tc>
        <w:tc>
          <w:tcPr>
            <w:tcW w:w="4195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https://растимдетей.рф/</w:t>
            </w:r>
          </w:p>
        </w:tc>
      </w:tr>
      <w:tr>
        <w:tc>
          <w:tcPr>
            <w:tcW w:w="4876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Онлайн-уроки по финансовой грамотности</w:t>
            </w:r>
          </w:p>
        </w:tc>
        <w:tc>
          <w:tcPr>
            <w:tcW w:w="4195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https://dni-fg.ru/</w:t>
            </w:r>
          </w:p>
        </w:tc>
      </w:tr>
      <w:tr>
        <w:tc>
          <w:tcPr>
            <w:tcW w:w="4876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Электронный учебник по финансовой грамотности</w:t>
            </w:r>
          </w:p>
        </w:tc>
        <w:tc>
          <w:tcPr>
            <w:tcW w:w="4195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https://школа.вашифинансы.рф/</w:t>
            </w:r>
          </w:p>
        </w:tc>
      </w:tr>
      <w:tr>
        <w:tc>
          <w:tcPr>
            <w:tcW w:w="4876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Консультационный центр АО "ДОМ.РФ"</w:t>
            </w:r>
          </w:p>
        </w:tc>
        <w:tc>
          <w:tcPr>
            <w:tcW w:w="4195" w:type="dxa"/>
          </w:tcPr>
          <w:p>
            <w:pPr>
              <w:pStyle w:val="0"/>
              <w:jc w:val="center"/>
            </w:pPr>
            <w:hyperlink r:id="rId34" w:history="0">
              <w:r>
                <w:rPr>
                  <w:color w:val="0000ff"/>
                  <w:sz w:val="24"/>
                </w:rPr>
                <w:t xml:space="preserve">https://спроси.дом.рф</w:t>
              </w:r>
            </w:hyperlink>
          </w:p>
        </w:tc>
      </w:tr>
    </w:tbl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right"/>
        <w:outlineLvl w:val="1"/>
      </w:pPr>
      <w:r>
        <w:rPr>
          <w:sz w:val="24"/>
        </w:rPr>
        <w:t xml:space="preserve">Приложение N 3</w:t>
      </w:r>
    </w:p>
    <w:p>
      <w:pPr>
        <w:pStyle w:val="0"/>
        <w:jc w:val="right"/>
      </w:pPr>
      <w:r>
        <w:rPr>
          <w:sz w:val="24"/>
        </w:rPr>
        <w:t xml:space="preserve">к Методическим рекомендациям</w:t>
      </w:r>
    </w:p>
    <w:p>
      <w:pPr>
        <w:pStyle w:val="0"/>
        <w:jc w:val="both"/>
      </w:pPr>
      <w:r>
        <w:rPr>
          <w:sz w:val="24"/>
        </w:rPr>
      </w:r>
    </w:p>
    <w:bookmarkStart w:id="261" w:name="P261"/>
    <w:bookmarkEnd w:id="261"/>
    <w:p>
      <w:pPr>
        <w:pStyle w:val="2"/>
        <w:jc w:val="center"/>
      </w:pPr>
      <w:r>
        <w:rPr>
          <w:sz w:val="24"/>
        </w:rPr>
        <w:t xml:space="preserve">КОМПОНЕНТЫ</w:t>
      </w:r>
    </w:p>
    <w:p>
      <w:pPr>
        <w:pStyle w:val="2"/>
        <w:jc w:val="center"/>
      </w:pPr>
      <w:r>
        <w:rPr>
          <w:sz w:val="24"/>
        </w:rPr>
        <w:t xml:space="preserve">ГОСУДАРСТВЕННОЙ ПРОГРАММЫ СУБЪЕКТА РОССИЙСКОЙ ФЕДЕРАЦИИ</w:t>
      </w:r>
    </w:p>
    <w:p>
      <w:pPr>
        <w:pStyle w:val="2"/>
        <w:jc w:val="center"/>
      </w:pPr>
      <w:r>
        <w:rPr>
          <w:sz w:val="24"/>
        </w:rPr>
        <w:t xml:space="preserve">(СТРУКТУРНОГО ЭЛЕМЕНТА ГОСУДАРСТВЕННОЙ ПРОГРАММЫ СУБЪЕКТА</w:t>
      </w:r>
    </w:p>
    <w:p>
      <w:pPr>
        <w:pStyle w:val="2"/>
        <w:jc w:val="center"/>
      </w:pPr>
      <w:r>
        <w:rPr>
          <w:sz w:val="24"/>
        </w:rPr>
        <w:t xml:space="preserve">РОССИЙСКОЙ ФЕДЕРАЦИИ)/РЕГИОНАЛЬНОЙ ПРОГРАММЫ, НАПРАВЛЕННЫХ</w:t>
      </w:r>
    </w:p>
    <w:p>
      <w:pPr>
        <w:pStyle w:val="2"/>
        <w:jc w:val="center"/>
      </w:pPr>
      <w:r>
        <w:rPr>
          <w:sz w:val="24"/>
        </w:rPr>
        <w:t xml:space="preserve">НА ПОВЫШЕНИЕ ФИНАНСОВОЙ ГРАМОТНОСТИ НАСЕЛЕНИЯ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Приведенные далее компоненты носят рекомендательный характер и предназначены для использования при подготовке программ повышения финансовой грамотности населения.</w:t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ind w:firstLine="540"/>
        <w:jc w:val="both"/>
        <w:outlineLvl w:val="2"/>
      </w:pPr>
      <w:r>
        <w:rPr>
          <w:sz w:val="24"/>
        </w:rPr>
        <w:t xml:space="preserve">Компонент 1. Мониторинг и оценка уровня финансовой грамотности населения и информированности населения о механизмах защиты прав потребителей финансовых услуг в регионе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Основной целью данного компонента является построение надежной системы мониторинга и оценки результатов реализации мероприятий программы повышения финансовой грамотности населения по достижению ее целей.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В рамках данного компонента могут быть поддержаны и организованы следующие исследования: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исследование уровня финансовой грамотности населения региона. Цель исследования - определить текущий уровень финансовой грамотности и изменения в отношении, восприятии, поведении населения, уверенности потребителей при пользовании финансовыми услугами;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регулярный мониторинг (оценка) эффективности мероприятий программы повышения финансовой грамотности населения. Цель исследования - определить эффективность проведения тех или иных мероприятий программы повышения финансовой грамотности населения, определить соответствующие тенденции и динамику.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Периодичность проведения исследований может быть определена с учетом плана реализации мероприятий программы повышения финансовой грамотности населения.</w:t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ind w:firstLine="540"/>
        <w:jc w:val="both"/>
        <w:outlineLvl w:val="2"/>
      </w:pPr>
      <w:r>
        <w:rPr>
          <w:sz w:val="24"/>
        </w:rPr>
        <w:t xml:space="preserve">Компонент 2. Формирование основ рационального финансового поведения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В целях обеспечения формирования у населения рационального финансового поведения, в основе которого лежит осознание возможных последствий принятых решений и умение собирать и всесторонне анализировать официальную информацию, в ходе реализации мероприятий программы повышения финансовой грамотности населения необходимо обеспечить формирование установок на целесообразность учета баланса семейных (личных) доходов и расходов при принятии соответствующего финансового решения. При этом целями рационального финансового поведения может быть сохранение и накопление ресурсов, их преумножение, инвестирование. Важно соблюсти принципы свободы и независимости принятия самостоятельных решений.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Рациональность принятия решений основывается на портрете финансово грамотного гражданина, который в соответствии со </w:t>
      </w:r>
      <w:hyperlink r:id="rId35" w:tooltip="Распоряжение Правительства РФ от 25.09.2017 N 2039-р &lt;Об утверждении Стратегии повышения финансовой грамотности в Российской Федерации на 2017 - 2023 годы&gt; {КонсультантПлюс}" w:history="0">
        <w:r>
          <w:rPr>
            <w:color w:val="0000ff"/>
            <w:sz w:val="24"/>
          </w:rPr>
          <w:t xml:space="preserve">Стратегией</w:t>
        </w:r>
      </w:hyperlink>
      <w:r>
        <w:rPr>
          <w:sz w:val="24"/>
        </w:rPr>
        <w:t xml:space="preserve"> должен обладать следующими характеристиками: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следить за состоянием личных финансов;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планировать свои доходы и расходы;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формировать долгосрочные сбережения и финансовую "подушку безопасности" для непредвиденных обстоятельств;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иметь представление о том, как искать и использовать необходимую финансовую информацию;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знать о бюджетах бюджетной системы Российской Федерации, о структуре их доходов и направлениях расходов, обладать установкой на участие в проектах инициативного бюджетирования;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знать о мерах государственной поддержки, предоставляемой за счет средств государственного бюджета, и способах ее получения;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рационально выбирать финансовые услуги;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жить по средствам, избегая несоразмерных доходам долгов и неплатежей по ним;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знать и уметь отстаивать свои законные права как потребителя финансовых услуг;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быть способным распознавать признаки финансового мошенничества;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знать о рисках на рынке финансовых услуг;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знать и выполнять свои обязанности налогоплательщика;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вести финансовую подготовку к жизни на пенсии.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Формирование основ рационального финансового поведения должно быть направлено на: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повышение интереса и мотивации граждан к получению новых знаний и навыков в сфере финансовой грамотности, осознания ее важности и практической пользы для личного и семейного финансового благополучия, формирование чувства личной ответственности за свое финансовое поведение;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сознательное отношение к выбору финансовых продуктов, понимание особенностей оформления сделок и договоров на получение финансовых услуг, необходимость сравнения различных вариантов финансовых продуктов при принятии решения;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создание мотивации к среднесрочным и долгосрочным накоплениям, оптимальному соотношению между кредитной задолженностью и доходом домохозяйства, учет особенностей планирования на различных этапах жизненного цикла;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повышение интереса и мотивации к получению знаний в пенсионной сфере и мотивации к самостоятельному формированию пенсионных накоплений;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защиту прав потребителей в финансовой сфере, включая информирование об основных типах финансовых продуктов, правах потребителей и основах законодательства, процессе возмещения ущерба и организациях, осуществляющих надзорные функции и контроль.</w:t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ind w:firstLine="540"/>
        <w:jc w:val="both"/>
        <w:outlineLvl w:val="2"/>
      </w:pPr>
      <w:r>
        <w:rPr>
          <w:sz w:val="24"/>
        </w:rPr>
        <w:t xml:space="preserve">Компонент 3. Создание потенциала в области повышения финансовой грамотности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Целью данного компонента является развитие потенциала в области повышения финансовой грамотности населения в регионе. В результате реализации данного компонента предполагается повышение институционального и кадрового потенциала в области финансовой грамотности как в государственном, так и в частном секторе. Институциональный потенциал может служить для накопления, генерации и распространения знаний и информации по вопросам финансовой грамотности. Он также послужит наращиванию кадрового потенциала, способного повысить финансовую грамотность. Сюда относятся педагогические работники дошкольных и общеобразовательных организаций, профессиональных образовательных организаций и образовательных организаций высшего образования и др.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В рамках данного компонента могут быть поддержаны и осуществлены следующие основные направления деятельности: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Создание институционального и кадрового потенциала в регионе в области повышения финансовой грамотности, включая: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создание устойчивых региональных и муниципальных центров консультирования и просвещения граждан в области финансовой грамотности (в том числе региональных центров финансовой грамотности, при необходимости);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повышение квалификации в области финансовой грамотности сотрудников органов государственной власти;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обучение специалистов в области финансового просвещения студентов, обучающихся общеобразовательных учреждений, учреждений НПО/СПО и взрослого населения;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оказание постоянной методической поддержки специалистам в сфере образования (методистам, тьюторам, педагогическим работникам) в регионе;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обучение сотрудников органов социальной защиты, представителей муниципалитетов, центров занятости, территориальных отделений Социального фонда России и других служб региона;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повышение квалификации воспитателей дошкольных образовательных организаций, учителей начальных классов общеобразовательных организаций, педагогических работников основного общего и среднего общего образования (учителя истории, обществознания, экономики, математики, информатики, географии, технологии, основ безопасности жизнедеятельности), педагогических работников организаций дополнительного образования, преподавателей профессиональных образовательных организаций, а также педагогических работников и воспитателей организаций, осуществляющих образовательную деятельность для детей-сирот и детей, оставшихся без попечения родителей;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использование лучших практик и инфраструктуры, в том числе созданных в рамках Проекта Минфина России "Содействие повышению уровня финансовой грамотности населения и развитию финансового образования в Российской Федерации", а также Банком России и другими участниками реализации мероприятий </w:t>
      </w:r>
      <w:hyperlink r:id="rId36" w:tooltip="Распоряжение Правительства РФ от 25.09.2017 N 2039-р &lt;Об утверждении Стратегии повышения финансовой грамотности в Российской Федерации на 2017 - 2023 годы&gt; {КонсультантПлюс}" w:history="0">
        <w:r>
          <w:rPr>
            <w:color w:val="0000ff"/>
            <w:sz w:val="24"/>
          </w:rPr>
          <w:t xml:space="preserve">Стратегии</w:t>
        </w:r>
      </w:hyperlink>
      <w:r>
        <w:rPr>
          <w:sz w:val="24"/>
        </w:rPr>
        <w:t xml:space="preserve">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переподготовка и изменение программ подготовки специалистов организациями высшего и среднего профессионального образования;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расширение практики использования информационных и образовательных ресурсов по повышению финансовой грамотности населения и информирование о защите прав потребителей финансовых услуг, в том числе моифинансы.рф и </w:t>
      </w:r>
      <w:hyperlink r:id="rId37" w:history="0">
        <w:r>
          <w:rPr>
            <w:color w:val="0000ff"/>
            <w:sz w:val="24"/>
          </w:rPr>
          <w:t xml:space="preserve">fincult.info</w:t>
        </w:r>
      </w:hyperlink>
      <w:r>
        <w:rPr>
          <w:sz w:val="24"/>
        </w:rPr>
        <w:t xml:space="preserve">. Разработанные в рамках программы повышения финансовой грамотности населения материалы могут быть размещены в соответствующих разделах указанных ресурсов. С целью доступности информации и материалов необходимо предусмотреть создание региональных сайтов или отдельных разделов на официальных сайтах субъекта Российской Федерации;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создание и распространение информационных материалов и информирование.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В целях информирования населения в рамках программы повышения финансовой грамотности населения необходимо обеспечить разработку и распространение информационных материалов (включая тематические буклеты и брошюры) в печатном и электронном виде.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Распространение материалов и информирование населения должно быть организовано на системной основе с использованием сети федеральных и региональных методических центров повышения финансовой грамотности, территориальных учреждений Банка России, консультационных центров для потребителей в системе Роспотребнадзор и его территориальных отделений, территориальных отделений Социального фонда России, многофункциональных центров по оказанию государственных и муниципальных услуг, социальных служб, библиотек, общественных объединений по защите прав потребителей, образовательных организаций, финансовых организаций, средств массовой информации (далее - СМИ) и иных.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Информирование населения может также осуществляться в рамках проведения информационных кампаний и социальной рекламы.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Разработанные информационные материалы в электронном виде необходимо распространять с использованием всех доступных информационных каналов, в том числе телевидения, радио, электронных СМИ, информационные панели, стойки, в том числе включая официальные сайты участников реализации программы повышения финансовой грамотности населения, специальные тематические сайты, социальные сети.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Для улучшения работы по информированию населения необходимо внедрять эффективные механизмы обратной связи с потребителями финансовых услуг на основе современных технологий, в том числе организацию тематических горячих линий консультирования потребителей финансовых услуг, общественных и онлайн-приемных населения, организуемых участниками реализации </w:t>
      </w:r>
      <w:hyperlink r:id="rId38" w:tooltip="Распоряжение Правительства РФ от 25.09.2017 N 2039-р &lt;Об утверждении Стратегии повышения финансовой грамотности в Российской Федерации на 2017 - 2023 годы&gt; {КонсультантПлюс}" w:history="0">
        <w:r>
          <w:rPr>
            <w:color w:val="0000ff"/>
            <w:sz w:val="24"/>
          </w:rPr>
          <w:t xml:space="preserve">Стратегии</w:t>
        </w:r>
      </w:hyperlink>
      <w:r>
        <w:rPr>
          <w:sz w:val="24"/>
        </w:rPr>
        <w:t xml:space="preserve">: Роспотребнадзором, Банком России, Социальным фондом России и другими участниками.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Особое внимание необходимо уделить обучению представителей СМИ и государственных служащих финансовой грамотности и защиты прав потребителей финансовых услуг.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В целях повышения интереса граждан к проблематике финансовой грамотности рекомендуется предусмотреть в программе повышения финансовой грамотности населения развитие практики проведения таких мероприятий, как Фестиваль финансовой грамотности, приуроченный ко Дню финансиста, Всероссийская неделя финансовой грамотности для детей и молодежи, Всероссийская неделя сбережений, Неделя финансовой грамотности в регионах России, Всемирный день защиты прав потребителей, мероприятия, приуроченные ко Дню рубля, Дню открытых дверей Банка России, Дню российского предпринимательства, а также обеспечить участие в специализированных мероприятиях в сфере образования, финансов, предпринимательства и иных социально направленных мероприятиях, таких как региональные и межрегиональные форумы, конгрессы, круглые столы, семинары, конференции и иных мероприятий.</w:t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ind w:firstLine="540"/>
        <w:jc w:val="both"/>
        <w:outlineLvl w:val="2"/>
      </w:pPr>
      <w:r>
        <w:rPr>
          <w:sz w:val="24"/>
        </w:rPr>
        <w:t xml:space="preserve">Компонент 4. Внедрение образовательных программ и проведение информационных кампаний по повышению финансовой грамотности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Целью данного компонента является развитие финансовой грамотности населения через проведение комплекса информационных и образовательных мероприятий. Мероприятия должны быть ориентированы преимущественно на целевые группы программы повышения финансовой грамотности населения.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Все мероприятия должны соответствовать положениям Федерального </w:t>
      </w:r>
      <w:hyperlink r:id="rId39" w:tooltip="Федеральный закон от 29.12.2012 N 273-ФЗ (ред. от 08.03.2026) &quot;Об образовании в Российской Федерации&quot; {КонсультантПлюс}" w:history="0">
        <w:r>
          <w:rPr>
            <w:color w:val="0000ff"/>
            <w:sz w:val="24"/>
          </w:rPr>
          <w:t xml:space="preserve">закона</w:t>
        </w:r>
      </w:hyperlink>
      <w:r>
        <w:rPr>
          <w:sz w:val="24"/>
        </w:rPr>
        <w:t xml:space="preserve"> от 29.12.2012 N 273-ФЗ "Об образовании в Российской Федерации", концепциям, федеральным государственным образовательным стандартам, и иным нормативным и правовым актам в сфере образования. Реализация мероприятий данного компонента должны осуществляться с обеспечением принципа непрерывности образования.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В рамках данного компонента могут быть поддержаны и осуществлены мероприятия, в том числе с использованием современных учебных материалов, программ, инновационных технологий, включая различные интерактивные, дистанционные, онлайн программы и инструменты. Особенностью предлагаемых образовательных программ является то, что они направлены на формирование навыков финансового планирования и рационального поведения на протяжении всей жизни. Важным элементом и эффектом реализации образовательных программ для обучающихся является включение родителей в образовательный процесс и, соответственно, развитие их интереса и мотивации к вопросам повышения собственной финансовой грамотности.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Основной институциональной базой для реализации образовательных программ для обучающихся должны стать образовательные организации, заинтересованные в развитии таких программ. К реализации программ могут быть также привлечены в качестве экспертов неправительственные организации, ассоциации финансовых и банковских учреждений.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В рамках данного компонента на региональном уровне могут быть поддержаны и осуществлены следующие основные направления деятельности: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Внедрение созданных образовательных программ и учебно-методических материалов, в том числе: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основных образовательных программ по повышению финансовой грамотности обучающихся общеобразовательных организаций, в том числе на базе учебных модулей по тематике финансовой грамотности для включения в учебные предметы - обществознание, экономика, математика, технология, информатика, окружающий мир, география и другие;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дополнительных образовательных программ по повышению финансовой грамотности обучающихся общеобразовательных организаций, профессиональных образовательных организаций;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особое внимание в программе повышения финансовой грамотности населения необходимо уделить мероприятиям для талантливых обучающихся всех уровней образования, предусмотреть их участие в олимпиадах и конкурсах, всероссийских зачетах и диктантах по финансовой грамотности;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цифровых образовательных ресурсов;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модульных образовательных программ и учебно-методических и информационных материалов, направленных на повышение финансовой грамотности студентов;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модульных образовательных программ и прочих материалов, направленных на повышение финансовой грамотности взрослого населения, в том числе на рабочем месте;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учебных модулей по обучению студентов педагогических образовательных организаций высшего образования методике преподавания основ финансовой грамотности;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особое внимание требуется уделить гражданам пенсионного и предпенсионного возрастов, для которых необходимо дополнительно предусмотреть доступность обучения основам цифровой и юридической грамотности, навыкам работы с компьютером, в том числе дистанционного, в сочетании с образовательными программами по повышению финансовой грамотности;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материалов для лиц с инвалидностью, воспитанников детских домов и учащихся школ-интернатов, других социально уязвимых групп населения;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методологических подходов подготовки и привлечения волонтеров к деятельности по повышению финансовой грамотности;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проведения мероприятий по разработке, апробации и внедрению образовательных программ и учебно-методических материалов, учитывающих специфику региона, а также лучшие практики и опыт в области реализации программ повышения финансовой грамотности населения;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разработка и внедрение единого цифрового ресурса, содержащего список видеоуроков (обучающих программ), доступного для различных возрастных и целевых групп.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При планировании и проведении мероприятий по внедрению финансовой грамотности в образовательный процесс необходимо использовать методические рекомендации и учебно-методические материалы, прошедшие соответствующие экспертизы и размещенные на сайтах Минпросвещения России, Минобрнауки России, Банка России, Минфина России, Минэкономразвития России, Роспотребнадзора, Социального фонда России и других ведомств, участвующих в реализации </w:t>
      </w:r>
      <w:hyperlink r:id="rId40" w:tooltip="Распоряжение Правительства РФ от 25.09.2017 N 2039-р &lt;Об утверждении Стратегии повышения финансовой грамотности в Российской Федерации на 2017 - 2023 годы&gt; {КонсультантПлюс}" w:history="0">
        <w:r>
          <w:rPr>
            <w:color w:val="0000ff"/>
            <w:sz w:val="24"/>
          </w:rPr>
          <w:t xml:space="preserve">Стратегии</w:t>
        </w:r>
      </w:hyperlink>
      <w:r>
        <w:rPr>
          <w:sz w:val="24"/>
        </w:rPr>
        <w:t xml:space="preserve">.</w:t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ind w:firstLine="540"/>
        <w:jc w:val="both"/>
        <w:outlineLvl w:val="2"/>
      </w:pPr>
      <w:r>
        <w:rPr>
          <w:sz w:val="24"/>
        </w:rPr>
        <w:t xml:space="preserve">Компонент 5. Проведение информационных кампаний по повышению финансовой грамотности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В рамках данного компонента также может быть разработана и проведена информационная кампания, направленная на повышение уровня финансовой грамотности населения региона и обеспечение защиты прав потребителей финансовых услуг. Информационная кампания может осуществляться на базе региональных и муниципальных СМИ, включая телевидение, радио, печатные и электронные СМИ, с использованием интернет-каналов, наружной рекламы, рекламы на транспорте, железнодорожных, морских, речных и автотранспортных вокзалах, аэропортах, местах массового скопления и культурного отдыха населения (в т.ч. кинотеатрах) и другие.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Повышение финансовой грамотности населения и информирование в области защиты прав потребителей финансовых услуг относится к вопросам высокой социальной значимости и не преследует коммерческих или иных материальных целей, также не принадлежит к бренду конкретной организации. В связи с этим в рамках данного компонента целесообразно использовать механизмы социальной рекламы в соответствии с Федеральным </w:t>
      </w:r>
      <w:hyperlink r:id="rId41" w:tooltip="Федеральный закон от 13.03.2006 N 38-ФЗ (ред. от 27.10.2025) &quot;О рекламе&quot; {КонсультантПлюс}" w:history="0">
        <w:r>
          <w:rPr>
            <w:color w:val="0000ff"/>
            <w:sz w:val="24"/>
          </w:rPr>
          <w:t xml:space="preserve">законом</w:t>
        </w:r>
      </w:hyperlink>
      <w:r>
        <w:rPr>
          <w:sz w:val="24"/>
        </w:rPr>
        <w:t xml:space="preserve"> от 13.03.2006 N 38-ФЗ "О рекламе".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Создание и демонстрация образовательных передач по актуальным темам финансовой грамотности и защите прав потребителей финансовых услуг, размещение публикаций в СМИ, проведение специальных информационно-просветительских и пресс-мероприятий.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В рамках взаимодействия со СМИ в сфере освещения проблематики повышения финансовой грамотности населения и защиты прав потребителей финансовых услуг необходимо проведение систематической работы по информированию СМИ о мероприятиях, проводимых в ходе реализации программы повышения финансовой грамотности населения, вовлечение журналистов в публичные мероприятия, направленные на повышение финансовой грамотности, в качестве активных участников, проведение семинаров, дискуссий и мастер-классов по актуальным вопросам финансовой грамотности и информирования о защите прав потребителей, особенно для СМИ, конкурсов лучших публикаций в СМИ по вопросам повышения финансовой грамотности и защиты прав потребителей финансовых услуг. При этом на системной основе необходимо организовать проведение программ и съемку сюжетов, комментарии на телевидении и радио с привлечением экспертов в области финансовой грамотности и защиты прав потребителей финансовых услуг.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При проведении информационных кампаний по повышению финансовой грамотности рекомендуется использовать следующие практики донесения информации до аудитории: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использование практики объединения мероприятий по финансовой и правовой грамотности;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выпуск специализированных пособий по финансовой грамотности на бумажных носителях и их распространение в общественных местах;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организация обучения основам финансовой грамотности взрослого населения с низким доходом, безработных граждан;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популяризация среди работающих граждан практики получения информации по пенсионной тематике, связанной с формированием пенсионных накоплений и прогнозированием размера пенсии;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профессиональное консультирование населения по финансовым вопросам.</w:t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ind w:firstLine="540"/>
        <w:jc w:val="both"/>
        <w:outlineLvl w:val="2"/>
      </w:pPr>
      <w:r>
        <w:rPr>
          <w:sz w:val="24"/>
        </w:rPr>
        <w:t xml:space="preserve">Компонент 6. Наставничество и волонтеры финансовой грамотности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В рамках программы повышения финансовой грамотности населения одним из компонентов может быть развитие движения волонтеров финансового просвещения.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Данное направление может включать: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механизмы взаимодействия органов исполнительной власти субъекта Российской Федерации с Ассоциацией развития финансовой грамотности, организаторами волонтерской деятельности, волонтерскими организациями в сфере повышения финансовой грамотности;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планы развития и поддержки волонтеров финансового просвещения, включая поддержку волонтерских центров, в том числе работающих на базе общеобразовательных организаций, образовательных организаций высшего образования и среднего профессионального образования;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использование системы мотивации и нематериального поощрения волонтеров финансового просвещения, в том числе в части предоставления образовательных услуг, вручения наград и знаков отличия;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развитие компетенции волонтеров финансового просвещения через участие в обучающих стажировках;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планы по развитию и распространению волонтерской деятельности в области повышения финансовой грамотности путем привлечения большего числа волонтеров, а также расширения целевой аудитории благоприобретателей знаний финансово грамотного человека;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порядок привлечения волонтеров к мероприятиям программы повышения финансовой грамотности населения.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В план реализации программы повышения финансовой грамотности населения рекомендуется включать мероприятия, направленные на поддержку и развитие добровольчества (волонтерства) в сфере финансовой грамотности, с учетом национальных и региональных социально-экономических, экологических, культурных и других особенностей, а также: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оказание поддержки организаторам добровольческой (волонтерской) деятельности и добровольческим (волонтерским) организациям в сфере финансовой грамотности, в том числе в их взаимодействии с государственными и муниципальными учреждениями и иными организациями;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оказание поддержки социально ориентированным некоммерческим организациям, государственным и муниципальным учреждениям, обеспечивающим организационную, информационную, методическую и иную поддержку добровольцам (волонтерам), организаторам добровольческой (волонтерской) деятельности и добровольческим (волонтерским) организациям;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популяризация добровольческой (волонтерской) деятельности в сфере финансовой грамотности;</w:t>
      </w:r>
    </w:p>
    <w:p>
      <w:pPr>
        <w:pStyle w:val="0"/>
        <w:spacing w:before="240"/>
        <w:ind w:firstLine="540"/>
        <w:jc w:val="both"/>
      </w:pPr>
      <w:r>
        <w:rPr>
          <w:sz w:val="24"/>
        </w:rPr>
        <w:t xml:space="preserve">методическое обеспечение органов государственной власти субъекта Российской Федерации и органов местного самоуправления и содействие им в разработке и реализации мер по развитию добровольчества (волонтерства) в сфере финансовой грамотности.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right"/>
        <w:outlineLvl w:val="1"/>
      </w:pPr>
      <w:r>
        <w:rPr>
          <w:sz w:val="24"/>
        </w:rPr>
        <w:t xml:space="preserve">Приложение N 4</w:t>
      </w:r>
    </w:p>
    <w:p>
      <w:pPr>
        <w:pStyle w:val="0"/>
        <w:jc w:val="right"/>
      </w:pPr>
      <w:r>
        <w:rPr>
          <w:sz w:val="24"/>
        </w:rPr>
        <w:t xml:space="preserve">к Методическим рекомендациям</w:t>
      </w:r>
    </w:p>
    <w:p>
      <w:pPr>
        <w:pStyle w:val="0"/>
        <w:jc w:val="both"/>
      </w:pPr>
      <w:r>
        <w:rPr>
          <w:sz w:val="24"/>
        </w:rPr>
      </w:r>
    </w:p>
    <w:bookmarkStart w:id="376" w:name="P376"/>
    <w:bookmarkEnd w:id="376"/>
    <w:p>
      <w:pPr>
        <w:pStyle w:val="0"/>
        <w:jc w:val="center"/>
      </w:pPr>
      <w:r>
        <w:rPr>
          <w:sz w:val="24"/>
        </w:rPr>
        <w:t xml:space="preserve">Форма</w:t>
      </w:r>
    </w:p>
    <w:p>
      <w:pPr>
        <w:pStyle w:val="0"/>
        <w:jc w:val="center"/>
      </w:pPr>
      <w:r>
        <w:rPr>
          <w:sz w:val="24"/>
        </w:rPr>
        <w:t xml:space="preserve">отчета о реализации государственной программы субъекта</w:t>
      </w:r>
    </w:p>
    <w:p>
      <w:pPr>
        <w:pStyle w:val="0"/>
        <w:jc w:val="center"/>
      </w:pPr>
      <w:r>
        <w:rPr>
          <w:sz w:val="24"/>
        </w:rPr>
        <w:t xml:space="preserve">Российской Федерации (структурного элемента государственной</w:t>
      </w:r>
    </w:p>
    <w:p>
      <w:pPr>
        <w:pStyle w:val="0"/>
        <w:jc w:val="center"/>
      </w:pPr>
      <w:r>
        <w:rPr>
          <w:sz w:val="24"/>
        </w:rPr>
        <w:t xml:space="preserve">программы субъекта Российской Федерации)/региональной</w:t>
      </w:r>
    </w:p>
    <w:p>
      <w:pPr>
        <w:pStyle w:val="0"/>
        <w:jc w:val="center"/>
      </w:pPr>
      <w:r>
        <w:rPr>
          <w:sz w:val="24"/>
        </w:rPr>
        <w:t xml:space="preserve">программы, направленных на повышение финансовой</w:t>
      </w:r>
    </w:p>
    <w:p>
      <w:pPr>
        <w:pStyle w:val="0"/>
        <w:jc w:val="center"/>
      </w:pPr>
      <w:r>
        <w:rPr>
          <w:sz w:val="24"/>
        </w:rPr>
        <w:t xml:space="preserve">грамотности населения</w:t>
      </w:r>
    </w:p>
    <w:p>
      <w:pPr>
        <w:pStyle w:val="0"/>
        <w:jc w:val="both"/>
      </w:pPr>
      <w:r>
        <w:rPr>
          <w:sz w:val="24"/>
        </w:rPr>
      </w:r>
    </w:p>
    <w:tbl>
      <w:tblPr>
        <w:tblInd w:w="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left w:w="62" w:type="dxa"/>
          <w:top w:w="102" w:type="dxa"/>
          <w:right w:w="62" w:type="dxa"/>
          <w:bottom w:w="102" w:type="dxa"/>
        </w:tblCellMar>
      </w:tblPr>
      <w:tblGrid>
        <w:gridCol w:w="518"/>
        <w:gridCol w:w="2437"/>
        <w:gridCol w:w="1531"/>
        <w:gridCol w:w="1077"/>
        <w:gridCol w:w="475"/>
        <w:gridCol w:w="680"/>
        <w:gridCol w:w="1134"/>
        <w:gridCol w:w="1191"/>
      </w:tblGrid>
      <w:tr>
        <w:tc>
          <w:tcPr>
            <w:tcW w:w="9043" w:type="dxa"/>
            <w:gridSpan w:val="8"/>
          </w:tcPr>
          <w:p>
            <w:pPr>
              <w:pStyle w:val="0"/>
              <w:jc w:val="center"/>
              <w:outlineLvl w:val="2"/>
            </w:pPr>
            <w:r>
              <w:rPr>
                <w:sz w:val="24"/>
              </w:rPr>
              <w:t xml:space="preserve">I. Общие сведения о реализации стратегических документов в сфере финансовой грамотности субъектов Российской Федерации (включая государственные программы/региональные программы повышения финансовой грамотности населения (или региональные программы (подпрограммы/стратегические планы/дорожные карты) с иным наименованием, направленные на повышение финансовой грамотности населения и защиту прав потребителей финансовых услуг) (далее - Программа)</w:t>
            </w:r>
          </w:p>
        </w:tc>
      </w:tr>
      <w:tr>
        <w:tc>
          <w:tcPr>
            <w:tcW w:w="518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</w:t>
            </w:r>
          </w:p>
        </w:tc>
        <w:tc>
          <w:tcPr>
            <w:tcW w:w="3968" w:type="dxa"/>
            <w:gridSpan w:val="2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Наименование субъекта Российской Федерации</w:t>
            </w:r>
          </w:p>
        </w:tc>
        <w:tc>
          <w:tcPr>
            <w:tcW w:w="4557" w:type="dxa"/>
            <w:gridSpan w:val="5"/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tcW w:w="518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2</w:t>
            </w:r>
          </w:p>
        </w:tc>
        <w:tc>
          <w:tcPr>
            <w:tcW w:w="3968" w:type="dxa"/>
            <w:gridSpan w:val="2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Наименование и реквизиты утверждения Программы</w:t>
            </w:r>
          </w:p>
        </w:tc>
        <w:tc>
          <w:tcPr>
            <w:tcW w:w="4557" w:type="dxa"/>
            <w:gridSpan w:val="5"/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tcW w:w="518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3</w:t>
            </w:r>
          </w:p>
        </w:tc>
        <w:tc>
          <w:tcPr>
            <w:tcW w:w="3968" w:type="dxa"/>
            <w:gridSpan w:val="2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Наименование и реквизиты утверждения межведомственного координирующего органа управления реализацией Программы</w:t>
            </w:r>
          </w:p>
        </w:tc>
        <w:tc>
          <w:tcPr>
            <w:tcW w:w="4557" w:type="dxa"/>
            <w:gridSpan w:val="5"/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tcW w:w="518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4</w:t>
            </w:r>
          </w:p>
        </w:tc>
        <w:tc>
          <w:tcPr>
            <w:tcW w:w="3968" w:type="dxa"/>
            <w:gridSpan w:val="2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Ответственный исполнитель Программы</w:t>
            </w:r>
          </w:p>
        </w:tc>
        <w:tc>
          <w:tcPr>
            <w:tcW w:w="4557" w:type="dxa"/>
            <w:gridSpan w:val="5"/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tcW w:w="518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5</w:t>
            </w:r>
          </w:p>
        </w:tc>
        <w:tc>
          <w:tcPr>
            <w:tcW w:w="3968" w:type="dxa"/>
            <w:gridSpan w:val="2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Сроки реализации Программы</w:t>
            </w:r>
          </w:p>
        </w:tc>
        <w:tc>
          <w:tcPr>
            <w:tcW w:w="4557" w:type="dxa"/>
            <w:gridSpan w:val="5"/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tcW w:w="518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6</w:t>
            </w:r>
          </w:p>
        </w:tc>
        <w:tc>
          <w:tcPr>
            <w:tcW w:w="3968" w:type="dxa"/>
            <w:gridSpan w:val="2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Наименование регионального центра финансовой грамотности (при наличии)</w:t>
            </w:r>
          </w:p>
        </w:tc>
        <w:tc>
          <w:tcPr>
            <w:tcW w:w="4557" w:type="dxa"/>
            <w:gridSpan w:val="5"/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tcW w:w="518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7</w:t>
            </w:r>
          </w:p>
        </w:tc>
        <w:tc>
          <w:tcPr>
            <w:tcW w:w="3968" w:type="dxa"/>
            <w:gridSpan w:val="2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Реквизиты регионального сайта по финансовой грамотности</w:t>
            </w:r>
          </w:p>
        </w:tc>
        <w:tc>
          <w:tcPr>
            <w:tcW w:w="4557" w:type="dxa"/>
            <w:gridSpan w:val="5"/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tcW w:w="518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8</w:t>
            </w:r>
          </w:p>
        </w:tc>
        <w:tc>
          <w:tcPr>
            <w:tcW w:w="3968" w:type="dxa"/>
            <w:gridSpan w:val="2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Объемы финансового обеспечения реализации Программы (тыс. рублей)</w:t>
            </w:r>
          </w:p>
        </w:tc>
        <w:tc>
          <w:tcPr>
            <w:tcW w:w="1077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Отчетный период t год</w:t>
            </w:r>
          </w:p>
        </w:tc>
        <w:tc>
          <w:tcPr>
            <w:tcW w:w="1155" w:type="dxa"/>
            <w:gridSpan w:val="2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Плановый период t + 1 год</w:t>
            </w:r>
          </w:p>
        </w:tc>
        <w:tc>
          <w:tcPr>
            <w:tcW w:w="1134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Плановый период t + 2 год</w:t>
            </w:r>
          </w:p>
        </w:tc>
        <w:tc>
          <w:tcPr>
            <w:tcW w:w="119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Плановый период t + 3 год</w:t>
            </w:r>
          </w:p>
        </w:tc>
      </w:tr>
      <w:tr>
        <w:tc>
          <w:tcPr>
            <w:tcW w:w="518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8.1</w:t>
            </w:r>
          </w:p>
        </w:tc>
        <w:tc>
          <w:tcPr>
            <w:tcW w:w="3968" w:type="dxa"/>
            <w:gridSpan w:val="2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федеральный бюджет</w:t>
            </w:r>
          </w:p>
        </w:tc>
        <w:tc>
          <w:tcPr>
            <w:tcW w:w="1077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1155" w:type="dxa"/>
            <w:gridSpan w:val="2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1134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1191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tcW w:w="518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8.2</w:t>
            </w:r>
          </w:p>
        </w:tc>
        <w:tc>
          <w:tcPr>
            <w:tcW w:w="3968" w:type="dxa"/>
            <w:gridSpan w:val="2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региональный бюджет</w:t>
            </w:r>
          </w:p>
        </w:tc>
        <w:tc>
          <w:tcPr>
            <w:tcW w:w="1077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1155" w:type="dxa"/>
            <w:gridSpan w:val="2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1134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1191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tcW w:w="518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8.3</w:t>
            </w:r>
          </w:p>
        </w:tc>
        <w:tc>
          <w:tcPr>
            <w:tcW w:w="3968" w:type="dxa"/>
            <w:gridSpan w:val="2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муниципальный бюджет</w:t>
            </w:r>
          </w:p>
        </w:tc>
        <w:tc>
          <w:tcPr>
            <w:tcW w:w="1077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1155" w:type="dxa"/>
            <w:gridSpan w:val="2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1134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1191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tcW w:w="518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8.4</w:t>
            </w:r>
          </w:p>
        </w:tc>
        <w:tc>
          <w:tcPr>
            <w:tcW w:w="3968" w:type="dxa"/>
            <w:gridSpan w:val="2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внебюджетные источники</w:t>
            </w:r>
          </w:p>
        </w:tc>
        <w:tc>
          <w:tcPr>
            <w:tcW w:w="1077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1155" w:type="dxa"/>
            <w:gridSpan w:val="2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1134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1191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tcW w:w="518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8.5</w:t>
            </w:r>
          </w:p>
        </w:tc>
        <w:tc>
          <w:tcPr>
            <w:tcW w:w="3968" w:type="dxa"/>
            <w:gridSpan w:val="2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Общий объем:</w:t>
            </w:r>
          </w:p>
        </w:tc>
        <w:tc>
          <w:tcPr>
            <w:tcW w:w="1077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1155" w:type="dxa"/>
            <w:gridSpan w:val="2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1134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1191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tcW w:w="9043" w:type="dxa"/>
            <w:gridSpan w:val="8"/>
          </w:tcPr>
          <w:p>
            <w:pPr>
              <w:pStyle w:val="0"/>
              <w:jc w:val="center"/>
              <w:outlineLvl w:val="2"/>
            </w:pPr>
            <w:r>
              <w:rPr>
                <w:sz w:val="24"/>
              </w:rPr>
              <w:t xml:space="preserve">II. Информация о достижении показателей реализации Программы</w:t>
            </w:r>
          </w:p>
        </w:tc>
      </w:tr>
      <w:tr>
        <w:tc>
          <w:tcPr>
            <w:tcW w:w="518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N</w:t>
            </w:r>
          </w:p>
        </w:tc>
        <w:tc>
          <w:tcPr>
            <w:tcW w:w="2437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Наименование показателя Программы</w:t>
            </w:r>
          </w:p>
        </w:tc>
        <w:tc>
          <w:tcPr>
            <w:tcW w:w="3083" w:type="dxa"/>
            <w:gridSpan w:val="3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Плановое значение показателя Программы (по итогам отчетного периода)</w:t>
            </w:r>
          </w:p>
        </w:tc>
        <w:tc>
          <w:tcPr>
            <w:tcW w:w="3005" w:type="dxa"/>
            <w:gridSpan w:val="3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Фактическое значение показателя Программы (по итогам отчетного периода)</w:t>
            </w:r>
          </w:p>
        </w:tc>
      </w:tr>
      <w:tr>
        <w:tc>
          <w:tcPr>
            <w:tcW w:w="518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</w:t>
            </w:r>
          </w:p>
        </w:tc>
        <w:tc>
          <w:tcPr>
            <w:tcW w:w="2437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3083" w:type="dxa"/>
            <w:gridSpan w:val="3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3005" w:type="dxa"/>
            <w:gridSpan w:val="3"/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tcW w:w="518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2</w:t>
            </w:r>
          </w:p>
        </w:tc>
        <w:tc>
          <w:tcPr>
            <w:tcW w:w="2437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3083" w:type="dxa"/>
            <w:gridSpan w:val="3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3005" w:type="dxa"/>
            <w:gridSpan w:val="3"/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tcW w:w="518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...</w:t>
            </w:r>
          </w:p>
        </w:tc>
        <w:tc>
          <w:tcPr>
            <w:tcW w:w="2437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3083" w:type="dxa"/>
            <w:gridSpan w:val="3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3005" w:type="dxa"/>
            <w:gridSpan w:val="3"/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tcW w:w="9043" w:type="dxa"/>
            <w:gridSpan w:val="8"/>
          </w:tcPr>
          <w:p>
            <w:pPr>
              <w:pStyle w:val="0"/>
              <w:jc w:val="center"/>
              <w:outlineLvl w:val="2"/>
            </w:pPr>
            <w:r>
              <w:rPr>
                <w:sz w:val="24"/>
              </w:rPr>
              <w:t xml:space="preserve">III. Информация о выполнении мероприятий реализации Программы</w:t>
            </w:r>
          </w:p>
        </w:tc>
      </w:tr>
      <w:tr>
        <w:tc>
          <w:tcPr>
            <w:tcW w:w="518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N</w:t>
            </w:r>
          </w:p>
        </w:tc>
        <w:tc>
          <w:tcPr>
            <w:tcW w:w="3968" w:type="dxa"/>
            <w:gridSpan w:val="2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Наименование мероприятия реализации Программы, включающего соответствующие контрольные точки</w:t>
            </w:r>
          </w:p>
        </w:tc>
        <w:tc>
          <w:tcPr>
            <w:tcW w:w="4557" w:type="dxa"/>
            <w:gridSpan w:val="5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Статус выполнения мероприятия реализации Программы (включая статус выполнения соответствующих контрольных точек) (выполнено / выполнено частично / не выполнено)</w:t>
            </w:r>
          </w:p>
        </w:tc>
      </w:tr>
      <w:tr>
        <w:tc>
          <w:tcPr>
            <w:tcW w:w="518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</w:t>
            </w:r>
          </w:p>
        </w:tc>
        <w:tc>
          <w:tcPr>
            <w:tcW w:w="3968" w:type="dxa"/>
            <w:gridSpan w:val="2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4557" w:type="dxa"/>
            <w:gridSpan w:val="5"/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tcW w:w="518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2</w:t>
            </w:r>
          </w:p>
        </w:tc>
        <w:tc>
          <w:tcPr>
            <w:tcW w:w="3968" w:type="dxa"/>
            <w:gridSpan w:val="2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4557" w:type="dxa"/>
            <w:gridSpan w:val="5"/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tcW w:w="518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...</w:t>
            </w:r>
          </w:p>
        </w:tc>
        <w:tc>
          <w:tcPr>
            <w:tcW w:w="3968" w:type="dxa"/>
            <w:gridSpan w:val="2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4557" w:type="dxa"/>
            <w:gridSpan w:val="5"/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</w:tbl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pBdr>
          <w:bottom w:val="single" w:color="auto" w:sz="6" w:space="0"/>
        </w:pBdr>
        <w:spacing w:before="100" w:after="100"/>
        <w:jc w:val="both"/>
        <w:rPr>
          <w:sz w:val="2"/>
          <w:szCs w:val="2"/>
        </w:rPr>
      </w:pP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/>
      <w:pgMar w:top="1440" w:right="566" w:bottom="1440" w:left="1133" w:header="0" w:footer="0" w:gutter="0"/>
      <w:cols w:space="708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</w:font>
  <w:font w:name="Arial">
    <w:panose1 w:val="020B0604020202020204"/>
  </w:font>
  <w:font w:name="Courier New">
    <w:panose1 w:val="020703090202050204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auto" w:sz="12" w:space="0"/>
      </w:pBdr>
      <w:rPr>
        <w:sz w:val="2"/>
        <w:szCs w:val="2"/>
      </w:rPr>
    </w:pPr>
  </w:p>
  <w:tbl>
    <w:tblPr>
      <w:tblW w:w="5000" w:type="pct"/>
      <w:tblInd w:w="0" w:type="dxa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1"/>
      <w:gridCol w:w="1"/>
      <w:gridCol w:w="1"/>
    </w:tblGrid>
    <w:tr>
      <w:trPr>
        <w:trHeight w:val="1663" w:hRule="exact"/>
      </w:trPr>
      <w:tc>
        <w:tcPr>
          <w:tcW w:w="1650" w:type="pct"/>
          <w:vAlign w:val="center"/>
        </w:tcPr>
        <w:p>
          <w:r>
            <w:rPr>
              <w:rFonts w:ascii="Tahoma" w:hAnsi="Tahoma" w:cs="Tahoma"/>
              <w:b/>
              <w:color w:val="f58220"/>
              <w:sz w:val="28"/>
              <w:szCs w:val="28"/>
            </w:rPr>
            <w:t xml:space="preserve">КонсультантПлюс</w:t>
          </w:r>
          <w:r>
            <w:rPr>
              <w:rFonts w:ascii="Tahoma" w:hAnsi="Tahoma" w:cs="Tahoma"/>
              <w:b/>
              <w:sz w:val="16"/>
              <w:szCs w:val="16"/>
            </w:rPr>
            <w:br/>
            <w:t xml:space="preserve">надежная правовая поддержка</w:t>
          </w:r>
        </w:p>
      </w:tc>
      <w:tc>
        <w:tcPr>
          <w:tcW w:w="1700" w:type="pct"/>
          <w:vAlign w:val="center"/>
        </w:tcPr>
        <w:p>
          <w:pPr>
            <w:jc w:val="center"/>
          </w:pPr>
          <w:hyperlink r:id="rId1" w:history="0">
            <w:r>
              <w:rPr>
                <w:rFonts w:ascii="Tahoma" w:hAnsi="Tahoma" w:cs="Tahoma"/>
                <w:b/>
                <w:color w:val="0000ff"/>
              </w:rPr>
              <w:t xml:space="preserve">www.consultant.ru</w:t>
            </w:r>
          </w:hyperlink>
        </w:p>
      </w:tc>
      <w:tc>
        <w:tcPr>
          <w:tcW w:w="1650" w:type="pct"/>
          <w:vAlign w:val="center"/>
        </w:tcPr>
        <w:p>
          <w:pPr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 xml:space="preserve">PAGE</w:instrText>
          </w:r>
          <w:r>
            <w:fldChar w:fldCharType="separate"/>
          </w:r>
          <w:r>
            <w:rPr>
              <w:rFonts w:ascii="Tahoma" w:hAnsi="Tahoma" w:cs="Tahoma"/>
            </w:rPr>
            <w:t xml:space="preserve"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 xml:space="preserve">NUMPAGES</w:instrText>
          </w:r>
          <w:r>
            <w:fldChar w:fldCharType="separate"/>
          </w:r>
          <w:r>
            <w:rPr>
              <w:rFonts w:ascii="Tahoma" w:hAnsi="Tahoma" w:cs="Tahoma"/>
            </w:rPr>
            <w:t xml:space="preserve">5</w:t>
          </w:r>
          <w:r>
            <w:fldChar w:fldCharType="end"/>
          </w:r>
        </w:p>
      </w:tc>
    </w:tr>
  </w:tbl>
  <w:p>
    <w:r>
      <w:rPr>
        <w:sz w:val="2"/>
        <w:szCs w:val="2"/>
      </w:rPr>
      <w:t xml:space="preserve"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auto" w:sz="12" w:space="0"/>
      </w:pBdr>
      <w:rPr>
        <w:sz w:val="2"/>
        <w:szCs w:val="2"/>
      </w:rPr>
    </w:pPr>
  </w:p>
  <w:tbl>
    <w:tblPr>
      <w:tblW w:w="5000" w:type="pct"/>
      <w:tblInd w:w="0" w:type="dxa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1"/>
      <w:gridCol w:w="1"/>
      <w:gridCol w:w="1"/>
    </w:tblGrid>
    <w:tr>
      <w:trPr>
        <w:trHeight w:val="1663" w:hRule="exact"/>
      </w:trPr>
      <w:tc>
        <w:tcPr>
          <w:tcW w:w="1650" w:type="pct"/>
          <w:vAlign w:val="center"/>
        </w:tcPr>
        <w:p>
          <w:r>
            <w:rPr>
              <w:rFonts w:ascii="Tahoma" w:hAnsi="Tahoma" w:cs="Tahoma"/>
              <w:b/>
              <w:color w:val="f58220"/>
              <w:sz w:val="28"/>
              <w:szCs w:val="28"/>
            </w:rPr>
            <w:t xml:space="preserve">КонсультантПлюс</w:t>
          </w:r>
          <w:r>
            <w:rPr>
              <w:rFonts w:ascii="Tahoma" w:hAnsi="Tahoma" w:cs="Tahoma"/>
              <w:b/>
              <w:sz w:val="16"/>
              <w:szCs w:val="16"/>
            </w:rPr>
            <w:br/>
            <w:t xml:space="preserve">надежная правовая поддержка</w:t>
          </w:r>
        </w:p>
      </w:tc>
      <w:tc>
        <w:tcPr>
          <w:tcW w:w="1700" w:type="pct"/>
          <w:vAlign w:val="center"/>
        </w:tcPr>
        <w:p>
          <w:pPr>
            <w:jc w:val="center"/>
          </w:pPr>
          <w:hyperlink r:id="rId1" w:history="0">
            <w:r>
              <w:rPr>
                <w:rFonts w:ascii="Tahoma" w:hAnsi="Tahoma" w:cs="Tahoma"/>
                <w:b/>
                <w:color w:val="0000ff"/>
              </w:rPr>
              <w:t xml:space="preserve">www.consultant.ru</w:t>
            </w:r>
          </w:hyperlink>
        </w:p>
      </w:tc>
      <w:tc>
        <w:tcPr>
          <w:tcW w:w="1650" w:type="pct"/>
          <w:vAlign w:val="center"/>
        </w:tcPr>
        <w:p>
          <w:pPr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 xml:space="preserve">PAGE</w:instrText>
          </w:r>
          <w:r>
            <w:fldChar w:fldCharType="separate"/>
          </w:r>
          <w:r>
            <w:rPr>
              <w:rFonts w:ascii="Tahoma" w:hAnsi="Tahoma" w:cs="Tahoma"/>
            </w:rPr>
            <w:t xml:space="preserve"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 xml:space="preserve">NUMPAGES</w:instrText>
          </w:r>
          <w:r>
            <w:fldChar w:fldCharType="separate"/>
          </w:r>
          <w:r>
            <w:rPr>
              <w:rFonts w:ascii="Tahoma" w:hAnsi="Tahoma" w:cs="Tahoma"/>
            </w:rPr>
            <w:t xml:space="preserve">5</w:t>
          </w:r>
          <w:r>
            <w:fldChar w:fldCharType="end"/>
          </w:r>
        </w:p>
      </w:tc>
    </w:tr>
  </w:tbl>
  <w:p>
    <w:r>
      <w:rPr>
        <w:sz w:val="2"/>
        <w:szCs w:val="2"/>
      </w:rPr>
      <w:t xml:space="preserve">1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5000" w:type="pct"/>
      <w:tblInd w:w="0" w:type="dxa"/>
      <w:tblLayout w:type="fixed"/>
      <w:tblCellMar>
        <w:left w:w="40" w:type="dxa"/>
        <w:right w:w="40" w:type="dxa"/>
      </w:tblCellMar>
    </w:tblPr>
    <w:tblGrid>
      <w:gridCol w:w="1"/>
      <w:gridCol w:w="1"/>
    </w:tblGrid>
    <w:tr>
      <w:trPr>
        <w:trHeight w:val="1683" w:hRule="exact"/>
      </w:trPr>
      <w:tc>
        <w:tcPr>
          <w:tcW w:w="2700" w:type="pct"/>
          <w:vAlign w:val="center"/>
        </w:tcPr>
        <w:p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 xml:space="preserve">&lt;Письмо&gt; Минфина России от 05.07.2023 N 12-12-06/62296</w:t>
            <w:br/>
            <w:t xml:space="preserve">&lt;О направлении Методических рекомендаций по содержательному напол...</w:t>
          </w:r>
        </w:p>
      </w:tc>
      <w:tc>
        <w:tcPr>
          <w:tcW w:w="2300" w:type="pct"/>
          <w:vAlign w:val="center"/>
        </w:tcPr>
        <w:p>
          <w:pPr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 w:history="0">
            <w:r>
              <w:rPr>
                <w:rFonts w:ascii="Tahoma" w:hAnsi="Tahoma" w:cs="Tahoma"/>
                <w:color w:val="0000ff"/>
                <w:sz w:val="18"/>
                <w:szCs w:val="18"/>
              </w:rPr>
              <w:t xml:space="preserve"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 xml:space="preserve">Дата сохранения: 14.04.2026</w:t>
          </w:r>
        </w:p>
      </w:tc>
    </w:tr>
  </w:tbl>
  <w:p>
    <w:pPr>
      <w:pBdr>
        <w:bottom w:val="single" w:color="auto" w:sz="12" w:space="0"/>
      </w:pBdr>
      <w:rPr>
        <w:sz w:val="2"/>
        <w:szCs w:val="2"/>
      </w:rPr>
    </w:pPr>
  </w:p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5000" w:type="pct"/>
      <w:tblInd w:w="0" w:type="dxa"/>
      <w:tblLayout w:type="fixed"/>
      <w:tblCellMar>
        <w:left w:w="40" w:type="dxa"/>
        <w:right w:w="40" w:type="dxa"/>
      </w:tblCellMar>
    </w:tblPr>
    <w:tblGrid>
      <w:gridCol w:w="1"/>
      <w:gridCol w:w="1"/>
    </w:tblGrid>
    <w:tr>
      <w:trPr>
        <w:trHeight w:val="1683" w:hRule="exact"/>
      </w:trPr>
      <w:tc>
        <w:tcPr>
          <w:tcW w:w="2700" w:type="pct"/>
          <w:vAlign w:val="center"/>
        </w:tcPr>
        <w:p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 xml:space="preserve">&lt;Письмо&gt; Минфина России от 05.07.2023 N 12-12-06/62296</w:t>
            <w:br/>
            <w:t xml:space="preserve">&lt;О направлении Методических рекомендаций по содержательному напол...</w:t>
          </w:r>
        </w:p>
      </w:tc>
      <w:tc>
        <w:tcPr>
          <w:tcW w:w="2300" w:type="pct"/>
          <w:vAlign w:val="center"/>
        </w:tcPr>
        <w:p>
          <w:pPr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 w:history="0">
            <w:r>
              <w:rPr>
                <w:rFonts w:ascii="Tahoma" w:hAnsi="Tahoma" w:cs="Tahoma"/>
                <w:color w:val="0000ff"/>
                <w:sz w:val="18"/>
                <w:szCs w:val="18"/>
              </w:rPr>
              <w:t xml:space="preserve"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 xml:space="preserve">Дата сохранения: 14.04.2026</w:t>
          </w:r>
        </w:p>
      </w:tc>
    </w:tr>
  </w:tbl>
  <w:p>
    <w:pPr>
      <w:pBdr>
        <w:bottom w:val="single" w:color="auto" w:sz="12" w:space="0"/>
      </w:pBdr>
      <w:rPr>
        <w:sz w:val="2"/>
        <w:szCs w:val="2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themeFontLang w:val="en-US" w:eastAsia="zh-CN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>
        <w:spacing w:before="0" w:after="0" w:line="24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0" w:default="1" w:customStyle="1">
    <w:name w:val="ConsPlusNormal"/>
    <w:pPr>
      <w:widowControl w:val="off"/>
    </w:pPr>
    <w:rPr>
      <w:rFonts w:ascii="Times New Roman" w:hAnsi="Times New Roman" w:cs="Times New Roman"/>
      <w:sz w:val="24"/>
      <w:lang w:val="ru-RU" w:eastAsia="ru-RU" w:bidi="ar-SA"/>
    </w:rPr>
  </w:style>
  <w:style w:type="paragraph" w:styleId="1" w:customStyle="1">
    <w:name w:val="ConsPlusNonformat"/>
    <w:pPr>
      <w:widowControl w:val="off"/>
    </w:pPr>
    <w:rPr>
      <w:rFonts w:ascii="Courier New" w:hAnsi="Courier New" w:cs="Courier New"/>
      <w:sz w:val="20"/>
      <w:lang w:val="ru-RU" w:eastAsia="ru-RU" w:bidi="ar-SA"/>
    </w:rPr>
  </w:style>
  <w:style w:type="paragraph" w:styleId="2" w:customStyle="1">
    <w:name w:val="ConsPlusTitle"/>
    <w:pPr>
      <w:widowControl w:val="off"/>
    </w:pPr>
    <w:rPr>
      <w:rFonts w:ascii="Arial" w:hAnsi="Arial" w:cs="Arial"/>
      <w:b/>
      <w:sz w:val="24"/>
      <w:lang w:val="ru-RU" w:eastAsia="ru-RU" w:bidi="ar-SA"/>
    </w:rPr>
  </w:style>
  <w:style w:type="paragraph" w:styleId="3" w:customStyle="1">
    <w:name w:val="ConsPlusCell"/>
    <w:pPr>
      <w:widowControl w:val="off"/>
    </w:pPr>
    <w:rPr>
      <w:rFonts w:ascii="Courier New" w:hAnsi="Courier New" w:cs="Courier New"/>
      <w:sz w:val="20"/>
      <w:lang w:val="ru-RU" w:eastAsia="ru-RU" w:bidi="ar-SA"/>
    </w:rPr>
  </w:style>
  <w:style w:type="paragraph" w:styleId="4" w:customStyle="1">
    <w:name w:val="ConsPlusDocList"/>
    <w:pPr>
      <w:widowControl w:val="off"/>
    </w:pPr>
    <w:rPr>
      <w:rFonts w:ascii="Tahoma" w:hAnsi="Tahoma" w:cs="Tahoma"/>
      <w:sz w:val="18"/>
      <w:lang w:val="ru-RU" w:eastAsia="ru-RU" w:bidi="ar-SA"/>
    </w:rPr>
  </w:style>
  <w:style w:type="paragraph" w:styleId="5" w:customStyle="1">
    <w:name w:val="ConsPlusTitlePage"/>
    <w:pPr>
      <w:widowControl w:val="off"/>
    </w:pPr>
    <w:rPr>
      <w:rFonts w:ascii="Tahoma" w:hAnsi="Tahoma" w:cs="Tahoma"/>
      <w:sz w:val="20"/>
      <w:lang w:val="ru-RU" w:eastAsia="ru-RU" w:bidi="ar-SA"/>
    </w:rPr>
  </w:style>
  <w:style w:type="paragraph" w:styleId="6" w:customStyle="1">
    <w:name w:val="ConsPlusJurTerm"/>
    <w:pPr>
      <w:widowControl w:val="off"/>
    </w:pPr>
    <w:rPr>
      <w:rFonts w:ascii="Tahoma" w:hAnsi="Tahoma" w:cs="Tahoma"/>
      <w:sz w:val="26"/>
      <w:lang w:val="ru-RU" w:eastAsia="ru-RU" w:bidi="ar-SA"/>
    </w:rPr>
  </w:style>
  <w:style w:type="paragraph" w:styleId="7" w:customStyle="1">
    <w:name w:val="ConsPlusTextList"/>
    <w:pPr>
      <w:widowControl w:val="off"/>
    </w:pPr>
    <w:rPr>
      <w:rFonts w:ascii="Times New Roman" w:hAnsi="Times New Roman" w:cs="Times New Roman"/>
      <w:sz w:val="24"/>
      <w:lang w:val="ru-RU" w:eastAsia="ru-RU" w:bidi="ar-SA"/>
    </w:rPr>
  </w:style>
  <w:style w:type="paragraph" w:styleId="8" w:customStyle="1">
    <w:name w:val="ConsPlusTextList"/>
    <w:pPr>
      <w:widowControl w:val="off"/>
    </w:pPr>
    <w:rPr>
      <w:rFonts w:ascii="Times New Roman" w:hAnsi="Times New Roman" w:cs="Times New Roman"/>
      <w:sz w:val="24"/>
      <w:lang w:val="ru-RU" w:eastAsia="ru-RU" w:bidi="ar-SA"/>
    </w:rPr>
  </w:style>
  <w:style w:type="paragraph" w:styleId="0" w:default="1" w:customStyle="1">
    <w:name w:val="ConsPlusNormal"/>
    <w:pPr>
      <w:widowControl w:val="off"/>
    </w:pPr>
    <w:rPr>
      <w:rFonts w:ascii="Times New Roman" w:hAnsi="Times New Roman" w:cs="Times New Roman"/>
      <w:sz w:val="24"/>
      <w:lang w:val="ru-RU" w:eastAsia="ru-RU" w:bidi="ar-SA"/>
    </w:rPr>
  </w:style>
  <w:style w:type="paragraph" w:styleId="1" w:customStyle="1">
    <w:name w:val="ConsPlusNonformat"/>
    <w:pPr>
      <w:widowControl w:val="off"/>
    </w:pPr>
    <w:rPr>
      <w:rFonts w:ascii="Courier New" w:hAnsi="Courier New" w:cs="Courier New"/>
      <w:sz w:val="20"/>
      <w:lang w:val="ru-RU" w:eastAsia="ru-RU" w:bidi="ar-SA"/>
    </w:rPr>
  </w:style>
  <w:style w:type="paragraph" w:styleId="2" w:customStyle="1">
    <w:name w:val="ConsPlusTitle"/>
    <w:pPr>
      <w:widowControl w:val="off"/>
    </w:pPr>
    <w:rPr>
      <w:rFonts w:ascii="Arial" w:hAnsi="Arial" w:cs="Arial"/>
      <w:b/>
      <w:sz w:val="24"/>
      <w:lang w:val="ru-RU" w:eastAsia="ru-RU" w:bidi="ar-SA"/>
    </w:rPr>
  </w:style>
  <w:style w:type="paragraph" w:styleId="3" w:customStyle="1">
    <w:name w:val="ConsPlusCell"/>
    <w:pPr>
      <w:widowControl w:val="off"/>
    </w:pPr>
    <w:rPr>
      <w:rFonts w:ascii="Courier New" w:hAnsi="Courier New" w:cs="Courier New"/>
      <w:sz w:val="20"/>
      <w:lang w:val="ru-RU" w:eastAsia="ru-RU" w:bidi="ar-SA"/>
    </w:rPr>
  </w:style>
  <w:style w:type="paragraph" w:styleId="4" w:customStyle="1">
    <w:name w:val="ConsPlusDocList"/>
    <w:pPr>
      <w:widowControl w:val="off"/>
    </w:pPr>
    <w:rPr>
      <w:rFonts w:ascii="Tahoma" w:hAnsi="Tahoma" w:cs="Tahoma"/>
      <w:sz w:val="18"/>
      <w:lang w:val="ru-RU" w:eastAsia="ru-RU" w:bidi="ar-SA"/>
    </w:rPr>
  </w:style>
  <w:style w:type="paragraph" w:styleId="5" w:customStyle="1">
    <w:name w:val="ConsPlusTitlePage"/>
    <w:pPr>
      <w:widowControl w:val="off"/>
    </w:pPr>
    <w:rPr>
      <w:rFonts w:ascii="Tahoma" w:hAnsi="Tahoma" w:cs="Tahoma"/>
      <w:sz w:val="20"/>
      <w:lang w:val="ru-RU" w:eastAsia="ru-RU" w:bidi="ar-SA"/>
    </w:rPr>
  </w:style>
  <w:style w:type="paragraph" w:styleId="6" w:customStyle="1">
    <w:name w:val="ConsPlusJurTerm"/>
    <w:pPr>
      <w:widowControl w:val="off"/>
    </w:pPr>
    <w:rPr>
      <w:rFonts w:ascii="Tahoma" w:hAnsi="Tahoma" w:cs="Tahoma"/>
      <w:sz w:val="26"/>
      <w:lang w:val="ru-RU" w:eastAsia="ru-RU" w:bidi="ar-SA"/>
    </w:rPr>
  </w:style>
  <w:style w:type="paragraph" w:styleId="7" w:customStyle="1">
    <w:name w:val="ConsPlusTextList"/>
    <w:pPr>
      <w:widowControl w:val="off"/>
    </w:pPr>
    <w:rPr>
      <w:rFonts w:ascii="Times New Roman" w:hAnsi="Times New Roman" w:cs="Times New Roman"/>
      <w:sz w:val="24"/>
      <w:lang w:val="ru-RU" w:eastAsia="ru-RU" w:bidi="ar-SA"/>
    </w:rPr>
  </w:style>
  <w:style w:type="paragraph" w:styleId="8" w:customStyle="1">
    <w:name w:val="ConsPlusTextList"/>
    <w:pPr>
      <w:widowControl w:val="off"/>
    </w:pPr>
    <w:rPr>
      <w:rFonts w:ascii="Times New Roman" w:hAnsi="Times New Roman" w:cs="Times New Roman"/>
      <w:sz w:val="24"/>
      <w:lang w:val="ru-RU" w:eastAsia="ru-RU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header" Target="header1.xml" /><Relationship Id="rId7" Type="http://schemas.openxmlformats.org/officeDocument/2006/relationships/header" Target="header2.xml" /><Relationship Id="rId8" Type="http://schemas.openxmlformats.org/officeDocument/2006/relationships/footer" Target="footer1.xml" /><Relationship Id="rId9" Type="http://schemas.openxmlformats.org/officeDocument/2006/relationships/footer" Target="footer2.xml" /><Relationship Id="rId10" Type="http://schemas.openxmlformats.org/officeDocument/2006/relationships/image" Target="media/image1.png"/><Relationship Id="rId11" Type="http://schemas.openxmlformats.org/officeDocument/2006/relationships/hyperlink" Target="https://www.consultant.ru" TargetMode="External"/><Relationship Id="rId12" Type="http://schemas.openxmlformats.org/officeDocument/2006/relationships/hyperlink" Target="https://www.consultant.ru" TargetMode="External"/><Relationship Id="rId13" Type="http://schemas.openxmlformats.org/officeDocument/2006/relationships/hyperlink" Target="https://login.consultant.ru/link/?req=doc&amp;base=LAW&amp;n=278903&amp;date=14.04.2026&amp;dst=100011&amp;field=134" TargetMode="External"/><Relationship Id="rId14" Type="http://schemas.openxmlformats.org/officeDocument/2006/relationships/hyperlink" Target="https://login.consultant.ru/link/?req=doc&amp;base=LAW&amp;n=480785&amp;date=14.04.2026&amp;dst=100295&amp;field=134" TargetMode="External"/><Relationship Id="rId15" Type="http://schemas.openxmlformats.org/officeDocument/2006/relationships/hyperlink" Target="https://login.consultant.ru/link/?req=doc&amp;base=LAW&amp;n=398015&amp;date=14.04.2026" TargetMode="External"/><Relationship Id="rId16" Type="http://schemas.openxmlformats.org/officeDocument/2006/relationships/hyperlink" Target="https://login.consultant.ru/link/?req=doc&amp;base=LAW&amp;n=398016&amp;date=14.04.2026" TargetMode="External"/><Relationship Id="rId17" Type="http://schemas.openxmlformats.org/officeDocument/2006/relationships/hyperlink" Target="https://login.consultant.ru/link/?req=doc&amp;base=LAW&amp;n=278903&amp;date=14.04.2026&amp;dst=100011&amp;field=134" TargetMode="External"/><Relationship Id="rId18" Type="http://schemas.openxmlformats.org/officeDocument/2006/relationships/hyperlink" Target="https://login.consultant.ru/link/?req=doc&amp;base=LAW&amp;n=527194&amp;date=14.04.2026&amp;dst=19969&amp;field=134" TargetMode="External"/><Relationship Id="rId19" Type="http://schemas.openxmlformats.org/officeDocument/2006/relationships/hyperlink" Target="https://login.consultant.ru/link/?req=doc&amp;base=LAW&amp;n=278903&amp;date=14.04.2026&amp;dst=100011&amp;field=134" TargetMode="External"/><Relationship Id="rId20" Type="http://schemas.openxmlformats.org/officeDocument/2006/relationships/hyperlink" Target="https://login.consultant.ru/link/?req=doc&amp;base=LAW&amp;n=439453&amp;date=14.04.2026&amp;dst=100009&amp;field=134" TargetMode="External"/><Relationship Id="rId21" Type="http://schemas.openxmlformats.org/officeDocument/2006/relationships/hyperlink" Target="https://login.consultant.ru/link/?req=doc&amp;base=LAW&amp;n=511498&amp;date=14.04.2026" TargetMode="External"/><Relationship Id="rId22" Type="http://schemas.openxmlformats.org/officeDocument/2006/relationships/hyperlink" Target="https://login.consultant.ru/link/?req=doc&amp;base=LAW&amp;n=439453&amp;date=14.04.2026&amp;dst=100009&amp;field=134" TargetMode="External"/><Relationship Id="rId23" Type="http://schemas.openxmlformats.org/officeDocument/2006/relationships/hyperlink" Target="https://login.consultant.ru/link/?req=doc&amp;base=LAW&amp;n=278903&amp;date=14.04.2026&amp;dst=100011&amp;field=134" TargetMode="External"/><Relationship Id="rId24" Type="http://schemas.openxmlformats.org/officeDocument/2006/relationships/hyperlink" Target="https://edu.gov.ru/" TargetMode="External"/><Relationship Id="rId25" Type="http://schemas.openxmlformats.org/officeDocument/2006/relationships/hyperlink" Target="https://minobrnauki.gov.ru/" TargetMode="External"/><Relationship Id="rId26" Type="http://schemas.openxmlformats.org/officeDocument/2006/relationships/hyperlink" Target="https://minfin.gov.ru/" TargetMode="External"/><Relationship Id="rId27" Type="http://schemas.openxmlformats.org/officeDocument/2006/relationships/hyperlink" Target="https://economy.gov.ru/" TargetMode="External"/><Relationship Id="rId28" Type="http://schemas.openxmlformats.org/officeDocument/2006/relationships/hyperlink" Target="https://cbr.ru/" TargetMode="External"/><Relationship Id="rId29" Type="http://schemas.openxmlformats.org/officeDocument/2006/relationships/hyperlink" Target="https://www.rospotrebnadzor.ru/" TargetMode="External"/><Relationship Id="rId30" Type="http://schemas.openxmlformats.org/officeDocument/2006/relationships/hyperlink" Target="https://sfr.gov.ru/" TargetMode="External"/><Relationship Id="rId31" Type="http://schemas.openxmlformats.org/officeDocument/2006/relationships/hyperlink" Target="https://fincult.info/" TargetMode="External"/><Relationship Id="rId32" Type="http://schemas.openxmlformats.org/officeDocument/2006/relationships/hyperlink" Target="https://myschool.edu.ru/" TargetMode="External"/><Relationship Id="rId33" Type="http://schemas.openxmlformats.org/officeDocument/2006/relationships/hyperlink" Target="https://resh.edu.ru/" TargetMode="External"/><Relationship Id="rId34" Type="http://schemas.openxmlformats.org/officeDocument/2006/relationships/hyperlink" Target="https://&#1089;&#1087;&#1088;&#1086;&#1089;&#1080;.&#1076;&#1086;&#1084;.&#1088;&#1092;" TargetMode="External"/><Relationship Id="rId35" Type="http://schemas.openxmlformats.org/officeDocument/2006/relationships/hyperlink" Target="https://login.consultant.ru/link/?req=doc&amp;base=LAW&amp;n=278903&amp;date=14.04.2026&amp;dst=100011&amp;field=134" TargetMode="External"/><Relationship Id="rId36" Type="http://schemas.openxmlformats.org/officeDocument/2006/relationships/hyperlink" Target="https://login.consultant.ru/link/?req=doc&amp;base=LAW&amp;n=278903&amp;date=14.04.2026&amp;dst=100011&amp;field=134" TargetMode="External"/><Relationship Id="rId37" Type="http://schemas.openxmlformats.org/officeDocument/2006/relationships/hyperlink" Target="fincult.info" TargetMode="External"/><Relationship Id="rId38" Type="http://schemas.openxmlformats.org/officeDocument/2006/relationships/hyperlink" Target="https://login.consultant.ru/link/?req=doc&amp;base=LAW&amp;n=278903&amp;date=14.04.2026&amp;dst=100011&amp;field=134" TargetMode="External"/><Relationship Id="rId39" Type="http://schemas.openxmlformats.org/officeDocument/2006/relationships/hyperlink" Target="https://login.consultant.ru/link/?req=doc&amp;base=LAW&amp;n=528383&amp;date=14.04.2026" TargetMode="External"/><Relationship Id="rId40" Type="http://schemas.openxmlformats.org/officeDocument/2006/relationships/hyperlink" Target="https://login.consultant.ru/link/?req=doc&amp;base=LAW&amp;n=278903&amp;date=14.04.2026&amp;dst=100011&amp;field=134" TargetMode="External"/><Relationship Id="rId41" Type="http://schemas.openxmlformats.org/officeDocument/2006/relationships/hyperlink" Target="https://login.consultant.ru/link/?req=doc&amp;base=LAW&amp;n=517470&amp;date=14.04.2026" TargetMode="External"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>КонсультантПлюс Версия 4025.00.50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&lt;Письмо&gt; Минфина России от 05.07.2023 N 12-12-06/62296
&lt;О направлении Методических рекомендаций по содержательному наполнению государственных программ субъектов Российской Федерации (структурных элементов государственных программ субъектов Российской Федерации)/региональных программ, направленных на повышение финансовой грамотности населения&gt;</dc:title>
  <dcterms:created xsi:type="dcterms:W3CDTF">2026-04-14T09:43:00Z</dcterms:created>
</cp:coreProperties>
</file>