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01" w:type="dxa"/>
        <w:tblInd w:w="-4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821"/>
        <w:gridCol w:w="1559"/>
        <w:gridCol w:w="567"/>
        <w:gridCol w:w="1701"/>
        <w:gridCol w:w="284"/>
        <w:gridCol w:w="5068"/>
      </w:tblGrid>
      <w:tr>
        <w:tblPrEx/>
        <w:trPr/>
        <w:tc>
          <w:tcPr>
            <w:gridSpan w:val="4"/>
            <w:tcW w:w="4648" w:type="dxa"/>
            <w:textDirection w:val="lrTb"/>
            <w:noWrap w:val="false"/>
          </w:tcPr>
          <w:p>
            <w:pPr>
              <w:pStyle w:val="761"/>
              <w:jc w:val="center"/>
              <w:widowControl w:val="off"/>
              <w:rPr>
                <w:color w:val="000000" w:themeColor="text1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2450" cy="647700"/>
                      <wp:effectExtent l="0" t="0" r="0" b="0"/>
                      <wp:docPr id="1" name="_x005F_x0000_i1026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_x005F_x0000_i1026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2450" cy="647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43.50pt;height:51.00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  <w:p>
            <w:pPr>
              <w:pStyle w:val="761"/>
              <w:jc w:val="center"/>
              <w:widowControl w:val="o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761"/>
              <w:jc w:val="center"/>
              <w:widowControl w:val="off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МИНИСТЕРСТВО</w:t>
            </w:r>
            <w:r>
              <w:rPr>
                <w:b/>
                <w:color w:val="000000" w:themeColor="text1"/>
                <w:sz w:val="26"/>
                <w:szCs w:val="26"/>
              </w:rPr>
            </w:r>
            <w:r>
              <w:rPr>
                <w:b/>
                <w:color w:val="000000" w:themeColor="text1"/>
                <w:sz w:val="26"/>
                <w:szCs w:val="26"/>
              </w:rPr>
            </w:r>
          </w:p>
          <w:p>
            <w:pPr>
              <w:pStyle w:val="761"/>
              <w:jc w:val="center"/>
              <w:widowControl w:val="off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ЭКОНОМИЧЕСКОГО РАЗВИТИЯ</w:t>
            </w:r>
            <w:r>
              <w:rPr>
                <w:b/>
                <w:color w:val="000000" w:themeColor="text1"/>
                <w:sz w:val="26"/>
                <w:szCs w:val="26"/>
              </w:rPr>
            </w:r>
            <w:r>
              <w:rPr>
                <w:b/>
                <w:color w:val="000000" w:themeColor="text1"/>
                <w:sz w:val="26"/>
                <w:szCs w:val="26"/>
              </w:rPr>
            </w:r>
          </w:p>
          <w:p>
            <w:pPr>
              <w:pStyle w:val="676"/>
              <w:jc w:val="center"/>
              <w:widowControl w:val="off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НОВОСИБИРСКОЙ ОБЛАСТИ</w:t>
            </w:r>
            <w:r>
              <w:rPr>
                <w:b/>
                <w:color w:val="000000" w:themeColor="text1"/>
              </w:rPr>
            </w:r>
            <w:r>
              <w:rPr>
                <w:b/>
                <w:color w:val="000000" w:themeColor="text1"/>
              </w:rPr>
            </w:r>
          </w:p>
          <w:p>
            <w:pPr>
              <w:pStyle w:val="676"/>
              <w:jc w:val="center"/>
              <w:widowControl w:val="off"/>
              <w:rPr>
                <w:b/>
                <w:color w:val="000000" w:themeColor="text1"/>
                <w:sz w:val="12"/>
                <w:szCs w:val="12"/>
              </w:rPr>
            </w:pPr>
            <w:r>
              <w:rPr>
                <w:b/>
                <w:color w:val="000000" w:themeColor="text1"/>
              </w:rPr>
              <w:t xml:space="preserve">(</w:t>
            </w:r>
            <w:r>
              <w:rPr>
                <w:b/>
                <w:color w:val="000000" w:themeColor="text1"/>
                <w:sz w:val="26"/>
                <w:szCs w:val="26"/>
              </w:rPr>
              <w:t xml:space="preserve">Минэкономразвития НСО</w:t>
            </w:r>
            <w:r>
              <w:rPr>
                <w:b/>
                <w:color w:val="000000" w:themeColor="text1"/>
              </w:rPr>
              <w:t xml:space="preserve">)</w:t>
            </w:r>
            <w:r>
              <w:rPr>
                <w:b/>
                <w:color w:val="000000" w:themeColor="text1"/>
                <w:sz w:val="12"/>
                <w:szCs w:val="12"/>
              </w:rPr>
            </w:r>
            <w:r>
              <w:rPr>
                <w:b/>
                <w:color w:val="000000" w:themeColor="text1"/>
                <w:sz w:val="12"/>
                <w:szCs w:val="12"/>
              </w:rPr>
            </w:r>
          </w:p>
          <w:p>
            <w:pPr>
              <w:pStyle w:val="676"/>
              <w:jc w:val="center"/>
              <w:widowControl w:val="off"/>
              <w:rPr>
                <w:b/>
                <w:color w:val="000000" w:themeColor="text1"/>
                <w:sz w:val="12"/>
                <w:szCs w:val="12"/>
              </w:rPr>
            </w:pPr>
            <w:r>
              <w:rPr>
                <w:b/>
                <w:color w:val="000000" w:themeColor="text1"/>
                <w:sz w:val="12"/>
                <w:szCs w:val="12"/>
              </w:rPr>
            </w:r>
            <w:r>
              <w:rPr>
                <w:b/>
                <w:color w:val="000000" w:themeColor="text1"/>
                <w:sz w:val="12"/>
                <w:szCs w:val="12"/>
              </w:rPr>
            </w:r>
            <w:r>
              <w:rPr>
                <w:b/>
                <w:color w:val="000000" w:themeColor="text1"/>
                <w:sz w:val="12"/>
                <w:szCs w:val="12"/>
              </w:rPr>
            </w:r>
          </w:p>
          <w:p>
            <w:pPr>
              <w:pStyle w:val="676"/>
              <w:ind w:firstLine="18"/>
              <w:jc w:val="center"/>
              <w:widowControl w:val="o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Красный проспект, д. 18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676"/>
              <w:ind w:firstLine="18"/>
              <w:jc w:val="center"/>
              <w:widowControl w:val="o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г. Новосибирск, 630007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676"/>
              <w:ind w:firstLine="18"/>
              <w:jc w:val="center"/>
              <w:widowControl w:val="o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Тел.: (383) 238-66-81</w:t>
            </w:r>
            <w:r>
              <w:rPr>
                <w:color w:val="000000" w:themeColor="text1"/>
                <w:sz w:val="20"/>
                <w:szCs w:val="27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 xml:space="preserve">Факс: (383) 238-63-98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676"/>
              <w:ind w:firstLine="18"/>
              <w:jc w:val="center"/>
              <w:widowControl w:val="o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E</w:t>
            </w:r>
            <w:r>
              <w:rPr>
                <w:color w:val="000000" w:themeColor="text1"/>
                <w:sz w:val="22"/>
                <w:szCs w:val="22"/>
              </w:rPr>
              <w:t xml:space="preserve">-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mail</w:t>
            </w:r>
            <w:r>
              <w:rPr>
                <w:color w:val="000000" w:themeColor="text1"/>
                <w:sz w:val="22"/>
                <w:szCs w:val="22"/>
              </w:rPr>
              <w:t xml:space="preserve">:  </w:t>
            </w:r>
            <w:hyperlink r:id="rId10" w:tooltip="mailto:mineconom@obladm.nso.ru" w:history="1"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mineconom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@</w:t>
              </w:r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nso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.</w:t>
              </w:r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ru</w:t>
              </w:r>
            </w:hyperlink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  <w:p>
            <w:pPr>
              <w:pStyle w:val="676"/>
              <w:jc w:val="center"/>
              <w:widowControl w:val="off"/>
              <w:rPr>
                <w:rStyle w:val="719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</w:r>
            <w:hyperlink r:id="rId11" w:tooltip="http://econom.nso.ru/" w:history="1"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http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://</w:t>
              </w:r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econom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.</w:t>
              </w:r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nso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.</w:t>
              </w:r>
              <w:r>
                <w:rPr>
                  <w:rStyle w:val="719"/>
                  <w:color w:val="000000" w:themeColor="text1"/>
                  <w:sz w:val="22"/>
                  <w:szCs w:val="22"/>
                  <w:lang w:val="en-US"/>
                </w:rPr>
                <w:t xml:space="preserve">ru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  <w:t xml:space="preserve">/</w:t>
              </w:r>
              <w:r>
                <w:rPr>
                  <w:rStyle w:val="719"/>
                  <w:color w:val="000000" w:themeColor="text1"/>
                  <w:sz w:val="22"/>
                  <w:szCs w:val="22"/>
                </w:rPr>
              </w:r>
              <w:r>
                <w:rPr>
                  <w:rStyle w:val="719"/>
                  <w:color w:val="000000" w:themeColor="text1"/>
                  <w:sz w:val="22"/>
                  <w:szCs w:val="22"/>
                  <w:highlight w:val="none"/>
                </w:rPr>
              </w:r>
            </w:hyperlink>
            <w:r>
              <w:rPr>
                <w:rStyle w:val="719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rStyle w:val="719"/>
                <w:color w:val="000000" w:themeColor="text1"/>
                <w:sz w:val="22"/>
                <w:szCs w:val="22"/>
                <w:highlight w:val="none"/>
              </w:rPr>
            </w:r>
          </w:p>
          <w:p>
            <w:pPr>
              <w:jc w:val="center"/>
              <w:widowControl w:val="off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84" w:type="dxa"/>
            <w:vMerge w:val="restart"/>
            <w:textDirection w:val="lrTb"/>
            <w:noWrap w:val="false"/>
          </w:tcPr>
          <w:p>
            <w:pPr>
              <w:pStyle w:val="676"/>
              <w:widowControl w:val="off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5068" w:type="dxa"/>
            <w:vMerge w:val="restart"/>
            <w:textDirection w:val="lrTb"/>
            <w:noWrap w:val="false"/>
          </w:tcPr>
          <w:p>
            <w:pPr>
              <w:pStyle w:val="760"/>
              <w:ind w:firstLine="27"/>
              <w:jc w:val="center"/>
              <w:spacing w:line="300" w:lineRule="auto"/>
              <w:widowControl w:val="off"/>
              <w:tabs>
                <w:tab w:val="clear" w:pos="4153" w:leader="none"/>
                <w:tab w:val="right" w:pos="8306" w:leader="none"/>
              </w:tabs>
            </w:pPr>
            <w:r/>
            <w:r/>
          </w:p>
          <w:p>
            <w:pPr>
              <w:pStyle w:val="760"/>
              <w:ind w:firstLine="27"/>
              <w:jc w:val="center"/>
              <w:spacing w:line="300" w:lineRule="auto"/>
              <w:widowControl w:val="off"/>
              <w:tabs>
                <w:tab w:val="clear" w:pos="4153" w:leader="none"/>
                <w:tab w:val="right" w:pos="8306" w:leader="none"/>
              </w:tabs>
            </w:pPr>
            <w:r/>
            <w:r/>
          </w:p>
          <w:p>
            <w:pPr>
              <w:pStyle w:val="760"/>
              <w:ind w:firstLine="27"/>
              <w:jc w:val="center"/>
              <w:spacing w:line="300" w:lineRule="auto"/>
              <w:widowControl w:val="off"/>
              <w:tabs>
                <w:tab w:val="left" w:pos="27" w:leader="none"/>
                <w:tab w:val="clear" w:pos="4153" w:leader="none"/>
                <w:tab w:val="right" w:pos="8306" w:leader="none"/>
              </w:tabs>
            </w:pPr>
            <w:r/>
            <w:r/>
          </w:p>
          <w:p>
            <w:pPr>
              <w:pStyle w:val="676"/>
              <w:jc w:val="center"/>
              <w:widowControl w:val="off"/>
            </w:pPr>
            <w:r>
              <w:t xml:space="preserve">Министру жилищно-коммунального хозяйства и энергетики Новосибирской области</w:t>
            </w:r>
            <w:r/>
          </w:p>
          <w:p>
            <w:pPr>
              <w:pStyle w:val="676"/>
              <w:jc w:val="center"/>
              <w:widowControl w:val="off"/>
            </w:pPr>
            <w:r/>
            <w:r/>
          </w:p>
          <w:p>
            <w:pPr>
              <w:pStyle w:val="676"/>
              <w:jc w:val="center"/>
              <w:widowControl w:val="off"/>
            </w:pPr>
            <w:r>
              <w:t xml:space="preserve">Е.Г. Назарову</w:t>
            </w:r>
            <w:r/>
          </w:p>
          <w:p>
            <w:pPr>
              <w:pStyle w:val="676"/>
              <w:ind w:firstLine="27"/>
              <w:widowControl w:val="off"/>
              <w:tabs>
                <w:tab w:val="left" w:pos="27" w:leader="none"/>
                <w:tab w:val="clear" w:pos="708" w:leader="none"/>
              </w:tabs>
            </w:pPr>
            <w:r/>
            <w:r/>
          </w:p>
          <w:p>
            <w:pPr>
              <w:pStyle w:val="676"/>
              <w:widowControl w:val="off"/>
              <w:rPr>
                <w:rFonts w:ascii="Verdana" w:hAnsi="Verdana"/>
                <w:b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  <w:shd w:val="clear" w:color="auto" w:fill="ffffff"/>
              </w:rPr>
            </w:r>
            <w:r>
              <w:rPr>
                <w:rFonts w:ascii="Verdana" w:hAnsi="Verdana"/>
                <w:b/>
                <w:color w:val="000000"/>
                <w:sz w:val="20"/>
                <w:szCs w:val="20"/>
                <w:shd w:val="clear" w:color="auto" w:fill="ffffff"/>
              </w:rPr>
            </w:r>
            <w:r>
              <w:rPr>
                <w:rFonts w:ascii="Verdana" w:hAnsi="Verdana"/>
                <w:b/>
                <w:color w:val="000000"/>
                <w:sz w:val="20"/>
                <w:szCs w:val="20"/>
                <w:shd w:val="clear" w:color="auto" w:fill="ffffff"/>
              </w:rPr>
            </w:r>
          </w:p>
          <w:p>
            <w:pPr>
              <w:pStyle w:val="676"/>
              <w:jc w:val="center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391"/>
        </w:trPr>
        <w:tc>
          <w:tcPr>
            <w:tcW w:w="821" w:type="dxa"/>
            <w:textDirection w:val="lrTb"/>
            <w:noWrap w:val="false"/>
          </w:tcPr>
          <w:p>
            <w:pPr>
              <w:pStyle w:val="676"/>
              <w:jc w:val="right"/>
              <w:widowControl w:val="off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  <w:textDirection w:val="lrTb"/>
            <w:noWrap w:val="false"/>
          </w:tcPr>
          <w:p>
            <w:pPr>
              <w:pStyle w:val="676"/>
              <w:widowControl w:val="off"/>
              <w:rPr>
                <w:color w:val="595959" w:themeColor="text1" w:themeTint="A6"/>
                <w:sz w:val="16"/>
                <w:szCs w:val="16"/>
              </w:rPr>
            </w:pPr>
            <w:r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>
              <w:rPr>
                <w:color w:val="d9d9d9" w:themeColor="background1" w:themeShade="D9"/>
              </w:rPr>
              <w:t xml:space="preserve">[МЕСТО ДЛЯ ШТАМПА]</w:t>
            </w:r>
            <w:r>
              <w:rPr>
                <w:color w:val="595959" w:themeColor="text1" w:themeTint="A6"/>
                <w:sz w:val="16"/>
                <w:szCs w:val="16"/>
              </w:rPr>
            </w:r>
            <w:r>
              <w:rPr>
                <w:color w:val="595959" w:themeColor="text1" w:themeTint="A6"/>
                <w:sz w:val="16"/>
                <w:szCs w:val="16"/>
              </w:rPr>
            </w:r>
          </w:p>
        </w:tc>
        <w:tc>
          <w:tcPr>
            <w:tcW w:w="284" w:type="dxa"/>
            <w:vAlign w:val="center"/>
            <w:vMerge w:val="continue"/>
            <w:textDirection w:val="lrTb"/>
            <w:noWrap w:val="false"/>
          </w:tcPr>
          <w:p>
            <w:pPr>
              <w:pStyle w:val="676"/>
              <w:widowControl w:val="off"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W w:w="5068" w:type="dxa"/>
            <w:vAlign w:val="center"/>
            <w:vMerge w:val="continue"/>
            <w:textDirection w:val="lrTb"/>
            <w:noWrap w:val="false"/>
          </w:tcPr>
          <w:p>
            <w:pPr>
              <w:pStyle w:val="676"/>
              <w:widowControl w:val="off"/>
            </w:pPr>
            <w:r/>
            <w:r/>
          </w:p>
        </w:tc>
      </w:tr>
      <w:tr>
        <w:tblPrEx/>
        <w:trPr>
          <w:trHeight w:val="291"/>
        </w:trPr>
        <w:tc>
          <w:tcPr>
            <w:tcW w:w="821" w:type="dxa"/>
            <w:vAlign w:val="bottom"/>
            <w:textDirection w:val="lrTb"/>
            <w:noWrap w:val="false"/>
          </w:tcPr>
          <w:p>
            <w:pPr>
              <w:pStyle w:val="676"/>
              <w:jc w:val="right"/>
              <w:widowControl w:val="off"/>
              <w:rPr>
                <w:sz w:val="24"/>
              </w:rPr>
            </w:pPr>
            <w:r>
              <w:rPr>
                <w:sz w:val="24"/>
              </w:rPr>
              <w:t xml:space="preserve">На 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1278-05-01-10/21-Вн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pStyle w:val="676"/>
              <w:jc w:val="right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1701" w:type="dxa"/>
            <w:vAlign w:val="bottom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19.03.2026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vAlign w:val="center"/>
            <w:vMerge w:val="continue"/>
            <w:textDirection w:val="lrTb"/>
            <w:noWrap w:val="false"/>
          </w:tcPr>
          <w:p>
            <w:pPr>
              <w:pStyle w:val="676"/>
              <w:widowControl w:val="off"/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W w:w="5068" w:type="dxa"/>
            <w:vAlign w:val="center"/>
            <w:vMerge w:val="continue"/>
            <w:textDirection w:val="lrTb"/>
            <w:noWrap w:val="false"/>
          </w:tcPr>
          <w:p>
            <w:pPr>
              <w:pStyle w:val="676"/>
              <w:widowControl w:val="off"/>
            </w:pPr>
            <w:r/>
            <w:r/>
          </w:p>
        </w:tc>
      </w:tr>
    </w:tbl>
    <w:p>
      <w:pPr>
        <w:pStyle w:val="676"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676"/>
        <w:jc w:val="both"/>
        <w:rPr>
          <w:highlight w:val="none"/>
        </w:rPr>
      </w:pPr>
      <w:r>
        <w:t xml:space="preserve">О </w:t>
      </w:r>
      <w:r>
        <w:rPr>
          <w:highlight w:val="none"/>
        </w:rPr>
        <w:t xml:space="preserve">включении мероприятия </w: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rPr>
          <w:highlight w:val="none"/>
        </w:rPr>
      </w:pPr>
      <w:r>
        <w:rPr>
          <w:highlight w:val="none"/>
        </w:rPr>
        <w:t xml:space="preserve">в </w:t>
      </w:r>
      <w:r>
        <w:rPr>
          <w:highlight w:val="none"/>
        </w:rPr>
        <w:t xml:space="preserve">госпрограмму</w:t>
      </w:r>
      <w:r>
        <w:rPr>
          <w:highlight w:val="none"/>
        </w:rPr>
      </w:r>
      <w:r>
        <w:rPr>
          <w:highlight w:val="none"/>
        </w:rPr>
      </w:r>
    </w:p>
    <w:p>
      <w:pPr>
        <w:pStyle w:val="676"/>
        <w:jc w:val="both"/>
      </w:pPr>
      <w:r/>
      <w:r/>
    </w:p>
    <w:p>
      <w:pPr>
        <w:pStyle w:val="676"/>
        <w:jc w:val="both"/>
      </w:pPr>
      <w:r/>
      <w:r/>
    </w:p>
    <w:p>
      <w:pPr>
        <w:pStyle w:val="676"/>
        <w:jc w:val="center"/>
      </w:pPr>
      <w:r>
        <w:t xml:space="preserve">Уважаемый Евгений Геннадьевич!</w:t>
      </w:r>
      <w:r/>
    </w:p>
    <w:p>
      <w:pPr>
        <w:pStyle w:val="676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</w:rPr>
      </w:pPr>
      <w:r>
        <w:rPr>
          <w:highlight w:val="none"/>
        </w:rPr>
      </w:r>
      <w:r>
        <w:t xml:space="preserve">Рассмотрев </w:t>
      </w:r>
      <w:r>
        <w:t xml:space="preserve">предложени</w:t>
      </w:r>
      <w:r>
        <w:t xml:space="preserve">е</w:t>
      </w:r>
      <w:r>
        <w:t xml:space="preserve"> о </w:t>
      </w:r>
      <w:r>
        <w:t xml:space="preserve">включении в</w:t>
      </w:r>
      <w:r>
        <w:t xml:space="preserve"> государственн</w:t>
      </w:r>
      <w:r>
        <w:t xml:space="preserve">ую</w:t>
      </w:r>
      <w:r>
        <w:t xml:space="preserve"> программ</w:t>
      </w:r>
      <w:r>
        <w:t xml:space="preserve">у</w:t>
      </w:r>
      <w:r>
        <w:t xml:space="preserve"> «Энергосбережение и повышение энергетической эффективности</w:t>
      </w:r>
      <w:r>
        <w:t xml:space="preserve"> Новосибирской области»</w:t>
      </w:r>
      <w:r>
        <w:t xml:space="preserve"> (далее – ГП «Энергосбережение»)</w:t>
      </w:r>
      <w:r>
        <w:t xml:space="preserve"> </w:t>
      </w:r>
      <w:r>
        <w:t xml:space="preserve">нового мероприятия «Устаревшее отопительное оборудование домовладений заменено на современное энергоэффективное и экологически безопасное отопительное оборудование отечественного производства</w:t>
      </w:r>
      <w:r>
        <w:t xml:space="preserve">» с софинансированием из федерального бюджета (далее </w:t>
      </w:r>
      <w:r>
        <w:t xml:space="preserve">–</w:t>
      </w:r>
      <w:r>
        <w:t xml:space="preserve"> мероприятие по замене отопительных печей в домовладениях),</w:t>
      </w:r>
      <w:r>
        <w:t xml:space="preserve"> </w:t>
      </w:r>
      <w:r>
        <w:t xml:space="preserve">сообща</w:t>
      </w:r>
      <w:r>
        <w:t xml:space="preserve">ем</w:t>
      </w:r>
      <w:r>
        <w:rPr>
          <w:highlight w:val="none"/>
        </w:rPr>
        <w:t xml:space="preserve"> следующее.</w:t>
      </w:r>
      <w:r>
        <w:rPr>
          <w:highlight w:val="none"/>
        </w:rPr>
      </w:r>
      <w:r>
        <w:rPr>
          <w:highlight w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Минэкономразвития НСО проведен анализ параметров федеральных документов, в рамках которых планируется осуществлять софинансирование вышеуказанного мероприятия, и параметров взаимосвязанных госпрограмм Новосибирской области:</w:t>
      </w:r>
      <w:r>
        <w:rPr>
          <w:highlight w:val="none"/>
        </w:rPr>
      </w:r>
      <w:r>
        <w:rPr>
          <w:highlight w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1. код целевой статьи </w:t>
      </w:r>
      <w:r>
        <w:rPr>
          <w:highlight w:val="none"/>
        </w:rPr>
        <w:t xml:space="preserve">069 0502 05 2 02 54450 521 06 соответствует федеральному проекту «Содействие развитию инфраструктуры субъектов Российской Федерации (муниципальных образований)», включенному в </w:t>
      </w:r>
      <w:r>
        <w:rPr>
          <w:highlight w:val="none"/>
        </w:rPr>
        <w:t xml:space="preserve">госпрограмму Российской Федерации «Обеспечение доступным и комфортным жильем и коммунальными услугами граждан Российской Федерации» (далее </w:t>
      </w:r>
      <w:r>
        <w:t xml:space="preserve">–</w:t>
      </w:r>
      <w:r>
        <w:rPr>
          <w:highlight w:val="none"/>
        </w:rPr>
        <w:t xml:space="preserve"> ГП РФ «Жилье»)</w:t>
      </w:r>
      <w:r>
        <w:rPr>
          <w:highlight w:val="none"/>
        </w:rPr>
        <w:t xml:space="preserve">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В соответствии с паспортом </w:t>
      </w:r>
      <w:r>
        <w:rPr>
          <w:highlight w:val="none"/>
        </w:rPr>
        <w:t xml:space="preserve">ГП РФ «Жилье» федеральный проект направлен на решение </w:t>
      </w:r>
      <w:r>
        <w:rPr>
          <w:highlight w:val="none"/>
        </w:rPr>
        <w:t xml:space="preserve">задачи </w:t>
      </w:r>
      <w:r>
        <w:rPr>
          <w:highlight w:val="none"/>
        </w:rPr>
        <w:t xml:space="preserve">«Создание условий для обеспечения качественными услугами жилищно-коммунального хозяйства граждан Российской Федерации»,</w:t>
      </w:r>
      <w:r>
        <w:rPr>
          <w:highlight w:val="none"/>
        </w:rPr>
        <w:t xml:space="preserve">  увязан с показателем «Численность населения, для которого </w:t>
      </w:r>
      <w:r>
        <w:rPr>
          <w:highlight w:val="none"/>
        </w:rPr>
        <w:t xml:space="preserve">улучшится качество предоставления коммуналь</w:t>
      </w:r>
      <w:r>
        <w:rPr>
          <w:highlight w:val="none"/>
        </w:rPr>
        <w:t xml:space="preserve">ных услуг (в сфере тепло-, водоснабжения и водоотведения)...» </w:t>
      </w:r>
      <w:r>
        <w:rPr>
          <w:highlight w:val="none"/>
        </w:rPr>
        <w:t xml:space="preserve">цели «</w:t>
      </w:r>
      <w:r>
        <w:rPr>
          <w:highlight w:val="none"/>
        </w:rPr>
        <w:t xml:space="preserve">Реализация программы модернизации коммунальной инфраструктуры и улучшение качества предоставляемых коммунальных услуг для 20 млн. человек к 2030 году».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2. в </w:t>
      </w:r>
      <w:r>
        <w:rPr>
          <w:highlight w:val="none"/>
        </w:rPr>
        <w:t xml:space="preserve"> соответствии с Правилами предоставления и распределения субсидий из федерального бюджета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</w:t>
      </w:r>
      <w:r>
        <w:rPr>
          <w:highlight w:val="none"/>
        </w:rPr>
        <w:t xml:space="preserve">зводства, предусмотренными в приложении № 29 к ГП РФ «Жилье», приоритетность </w:t>
      </w:r>
      <w:r>
        <w:t xml:space="preserve">по замене отопительных печей в домовладениях</w:t>
      </w:r>
      <w:r>
        <w:rPr>
          <w:highlight w:val="none"/>
        </w:rPr>
        <w:t xml:space="preserve">  должна быть предусмотрена на уровне субъекта РФ льготным категориям граждан, а также домовладениям, расположенных в опорных населенных пунктах, что является мерой, направленной на улучшение качества жизни граждан.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3. </w:t>
      </w:r>
      <w:r>
        <w:rPr>
          <w:highlight w:val="none"/>
        </w:rPr>
        <w:t xml:space="preserve">комплекс процессных мероприятий «Энергосбережение в системе коммунальной инфраструктуры» (далее </w:t>
      </w:r>
      <w:r>
        <w:t xml:space="preserve">–</w:t>
      </w:r>
      <w:r>
        <w:rPr>
          <w:highlight w:val="none"/>
        </w:rPr>
        <w:t xml:space="preserve"> КПМ) ГП «Энергосбережение», в который предлагается включить  мероприятие  по замене отопительных печей в домовладениях,  направлен на решение задачи «Снижение потребления топливно-энергетических ресурсов в коммунальном комплексе» и достижение цели «</w:t>
      </w:r>
      <w:r>
        <w:rPr>
          <w:highlight w:val="none"/>
        </w:rPr>
        <w:t xml:space="preserve">Повышение энергетической эффективности в коммунальном комплексе </w:t>
      </w:r>
      <w:r>
        <w:rPr>
          <w:highlight w:val="none"/>
        </w:rPr>
        <w:t xml:space="preserve">Новосибирской области при снижении удельного расхода топлива до 295,71 кг.ут/Гкал и доли потерь </w:t>
      </w:r>
      <w:r>
        <w:rPr>
          <w:highlight w:val="none"/>
        </w:rPr>
        <w:t xml:space="preserve">тепловой энергии до 21,7% к 2030 году»</w:t>
      </w:r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Показателями цели ГП «Энергосбережение» являются «Удельный расход топлива на отпущенную с коллекторов котельных в тепловую сеть тепловую энергию» и «Доля потерь тепловой энергии при ее передаче в общем объеме переданной тепловой энергии».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Таким образом основные параметры КПМ</w:t>
      </w:r>
      <w:r>
        <w:rPr>
          <w:highlight w:val="none"/>
          <w14:ligatures w14:val="none"/>
        </w:rPr>
        <w:t xml:space="preserve"> не соотносятся с целевой направленностью мероприятия </w:t>
      </w:r>
      <w:r>
        <w:t xml:space="preserve">по замене отопительных печей в домовладениях</w:t>
      </w:r>
      <w:r>
        <w:rPr>
          <w:highlight w:val="none"/>
          <w14:ligatures w14:val="none"/>
        </w:rPr>
        <w:t xml:space="preserve"> (социальная составляющая, «льготные категории»,  повышение качества жизни и безопасности проживания).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4. о</w:t>
      </w:r>
      <w:r>
        <w:rPr>
          <w:highlight w:val="none"/>
        </w:rPr>
        <w:t xml:space="preserve">топительные печи для т</w:t>
      </w:r>
      <w:r>
        <w:rPr>
          <w:highlight w:val="none"/>
        </w:rPr>
        <w:t xml:space="preserve">вердого топлива в домовладениях, которые планируется заменить в рамках нового мероприятия, не корректно относить к сфере «коммунального комплекса», поскольку они</w:t>
      </w:r>
      <w:r>
        <w:rPr>
          <w:highlight w:val="none"/>
        </w:rPr>
        <w:t xml:space="preserve"> </w:t>
      </w:r>
      <w:r>
        <w:rPr>
          <w:highlight w:val="none"/>
        </w:rPr>
        <w:t xml:space="preserve">не зависят от </w:t>
      </w:r>
      <w:r>
        <w:rPr>
          <w:highlight w:val="none"/>
        </w:rPr>
        <w:t xml:space="preserve">объектов электросетевого хозяйства, источников тепловой энергии, тепловых сетей, централизованных систем горячего водоснабжения.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  <w:t xml:space="preserve">5. 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целевыми группами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рамках </w:t>
      </w:r>
      <w:r>
        <w:rPr>
          <w:highlight w:val="none"/>
        </w:rPr>
        <w:t xml:space="preserve">госпрограммы «Жилищно-коммунальное хозяйство Новосибирской области» (далее </w:t>
      </w:r>
      <w:r>
        <w:t xml:space="preserve">–</w:t>
      </w:r>
      <w:r>
        <w:rPr>
          <w:highlight w:val="none"/>
        </w:rPr>
        <w:t xml:space="preserve">  </w:t>
      </w:r>
      <w:r>
        <w:t xml:space="preserve">ГП «ЖКХ»)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являются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пользователи жилищного фонда и объектов благоустройства – граждане и население</w:t>
      </w:r>
      <w:r>
        <w:rPr>
          <w:highlight w:val="none"/>
        </w:rPr>
        <w:t xml:space="preserve">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Цель </w:t>
      </w:r>
      <w:r>
        <w:t xml:space="preserve">ГП «ЖКХ»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: «П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овышение уровня комфортности, безопасности условий проживания населения Новосибирской области с учетом улучшения качества предоставляемых коммунальных услуг для 400 тысяч человек к 2030 году, а также сокращения непригодного для проживания жилищного фонда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»,</w:t>
      </w:r>
      <w:r>
        <w:rPr>
          <w:highlight w:val="none"/>
        </w:rPr>
        <w:t xml:space="preserve"> задача ГП «ЖКХ»: «Создание условий для обеспечения качественными услугами жилищно-коммунального хозяйства и безопасности проживания граждан на территории Новосибирской области».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540"/>
        <w:jc w:val="both"/>
        <w:spacing w:before="0" w:after="0" w:line="288" w:lineRule="atLeast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  <w14:ligatures w14:val="none"/>
        </w:rPr>
      </w:r>
      <w:r>
        <w:rPr>
          <w:highlight w:val="none"/>
        </w:rPr>
        <w:t xml:space="preserve">В ГП «ЖКХ»</w:t>
      </w:r>
      <w:r>
        <w:rPr>
          <w:highlight w:val="none"/>
        </w:rPr>
        <w:t xml:space="preserve"> реализуется </w:t>
      </w:r>
      <w:r>
        <w:rPr>
          <w:highlight w:val="none"/>
        </w:rPr>
        <w:t xml:space="preserve">КПМ «Безопасность ЖКХ», предусматривающий 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предоставление субсидий местным бюджетам на компенсацию </w:t>
      </w:r>
      <w:r>
        <w:rPr>
          <w:highlight w:val="none"/>
        </w:rPr>
        <w:t xml:space="preserve">расходов топливоснабжающим организациям в пределах расходов по перевозке твердого топлива  (угля населению) автомобильным транспортом и расходов складов топливоснабжающих организаци</w:t>
      </w:r>
      <w:r>
        <w:rPr>
          <w:highlight w:val="none"/>
          <w14:ligatures w14:val="none"/>
        </w:rPr>
        <w:t xml:space="preserve">й, что согласуется с новым мероприятием в части социальной направленности реализуемых мер.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contextualSpacing/>
        <w:ind w:firstLine="709"/>
        <w:jc w:val="both"/>
        <w:spacing w:before="0" w:after="0"/>
        <w:widowControl w:val="off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540"/>
        <w:jc w:val="both"/>
        <w:spacing w:before="0" w:after="0" w:line="288" w:lineRule="atLeast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  <w:t xml:space="preserve">На основании вышеизложенного, </w:t>
      </w:r>
      <w:r>
        <w:rPr>
          <w:b/>
          <w:bCs/>
          <w:highlight w:val="none"/>
        </w:rPr>
        <w:t xml:space="preserve">считаем целесообразным предусмотреть включение мероприятия </w:t>
      </w:r>
      <w:r>
        <w:rPr>
          <w:b/>
          <w:bCs/>
        </w:rPr>
        <w:t xml:space="preserve">по замене отопительных печей в домовладениях</w:t>
      </w:r>
      <w:r>
        <w:rPr>
          <w:b/>
          <w:bCs/>
          <w:highlight w:val="none"/>
        </w:rPr>
        <w:t xml:space="preserve"> в ГП «ЖКХ»</w:t>
      </w:r>
      <w:r>
        <w:rPr>
          <w:highlight w:val="none"/>
        </w:rPr>
        <w:t xml:space="preserve"> в рамках</w:t>
      </w:r>
      <w:r>
        <w:rPr>
          <w:highlight w:val="none"/>
        </w:rPr>
        <w:t xml:space="preserve"> в КПМ «Безопасность ЖКХ» (с выделением новой задачи и </w:t>
      </w:r>
      <w:r>
        <w:t xml:space="preserve">показателем, отражающим степень ее решения</w:t>
      </w:r>
      <w:r>
        <w:rPr>
          <w:highlight w:val="none"/>
        </w:rPr>
        <w:t xml:space="preserve">).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540"/>
        <w:jc w:val="both"/>
        <w:spacing w:before="0" w:after="0" w:line="288" w:lineRule="atLeast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676"/>
        <w:contextualSpacing/>
        <w:jc w:val="both"/>
        <w:spacing w:before="0" w:after="0"/>
        <w:widowControl w:val="off"/>
        <w:rPr>
          <w:rFonts w:eastAsia="Calibri"/>
        </w:rPr>
      </w:pPr>
      <w:r>
        <w:rPr>
          <w:rFonts w:eastAsia="Calibri"/>
        </w:rPr>
      </w:r>
      <w:r>
        <w:rPr>
          <w:rFonts w:eastAsia="Calibri"/>
        </w:rPr>
      </w:r>
      <w:r>
        <w:rPr>
          <w:rFonts w:eastAsia="Calibri"/>
        </w:rPr>
      </w:r>
    </w:p>
    <w:p>
      <w:pPr>
        <w:pStyle w:val="676"/>
        <w:contextualSpacing/>
        <w:jc w:val="both"/>
        <w:spacing w:before="0" w:after="0"/>
        <w:rPr>
          <w:rFonts w:eastAsia="Calibri"/>
        </w:rPr>
      </w:pPr>
      <w:r>
        <w:rPr>
          <w:rFonts w:eastAsia="Calibri"/>
        </w:rPr>
      </w:r>
      <w:r>
        <w:rPr>
          <w:rFonts w:eastAsia="Calibri"/>
        </w:rPr>
      </w:r>
      <w:r>
        <w:rPr>
          <w:rFonts w:eastAsia="Calibri"/>
        </w:rPr>
      </w:r>
    </w:p>
    <w:p>
      <w:pPr>
        <w:pStyle w:val="676"/>
        <w:jc w:val="both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68"/>
        <w:gridCol w:w="4962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8" w:type="dxa"/>
            <w:vAlign w:val="top"/>
            <w:textDirection w:val="lrTb"/>
            <w:noWrap w:val="false"/>
          </w:tcPr>
          <w:p>
            <w:pPr>
              <w:pStyle w:val="676"/>
              <w:jc w:val="both"/>
              <w:spacing w:line="233" w:lineRule="auto"/>
              <w:rPr>
                <w:sz w:val="27"/>
                <w:szCs w:val="27"/>
                <w:highlight w:val="white"/>
              </w:rPr>
            </w:pPr>
            <w:r>
              <w:rPr>
                <w:sz w:val="28"/>
                <w:szCs w:val="28"/>
                <w:highlight w:val="none"/>
              </w:rPr>
              <w:t xml:space="preserve">М</w:t>
            </w:r>
            <w:r>
              <w:rPr>
                <w:sz w:val="28"/>
                <w:szCs w:val="28"/>
                <w:highlight w:val="white"/>
              </w:rPr>
              <w:t xml:space="preserve">инистр</w:t>
            </w:r>
            <w:r>
              <w:rPr>
                <w:sz w:val="27"/>
                <w:szCs w:val="27"/>
                <w:highlight w:val="white"/>
              </w:rPr>
            </w:r>
            <w:r>
              <w:rPr>
                <w:sz w:val="27"/>
                <w:szCs w:val="27"/>
                <w:highlight w:val="whit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962" w:type="dxa"/>
            <w:vAlign w:val="top"/>
            <w:textDirection w:val="lrTb"/>
            <w:noWrap w:val="false"/>
          </w:tcPr>
          <w:p>
            <w:pPr>
              <w:pStyle w:val="676"/>
              <w:jc w:val="right"/>
              <w:spacing w:line="233" w:lineRule="auto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  <w:t xml:space="preserve">С.Л. Шарпф</w:t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</w:p>
        </w:tc>
      </w:tr>
    </w:tbl>
    <w:p>
      <w:pPr>
        <w:jc w:val="center"/>
        <w:rPr>
          <w:color w:val="d9d9d9" w:themeColor="background1" w:themeShade="D9"/>
          <w:highlight w:val="none"/>
        </w:rPr>
      </w:pPr>
      <w:r>
        <w:rPr>
          <w:color w:val="d9d9d9" w:themeColor="background1" w:themeShade="D9"/>
          <w:highlight w:val="none"/>
        </w:rPr>
      </w:r>
      <w:r>
        <w:rPr>
          <w:color w:val="d9d9d9" w:themeColor="background1" w:themeShade="D9"/>
          <w:highlight w:val="none"/>
        </w:rPr>
      </w:r>
      <w:r>
        <w:rPr>
          <w:color w:val="d9d9d9" w:themeColor="background1" w:themeShade="D9"/>
          <w:highlight w:val="none"/>
        </w:rPr>
      </w:r>
    </w:p>
    <w:p>
      <w:pPr>
        <w:pStyle w:val="676"/>
        <w:jc w:val="center"/>
        <w:rPr>
          <w:color w:val="d9d9d9" w:themeColor="background1" w:themeShade="D9"/>
          <w:highlight w:val="none"/>
        </w:rPr>
      </w:pPr>
      <w:r>
        <w:rPr>
          <w:color w:val="d9d9d9" w:themeColor="background1" w:themeShade="D9"/>
          <w:highlight w:val="white"/>
        </w:rPr>
        <w:t xml:space="preserve">[МЕСТО ДЛЯ ПОДПИСИ]</w:t>
      </w:r>
      <w:r>
        <w:rPr>
          <w:color w:val="d9d9d9" w:themeColor="background1" w:themeShade="D9"/>
          <w:highlight w:val="none"/>
        </w:rPr>
      </w:r>
      <w:r>
        <w:rPr>
          <w:color w:val="d9d9d9" w:themeColor="background1" w:themeShade="D9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676"/>
        <w:widowControl w:val="off"/>
        <w:rPr>
          <w:sz w:val="20"/>
          <w:szCs w:val="20"/>
        </w:rPr>
      </w:pPr>
      <w:r>
        <w:rPr>
          <w:sz w:val="20"/>
          <w:szCs w:val="20"/>
        </w:rPr>
        <w:t xml:space="preserve">О.В. Чудинова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238 67 23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headerReference w:type="default" r:id="rId8"/>
      <w:footnotePr/>
      <w:endnotePr/>
      <w:type w:val="nextPage"/>
      <w:pgSz w:w="11906" w:h="16838" w:orient="portrait"/>
      <w:pgMar w:top="794" w:right="567" w:bottom="794" w:left="1417" w:header="709" w:footer="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iberation Sans">
    <w:panose1 w:val="020B0604020202020204"/>
  </w:font>
  <w:font w:name="Tahoma">
    <w:panose1 w:val="020B0604030504040204"/>
  </w:font>
  <w:font w:name="Arial">
    <w:panose1 w:val="020B0604020202020204"/>
  </w:font>
  <w:font w:name="Arial Unicode MS">
    <w:panose1 w:val="020B0604020202020204"/>
  </w:font>
  <w:font w:name="Mangal">
    <w:panose1 w:val="02040503050406030204"/>
  </w:font>
  <w:font w:name="Microsoft YaHei">
    <w:panose1 w:val="020B0503020203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3</w:t>
    </w:r>
    <w:r>
      <w:rPr>
        <w:sz w:val="20"/>
        <w:szCs w:val="20"/>
      </w:rPr>
      <w:fldChar w:fldCharType="end"/>
    </w:r>
    <w:r>
      <w:rPr>
        <w:sz w:val="20"/>
        <w:szCs w:val="20"/>
      </w:rPr>
    </w:r>
    <w:r>
      <w:rPr>
        <w:sz w:val="20"/>
        <w:szCs w:val="20"/>
      </w:rPr>
    </w:r>
  </w:p>
  <w:p>
    <w:pPr>
      <w:pStyle w:val="760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Mangal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4">
    <w:name w:val="footnote reference"/>
    <w:basedOn w:val="702"/>
    <w:uiPriority w:val="99"/>
    <w:unhideWhenUsed/>
    <w:rPr>
      <w:vertAlign w:val="superscript"/>
    </w:rPr>
  </w:style>
  <w:style w:type="character" w:styleId="675">
    <w:name w:val="endnote reference"/>
    <w:basedOn w:val="702"/>
    <w:uiPriority w:val="99"/>
    <w:semiHidden/>
    <w:unhideWhenUsed/>
    <w:rPr>
      <w:vertAlign w:val="superscript"/>
    </w:rPr>
  </w:style>
  <w:style w:type="paragraph" w:styleId="676" w:default="1">
    <w:name w:val="Normal"/>
    <w:qFormat/>
    <w:pPr>
      <w:jc w:val="left"/>
      <w:spacing w:before="0" w:after="0"/>
      <w:widowControl/>
    </w:pPr>
    <w:rPr>
      <w:rFonts w:ascii="Times New Roman" w:hAnsi="Times New Roman" w:eastAsia="Arial Unicode MS" w:cs="Mangal"/>
      <w:color w:val="auto"/>
      <w:sz w:val="28"/>
      <w:szCs w:val="28"/>
      <w:lang w:val="ru-RU" w:eastAsia="ru-RU" w:bidi="ar-SA"/>
    </w:rPr>
  </w:style>
  <w:style w:type="paragraph" w:styleId="677">
    <w:name w:val="Heading 1"/>
    <w:basedOn w:val="676"/>
    <w:next w:val="67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8">
    <w:name w:val="Heading 2"/>
    <w:basedOn w:val="676"/>
    <w:next w:val="67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9">
    <w:name w:val="Heading 3"/>
    <w:basedOn w:val="676"/>
    <w:next w:val="67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0">
    <w:name w:val="Heading 4"/>
    <w:basedOn w:val="676"/>
    <w:next w:val="67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1">
    <w:name w:val="Heading 5"/>
    <w:basedOn w:val="676"/>
    <w:next w:val="67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82">
    <w:name w:val="Heading 6"/>
    <w:basedOn w:val="676"/>
    <w:next w:val="67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83">
    <w:name w:val="Heading 7"/>
    <w:basedOn w:val="676"/>
    <w:next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4">
    <w:name w:val="Heading 8"/>
    <w:basedOn w:val="676"/>
    <w:next w:val="67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85">
    <w:name w:val="Heading 9"/>
    <w:basedOn w:val="676"/>
    <w:next w:val="67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6">
    <w:name w:val="Heading 1 Char"/>
    <w:basedOn w:val="702"/>
    <w:uiPriority w:val="9"/>
    <w:qFormat/>
    <w:rPr>
      <w:rFonts w:ascii="Arial" w:hAnsi="Arial" w:eastAsia="Arial" w:cs="Arial"/>
      <w:sz w:val="40"/>
      <w:szCs w:val="40"/>
    </w:rPr>
  </w:style>
  <w:style w:type="character" w:styleId="687">
    <w:name w:val="Heading 2 Char"/>
    <w:basedOn w:val="702"/>
    <w:uiPriority w:val="9"/>
    <w:qFormat/>
    <w:rPr>
      <w:rFonts w:ascii="Arial" w:hAnsi="Arial" w:eastAsia="Arial" w:cs="Arial"/>
      <w:sz w:val="34"/>
    </w:rPr>
  </w:style>
  <w:style w:type="character" w:styleId="688">
    <w:name w:val="Heading 3 Char"/>
    <w:basedOn w:val="702"/>
    <w:uiPriority w:val="9"/>
    <w:qFormat/>
    <w:rPr>
      <w:rFonts w:ascii="Arial" w:hAnsi="Arial" w:eastAsia="Arial" w:cs="Arial"/>
      <w:sz w:val="30"/>
      <w:szCs w:val="30"/>
    </w:rPr>
  </w:style>
  <w:style w:type="character" w:styleId="689">
    <w:name w:val="Heading 4 Char"/>
    <w:basedOn w:val="702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690">
    <w:name w:val="Heading 5 Char"/>
    <w:basedOn w:val="702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91">
    <w:name w:val="Heading 6 Char"/>
    <w:basedOn w:val="702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92">
    <w:name w:val="Heading 7 Char"/>
    <w:basedOn w:val="702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93">
    <w:name w:val="Heading 8 Char"/>
    <w:basedOn w:val="702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94">
    <w:name w:val="Heading 9 Char"/>
    <w:basedOn w:val="702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695">
    <w:name w:val="Title Char"/>
    <w:basedOn w:val="702"/>
    <w:uiPriority w:val="10"/>
    <w:qFormat/>
    <w:rPr>
      <w:sz w:val="48"/>
      <w:szCs w:val="48"/>
    </w:rPr>
  </w:style>
  <w:style w:type="character" w:styleId="696">
    <w:name w:val="Subtitle Char"/>
    <w:basedOn w:val="702"/>
    <w:uiPriority w:val="11"/>
    <w:qFormat/>
    <w:rPr>
      <w:sz w:val="24"/>
      <w:szCs w:val="24"/>
    </w:rPr>
  </w:style>
  <w:style w:type="character" w:styleId="697">
    <w:name w:val="Quote Char"/>
    <w:uiPriority w:val="29"/>
    <w:qFormat/>
    <w:rPr>
      <w:i/>
    </w:rPr>
  </w:style>
  <w:style w:type="character" w:styleId="698">
    <w:name w:val="Intense Quote Char"/>
    <w:uiPriority w:val="30"/>
    <w:qFormat/>
    <w:rPr>
      <w:i/>
    </w:rPr>
  </w:style>
  <w:style w:type="character" w:styleId="699">
    <w:name w:val="Header Char"/>
    <w:basedOn w:val="702"/>
    <w:uiPriority w:val="99"/>
    <w:qFormat/>
  </w:style>
  <w:style w:type="character" w:styleId="700">
    <w:name w:val="Footnote Text Char"/>
    <w:uiPriority w:val="99"/>
    <w:qFormat/>
    <w:rPr>
      <w:sz w:val="18"/>
    </w:rPr>
  </w:style>
  <w:style w:type="character" w:styleId="701">
    <w:name w:val="Endnote Text Char"/>
    <w:uiPriority w:val="99"/>
    <w:qFormat/>
    <w:rPr>
      <w:sz w:val="20"/>
    </w:rPr>
  </w:style>
  <w:style w:type="character" w:styleId="702" w:default="1">
    <w:name w:val="Default Paragraph Font"/>
    <w:uiPriority w:val="1"/>
    <w:semiHidden/>
    <w:unhideWhenUsed/>
    <w:qFormat/>
  </w:style>
  <w:style w:type="character" w:styleId="703" w:customStyle="1">
    <w:name w:val="Заголовок 1 Знак"/>
    <w:uiPriority w:val="9"/>
    <w:qFormat/>
    <w:rPr>
      <w:rFonts w:ascii="Arial" w:hAnsi="Arial" w:eastAsia="Arial" w:cs="Arial"/>
      <w:sz w:val="40"/>
      <w:szCs w:val="40"/>
    </w:rPr>
  </w:style>
  <w:style w:type="character" w:styleId="704" w:customStyle="1">
    <w:name w:val="Заголовок 2 Знак"/>
    <w:uiPriority w:val="9"/>
    <w:qFormat/>
    <w:rPr>
      <w:rFonts w:ascii="Arial" w:hAnsi="Arial" w:eastAsia="Arial" w:cs="Arial"/>
      <w:sz w:val="34"/>
    </w:rPr>
  </w:style>
  <w:style w:type="character" w:styleId="705" w:customStyle="1">
    <w:name w:val="Заголовок 3 Знак"/>
    <w:uiPriority w:val="9"/>
    <w:qFormat/>
    <w:rPr>
      <w:rFonts w:ascii="Arial" w:hAnsi="Arial" w:eastAsia="Arial" w:cs="Arial"/>
      <w:sz w:val="30"/>
      <w:szCs w:val="30"/>
    </w:rPr>
  </w:style>
  <w:style w:type="character" w:styleId="706" w:customStyle="1">
    <w:name w:val="Заголовок 4 Знак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07" w:customStyle="1">
    <w:name w:val="Заголовок 5 Знак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08" w:customStyle="1">
    <w:name w:val="Заголовок 6 Знак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09" w:customStyle="1">
    <w:name w:val="Заголовок 7 Знак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10" w:customStyle="1">
    <w:name w:val="Заголовок 8 Знак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11" w:customStyle="1">
    <w:name w:val="Заголовок 9 Знак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12" w:customStyle="1">
    <w:name w:val="Заголовок Знак"/>
    <w:uiPriority w:val="10"/>
    <w:qFormat/>
    <w:rPr>
      <w:sz w:val="48"/>
      <w:szCs w:val="48"/>
    </w:rPr>
  </w:style>
  <w:style w:type="character" w:styleId="713" w:customStyle="1">
    <w:name w:val="Подзаголовок Знак"/>
    <w:uiPriority w:val="11"/>
    <w:qFormat/>
    <w:rPr>
      <w:sz w:val="24"/>
      <w:szCs w:val="24"/>
    </w:rPr>
  </w:style>
  <w:style w:type="character" w:styleId="714" w:customStyle="1">
    <w:name w:val="Цитата 2 Знак"/>
    <w:uiPriority w:val="29"/>
    <w:qFormat/>
    <w:rPr>
      <w:i/>
    </w:rPr>
  </w:style>
  <w:style w:type="character" w:styleId="715" w:customStyle="1">
    <w:name w:val="Выделенная цитата Знак"/>
    <w:uiPriority w:val="30"/>
    <w:qFormat/>
    <w:rPr>
      <w:i/>
    </w:rPr>
  </w:style>
  <w:style w:type="character" w:styleId="716" w:customStyle="1">
    <w:name w:val="Верхний колонтитул Знак"/>
    <w:uiPriority w:val="99"/>
    <w:qFormat/>
  </w:style>
  <w:style w:type="character" w:styleId="717" w:customStyle="1">
    <w:name w:val="Footer Char"/>
    <w:uiPriority w:val="99"/>
    <w:qFormat/>
  </w:style>
  <w:style w:type="character" w:styleId="718" w:customStyle="1">
    <w:name w:val="Caption Char"/>
    <w:uiPriority w:val="99"/>
    <w:qFormat/>
  </w:style>
  <w:style w:type="character" w:styleId="719">
    <w:name w:val="Hyperlink"/>
    <w:rPr>
      <w:rFonts w:ascii="Times New Roman" w:hAnsi="Times New Roman" w:cs="Times New Roman"/>
      <w:color w:val="0000ff"/>
      <w:u w:val="single"/>
    </w:rPr>
  </w:style>
  <w:style w:type="character" w:styleId="720" w:customStyle="1">
    <w:name w:val="Текст сноски Знак"/>
    <w:uiPriority w:val="99"/>
    <w:qFormat/>
    <w:rPr>
      <w:sz w:val="18"/>
    </w:rPr>
  </w:style>
  <w:style w:type="character" w:styleId="721">
    <w:name w:val="Footnote Characters"/>
    <w:uiPriority w:val="99"/>
    <w:unhideWhenUsed/>
    <w:qFormat/>
    <w:rPr>
      <w:vertAlign w:val="superscript"/>
    </w:rPr>
  </w:style>
  <w:style w:type="character" w:styleId="722">
    <w:name w:val="Footnote Anchor"/>
    <w:rPr>
      <w:vertAlign w:val="superscript"/>
    </w:rPr>
  </w:style>
  <w:style w:type="character" w:styleId="723" w:customStyle="1">
    <w:name w:val="Текст концевой сноски Знак"/>
    <w:uiPriority w:val="99"/>
    <w:qFormat/>
    <w:rPr>
      <w:sz w:val="20"/>
    </w:rPr>
  </w:style>
  <w:style w:type="character" w:styleId="724">
    <w:name w:val="Endnote Characters"/>
    <w:uiPriority w:val="99"/>
    <w:semiHidden/>
    <w:unhideWhenUsed/>
    <w:qFormat/>
    <w:rPr>
      <w:vertAlign w:val="superscript"/>
    </w:rPr>
  </w:style>
  <w:style w:type="character" w:styleId="725">
    <w:name w:val="Endnote Anchor"/>
    <w:rPr>
      <w:vertAlign w:val="superscript"/>
    </w:rPr>
  </w:style>
  <w:style w:type="character" w:styleId="726" w:customStyle="1">
    <w:name w:val="Верхний колонтитул Знак;Знак Знак"/>
    <w:uiPriority w:val="99"/>
    <w:qFormat/>
    <w:rPr>
      <w:sz w:val="28"/>
      <w:szCs w:val="28"/>
      <w:lang w:val="ru-RU" w:eastAsia="ru-RU" w:bidi="ar-SA"/>
    </w:rPr>
  </w:style>
  <w:style w:type="character" w:styleId="727" w:customStyle="1">
    <w:name w:val="Основной текст 2 Знак"/>
    <w:qFormat/>
    <w:rPr>
      <w:sz w:val="28"/>
      <w:szCs w:val="28"/>
      <w:lang w:val="ru-RU" w:eastAsia="ru-RU" w:bidi="ar-SA"/>
    </w:rPr>
  </w:style>
  <w:style w:type="character" w:styleId="728" w:customStyle="1">
    <w:name w:val="iceouttxt1"/>
    <w:qFormat/>
    <w:rPr>
      <w:rFonts w:ascii="Arial" w:hAnsi="Arial" w:cs="Arial"/>
      <w:color w:val="666666"/>
      <w:sz w:val="14"/>
      <w:szCs w:val="14"/>
    </w:rPr>
  </w:style>
  <w:style w:type="character" w:styleId="729" w:customStyle="1">
    <w:name w:val="Текст выноски Знак"/>
    <w:qFormat/>
    <w:rPr>
      <w:rFonts w:ascii="Tahoma" w:hAnsi="Tahoma" w:cs="Tahoma"/>
      <w:sz w:val="16"/>
      <w:szCs w:val="16"/>
    </w:rPr>
  </w:style>
  <w:style w:type="character" w:styleId="730" w:customStyle="1">
    <w:name w:val="Нижний колонтитул Знак"/>
    <w:qFormat/>
    <w:rPr>
      <w:sz w:val="28"/>
      <w:szCs w:val="28"/>
    </w:rPr>
  </w:style>
  <w:style w:type="character" w:styleId="731" w:customStyle="1">
    <w:name w:val="gwt-inlinelabel"/>
    <w:qFormat/>
  </w:style>
  <w:style w:type="paragraph" w:styleId="732">
    <w:name w:val="Heading"/>
    <w:basedOn w:val="676"/>
    <w:next w:val="733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733">
    <w:name w:val="Body Text"/>
    <w:basedOn w:val="676"/>
    <w:pPr>
      <w:spacing w:before="0" w:after="140" w:line="276" w:lineRule="auto"/>
    </w:pPr>
  </w:style>
  <w:style w:type="paragraph" w:styleId="734">
    <w:name w:val="List"/>
    <w:basedOn w:val="733"/>
    <w:rPr>
      <w:rFonts w:cs="Mangal"/>
    </w:rPr>
  </w:style>
  <w:style w:type="paragraph" w:styleId="735">
    <w:name w:val="Caption"/>
    <w:basedOn w:val="676"/>
    <w:next w:val="67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36">
    <w:name w:val="Index"/>
    <w:basedOn w:val="676"/>
    <w:qFormat/>
    <w:pPr>
      <w:suppressLineNumbers/>
    </w:pPr>
    <w:rPr>
      <w:rFonts w:cs="Mangal"/>
    </w:rPr>
  </w:style>
  <w:style w:type="paragraph" w:styleId="737">
    <w:name w:val="List Paragraph"/>
    <w:basedOn w:val="676"/>
    <w:uiPriority w:val="34"/>
    <w:qFormat/>
    <w:pPr>
      <w:contextualSpacing/>
      <w:ind w:left="720" w:firstLine="0"/>
      <w:spacing w:before="0" w:after="0"/>
    </w:pPr>
  </w:style>
  <w:style w:type="paragraph" w:styleId="738">
    <w:name w:val="No Spacing"/>
    <w:uiPriority w:val="1"/>
    <w:qFormat/>
    <w:pPr>
      <w:jc w:val="left"/>
      <w:spacing w:before="0" w:after="0"/>
      <w:widowControl/>
    </w:pPr>
    <w:rPr>
      <w:rFonts w:ascii="Times New Roman" w:hAnsi="Times New Roman" w:eastAsia="Arial Unicode MS" w:cs="Mangal"/>
      <w:color w:val="auto"/>
      <w:sz w:val="20"/>
      <w:szCs w:val="20"/>
      <w:lang w:val="ru-RU" w:eastAsia="zh-CN" w:bidi="ar-SA"/>
    </w:rPr>
  </w:style>
  <w:style w:type="paragraph" w:styleId="739">
    <w:name w:val="Title"/>
    <w:basedOn w:val="676"/>
    <w:next w:val="676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40">
    <w:name w:val="Subtitle"/>
    <w:basedOn w:val="676"/>
    <w:next w:val="676"/>
    <w:uiPriority w:val="11"/>
    <w:qFormat/>
    <w:pPr>
      <w:spacing w:before="200" w:after="200"/>
    </w:pPr>
    <w:rPr>
      <w:sz w:val="24"/>
      <w:szCs w:val="24"/>
    </w:rPr>
  </w:style>
  <w:style w:type="paragraph" w:styleId="741">
    <w:name w:val="Quote"/>
    <w:basedOn w:val="676"/>
    <w:next w:val="676"/>
    <w:uiPriority w:val="29"/>
    <w:qFormat/>
    <w:pPr>
      <w:ind w:left="720" w:right="720" w:firstLine="0"/>
    </w:pPr>
    <w:rPr>
      <w:i/>
    </w:rPr>
  </w:style>
  <w:style w:type="paragraph" w:styleId="742">
    <w:name w:val="Intense Quote"/>
    <w:basedOn w:val="676"/>
    <w:next w:val="676"/>
    <w:uiPriority w:val="30"/>
    <w:qFormat/>
    <w:pPr>
      <w:ind w:left="720" w:right="720" w:firstLine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43">
    <w:name w:val="Header and Footer"/>
    <w:basedOn w:val="676"/>
    <w:qFormat/>
  </w:style>
  <w:style w:type="paragraph" w:styleId="744">
    <w:name w:val="Header"/>
    <w:basedOn w:val="676"/>
    <w:uiPriority w:val="99"/>
    <w:unhideWhenUsed/>
    <w:pPr>
      <w:tabs>
        <w:tab w:val="clear" w:pos="708" w:leader="none"/>
        <w:tab w:val="center" w:pos="7143" w:leader="none"/>
        <w:tab w:val="right" w:pos="14287" w:leader="none"/>
      </w:tabs>
    </w:pPr>
  </w:style>
  <w:style w:type="paragraph" w:styleId="745">
    <w:name w:val="Footer"/>
    <w:basedOn w:val="676"/>
    <w:unhideWhenUsed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46">
    <w:name w:val="footnote text"/>
    <w:basedOn w:val="676"/>
    <w:uiPriority w:val="99"/>
    <w:semiHidden/>
    <w:unhideWhenUsed/>
    <w:pPr>
      <w:spacing w:before="0" w:after="40"/>
    </w:pPr>
    <w:rPr>
      <w:sz w:val="18"/>
    </w:rPr>
  </w:style>
  <w:style w:type="paragraph" w:styleId="747">
    <w:name w:val="endnote text"/>
    <w:basedOn w:val="676"/>
    <w:uiPriority w:val="99"/>
    <w:semiHidden/>
    <w:unhideWhenUsed/>
    <w:rPr>
      <w:sz w:val="20"/>
    </w:rPr>
  </w:style>
  <w:style w:type="paragraph" w:styleId="748">
    <w:name w:val="toc 1"/>
    <w:basedOn w:val="676"/>
    <w:next w:val="676"/>
    <w:uiPriority w:val="39"/>
    <w:unhideWhenUsed/>
    <w:pPr>
      <w:spacing w:before="0" w:after="57"/>
    </w:pPr>
  </w:style>
  <w:style w:type="paragraph" w:styleId="749">
    <w:name w:val="toc 2"/>
    <w:basedOn w:val="676"/>
    <w:next w:val="676"/>
    <w:uiPriority w:val="39"/>
    <w:unhideWhenUsed/>
    <w:pPr>
      <w:ind w:left="283" w:firstLine="0"/>
      <w:spacing w:before="0" w:after="57"/>
    </w:pPr>
  </w:style>
  <w:style w:type="paragraph" w:styleId="750">
    <w:name w:val="toc 3"/>
    <w:basedOn w:val="676"/>
    <w:next w:val="676"/>
    <w:uiPriority w:val="39"/>
    <w:unhideWhenUsed/>
    <w:pPr>
      <w:ind w:left="567" w:firstLine="0"/>
      <w:spacing w:before="0" w:after="57"/>
    </w:pPr>
  </w:style>
  <w:style w:type="paragraph" w:styleId="751">
    <w:name w:val="toc 4"/>
    <w:basedOn w:val="676"/>
    <w:next w:val="676"/>
    <w:uiPriority w:val="39"/>
    <w:unhideWhenUsed/>
    <w:pPr>
      <w:ind w:left="850" w:firstLine="0"/>
      <w:spacing w:before="0" w:after="57"/>
    </w:pPr>
  </w:style>
  <w:style w:type="paragraph" w:styleId="752">
    <w:name w:val="toc 5"/>
    <w:basedOn w:val="676"/>
    <w:next w:val="676"/>
    <w:uiPriority w:val="39"/>
    <w:unhideWhenUsed/>
    <w:pPr>
      <w:ind w:left="1134" w:firstLine="0"/>
      <w:spacing w:before="0" w:after="57"/>
    </w:pPr>
  </w:style>
  <w:style w:type="paragraph" w:styleId="753">
    <w:name w:val="toc 6"/>
    <w:basedOn w:val="676"/>
    <w:next w:val="676"/>
    <w:uiPriority w:val="39"/>
    <w:unhideWhenUsed/>
    <w:pPr>
      <w:ind w:left="1417" w:firstLine="0"/>
      <w:spacing w:before="0" w:after="57"/>
    </w:pPr>
  </w:style>
  <w:style w:type="paragraph" w:styleId="754">
    <w:name w:val="toc 7"/>
    <w:basedOn w:val="676"/>
    <w:next w:val="676"/>
    <w:uiPriority w:val="39"/>
    <w:unhideWhenUsed/>
    <w:pPr>
      <w:ind w:left="1701" w:firstLine="0"/>
      <w:spacing w:before="0" w:after="57"/>
    </w:pPr>
  </w:style>
  <w:style w:type="paragraph" w:styleId="755">
    <w:name w:val="toc 8"/>
    <w:basedOn w:val="676"/>
    <w:next w:val="676"/>
    <w:uiPriority w:val="39"/>
    <w:unhideWhenUsed/>
    <w:pPr>
      <w:ind w:left="1984" w:firstLine="0"/>
      <w:spacing w:before="0" w:after="57"/>
    </w:pPr>
  </w:style>
  <w:style w:type="paragraph" w:styleId="756">
    <w:name w:val="toc 9"/>
    <w:basedOn w:val="676"/>
    <w:next w:val="676"/>
    <w:uiPriority w:val="39"/>
    <w:unhideWhenUsed/>
    <w:pPr>
      <w:ind w:left="2268" w:firstLine="0"/>
      <w:spacing w:before="0" w:after="57"/>
    </w:pPr>
  </w:style>
  <w:style w:type="paragraph" w:styleId="757">
    <w:name w:val="Index Heading"/>
    <w:basedOn w:val="732"/>
  </w:style>
  <w:style w:type="paragraph" w:styleId="758">
    <w:name w:val="TOC Heading"/>
    <w:uiPriority w:val="39"/>
    <w:unhideWhenUsed/>
    <w:pPr>
      <w:jc w:val="left"/>
      <w:spacing w:before="0" w:after="0"/>
      <w:widowControl/>
    </w:pPr>
    <w:rPr>
      <w:rFonts w:ascii="Times New Roman" w:hAnsi="Times New Roman" w:eastAsia="Arial Unicode MS" w:cs="Mangal"/>
      <w:color w:val="auto"/>
      <w:sz w:val="20"/>
      <w:szCs w:val="20"/>
      <w:lang w:val="ru-RU" w:eastAsia="zh-CN" w:bidi="ar-SA"/>
    </w:rPr>
  </w:style>
  <w:style w:type="paragraph" w:styleId="759">
    <w:name w:val="table of figures"/>
    <w:basedOn w:val="676"/>
    <w:next w:val="676"/>
    <w:uiPriority w:val="99"/>
    <w:unhideWhenUsed/>
    <w:qFormat/>
  </w:style>
  <w:style w:type="paragraph" w:styleId="760" w:customStyle="1">
    <w:name w:val="Верхний колонтитул;Знак"/>
    <w:basedOn w:val="676"/>
    <w:uiPriority w:val="99"/>
    <w:qFormat/>
    <w:pPr>
      <w:tabs>
        <w:tab w:val="clear" w:pos="708" w:leader="none"/>
        <w:tab w:val="center" w:pos="4153" w:leader="none"/>
        <w:tab w:val="right" w:pos="8306" w:leader="none"/>
      </w:tabs>
    </w:pPr>
  </w:style>
  <w:style w:type="paragraph" w:styleId="761">
    <w:name w:val="Body Text 2"/>
    <w:basedOn w:val="676"/>
    <w:qFormat/>
    <w:pPr>
      <w:jc w:val="both"/>
    </w:pPr>
  </w:style>
  <w:style w:type="paragraph" w:styleId="762">
    <w:name w:val="Balloon Text"/>
    <w:basedOn w:val="676"/>
    <w:qFormat/>
    <w:rPr>
      <w:rFonts w:ascii="Tahoma" w:hAnsi="Tahoma" w:cs="Tahoma"/>
      <w:sz w:val="16"/>
      <w:szCs w:val="16"/>
    </w:rPr>
  </w:style>
  <w:style w:type="numbering" w:styleId="763" w:default="1">
    <w:name w:val="No List"/>
    <w:uiPriority w:val="99"/>
    <w:semiHidden/>
    <w:unhideWhenUsed/>
    <w:qFormat/>
  </w:style>
  <w:style w:type="table" w:styleId="764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765">
    <w:name w:val="Table Grid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6" w:customStyle="1">
    <w:name w:val="Table Grid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7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68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69">
    <w:name w:val="Plain Table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0">
    <w:name w:val="Plain Table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Plain Table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2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Grid Table 1 Light -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Grid Table 1 Light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2 -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dae5f1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2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3 -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dae5f1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3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4" w:customStyle="1">
    <w:name w:val="Grid Table 4 - Accent 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cPr>
        <w:shd w:val="clear" w:color="dce6f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sz="4" w:space="0"/>
        </w:tcBorders>
      </w:tcPr>
    </w:tblStylePr>
  </w:style>
  <w:style w:type="table" w:styleId="795" w:customStyle="1">
    <w:name w:val="Grid Table 4 - Accent 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sz="4" w:space="0"/>
        </w:tcBorders>
      </w:tcPr>
    </w:tblStylePr>
  </w:style>
  <w:style w:type="table" w:styleId="796" w:customStyle="1">
    <w:name w:val="Grid Table 4 - Accent 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sz="4" w:space="0"/>
        </w:tcBorders>
      </w:tcPr>
    </w:tblStylePr>
  </w:style>
  <w:style w:type="table" w:styleId="797" w:customStyle="1">
    <w:name w:val="Grid Table 4 - Accent 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sz="4" w:space="0"/>
        </w:tcBorders>
      </w:tcPr>
    </w:tblStylePr>
  </w:style>
  <w:style w:type="table" w:styleId="798" w:customStyle="1">
    <w:name w:val="Grid Table 4 - Accent 5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99" w:customStyle="1">
    <w:name w:val="Grid Table 4 - Accent 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0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801" w:customStyle="1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fill="aec4e0" w:themeFill="accent1" w:themeFillTint="75"/>
      </w:tcPr>
    </w:tblStylePr>
    <w:tblStylePr w:type="band1Vert"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</w:style>
  <w:style w:type="table" w:styleId="802" w:customStyle="1">
    <w:name w:val="Grid Table 5 Dark -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fill="e2aead" w:themeFill="accent2" w:themeFillTint="75"/>
      </w:tcPr>
    </w:tblStylePr>
    <w:tblStylePr w:type="band1Vert"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 -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fill="d0dfb2" w:themeFill="accent3" w:themeFillTint="75"/>
      </w:tcPr>
    </w:tblStylePr>
    <w:tblStylePr w:type="band1Vert"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fill="c4b7d4" w:themeFill="accent4" w:themeFillTint="75"/>
      </w:tcPr>
    </w:tblStylePr>
    <w:tblStylePr w:type="band1Vert"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fill="acd8e4" w:themeFill="accent5" w:themeFillTint="75"/>
      </w:tcPr>
    </w:tblStylePr>
    <w:tblStylePr w:type="band1Vert"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 -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fill="fbceaa" w:themeFill="accent6" w:themeFillTint="75"/>
      </w:tcPr>
    </w:tblStylePr>
    <w:tblStylePr w:type="band1Vert"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</w:style>
  <w:style w:type="table" w:styleId="807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7f7f7f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08" w:customStyle="1">
    <w:name w:val="Grid Table 6 Colorful - Accent 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a6bfdd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09" w:customStyle="1">
    <w:name w:val="Grid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9695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0" w:customStyle="1">
    <w:name w:val="Grid Table 6 Colorful - Accent 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abb59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1" w:customStyle="1">
    <w:name w:val="Grid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2a1c6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2" w:customStyle="1">
    <w:name w:val="Grid Table 6 Colorful - Accent 5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9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3" w:customStyle="1">
    <w:name w:val="Grid Table 6 Colorful - Accent 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9" w:themeColor="accent5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4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7f7f7f" w:themeColor="text1" w:themeTint="80" w:themeShade="95"/>
        <w:sz w:val="22"/>
      </w:rPr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7 Colorful - Accent 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a6bfdd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</w:tcPr>
    </w:tblStylePr>
    <w:tblStylePr w:type="firstRow">
      <w:rPr>
        <w:b/>
        <w:color w:val="a6bfdd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</w:tcPr>
    </w:tblStylePr>
    <w:tblStylePr w:type="lastCol">
      <w:rPr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a6bfdd" w:themeColor="accent1" w:themeTint="80" w:themeShade="95"/>
        <w:sz w:val="22"/>
      </w:rPr>
      <w:tcPr>
        <w:shd w:val="clear" w:color="ffffff" w:fill="ffffff" w:themeFill="light1"/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7 Colorful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9695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b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abb59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</w:tcPr>
    </w:tblStylePr>
    <w:tblStylePr w:type="firstRow">
      <w:rPr>
        <w:b/>
        <w:color w:val="9abb59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</w:tcPr>
    </w:tblStylePr>
    <w:tblStylePr w:type="lastCol">
      <w:rPr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abb59" w:themeColor="accent3" w:themeTint="FE" w:themeShade="95"/>
        <w:sz w:val="22"/>
      </w:rPr>
      <w:tcPr>
        <w:shd w:val="clear" w:color="ffffff" w:fill="ffffff" w:themeFill="light1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2a1c6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b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5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9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</w:tcPr>
    </w:tblStylePr>
    <w:tblStylePr w:type="firstRow">
      <w:rPr>
        <w:b/>
        <w:color w:val="266779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779" w:themeColor="accent5" w:themeShade="95"/>
        <w:sz w:val="22"/>
      </w:rPr>
      <w:tcPr>
        <w:shd w:val="clear" w:color="ffffff" w:fill="ffffff" w:themeFill="light1"/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15407" w:themeColor="accent6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  <w:tblStylePr w:type="firstCol">
      <w:rPr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</w:tcPr>
    </w:tblStylePr>
    <w:tblStylePr w:type="firstRow">
      <w:rPr>
        <w:b/>
        <w:color w:val="b15407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15407" w:themeColor="accent6" w:themeShade="95"/>
        <w:sz w:val="22"/>
      </w:rPr>
      <w:tcPr>
        <w:shd w:val="clear" w:color="ffffff" w:fill="ffffff" w:themeFill="light1"/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1 Light - Accent 1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1 Light - Accent 2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6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styleId="829" w:customStyle="1">
    <w:name w:val="List Table 2 -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styleId="830" w:customStyle="1">
    <w:name w:val="List Table 2 -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styleId="831" w:customStyle="1">
    <w:name w:val="List Table 2 -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styleId="832" w:customStyle="1">
    <w:name w:val="List Table 2 -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styleId="833" w:customStyle="1">
    <w:name w:val="List Table 2 -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styleId="834" w:customStyle="1">
    <w:name w:val="List Table 2 -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styleId="835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List Table 3 - Accent 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List Table 3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d99695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c3d69b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b2a1c6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2ccdc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ac090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4 -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d2dfee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4 -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efd2d2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c0504d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e5eed5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bbb59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dfd8e7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8064a2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d1eaf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bacc6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fde4d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7964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0" w:customStyle="1">
    <w:name w:val="List Table 5 Dark - Accent 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1" w:customStyle="1">
    <w:name w:val="List Table 5 Dark - Accent 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2" w:customStyle="1">
    <w:name w:val="List Table 5 Dark - Accent 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3" w:customStyle="1">
    <w:name w:val="List Table 5 Dark - Accent 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4" w:customStyle="1">
    <w:name w:val="List Table 5 Dark - Accent 5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5" w:customStyle="1">
    <w:name w:val="List Table 5 Dark - Accent 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6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sz="4" w:space="0"/>
        </w:tcBorders>
      </w:tcPr>
    </w:tblStylePr>
  </w:style>
  <w:style w:type="table" w:styleId="857" w:customStyle="1">
    <w:name w:val="List Table 6 Colorful - Accent 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a4a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58" w:customStyle="1">
    <w:name w:val="List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9695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sz="4" w:space="0"/>
        </w:tcBorders>
      </w:tcPr>
    </w:tblStylePr>
  </w:style>
  <w:style w:type="table" w:styleId="859" w:customStyle="1">
    <w:name w:val="List Table 6 Colorful -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c3d69b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sz="4" w:space="0"/>
        </w:tcBorders>
      </w:tcPr>
    </w:tblStylePr>
  </w:style>
  <w:style w:type="table" w:styleId="860" w:customStyle="1">
    <w:name w:val="List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2a1c6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sz="4" w:space="0"/>
        </w:tcBorders>
      </w:tcPr>
    </w:tblStylePr>
  </w:style>
  <w:style w:type="table" w:styleId="861" w:customStyle="1">
    <w:name w:val="List Table 6 Colorful -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2ccdc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sz="4" w:space="0"/>
        </w:tcBorders>
      </w:tcPr>
    </w:tblStylePr>
  </w:style>
  <w:style w:type="table" w:styleId="862" w:customStyle="1">
    <w:name w:val="List Table 6 Colorful -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fac090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sz="4" w:space="0"/>
        </w:tcBorders>
      </w:tcPr>
    </w:tblStylePr>
  </w:style>
  <w:style w:type="table" w:styleId="863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7f7f7f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7 Colorful - Accent 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a4a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i/>
        <w:color w:val="2a4a71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a4a71" w:themeColor="accent1" w:themeShade="95"/>
        <w:sz w:val="22"/>
      </w:rPr>
      <w:tcPr>
        <w:shd w:val="clear" w:color="ffffff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7 Colorful - Accent 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9695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i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c3d69b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</w:tcPr>
    </w:tblStylePr>
    <w:tblStylePr w:type="firstRow">
      <w:rPr>
        <w:i/>
        <w:color w:val="c3d69b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</w:tcPr>
    </w:tblStylePr>
    <w:tblStylePr w:type="lastCol">
      <w:rPr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3d69b" w:themeColor="accent3" w:themeTint="98" w:themeShade="95"/>
        <w:sz w:val="22"/>
      </w:rPr>
      <w:tcPr>
        <w:shd w:val="clear" w:color="ffffff" w:fill="ffffff" w:themeFill="light1"/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2a1c6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i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5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2ccdc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</w:tcPr>
    </w:tblStylePr>
    <w:tblStylePr w:type="firstRow">
      <w:rPr>
        <w:i/>
        <w:color w:val="92ccdc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</w:tcPr>
    </w:tblStylePr>
    <w:tblStylePr w:type="lastCol">
      <w:rPr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2ccdc" w:themeColor="accent5" w:themeTint="9A" w:themeShade="95"/>
        <w:sz w:val="22"/>
      </w:rPr>
      <w:tcPr>
        <w:shd w:val="clear" w:color="ffffff" w:fill="ffffff" w:themeFill="light1"/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fac090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</w:tcPr>
    </w:tblStylePr>
    <w:tblStylePr w:type="firstRow">
      <w:rPr>
        <w:i/>
        <w:color w:val="fac090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</w:tcPr>
    </w:tblStylePr>
    <w:tblStylePr w:type="lastCol">
      <w:rPr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fac090" w:themeColor="accent6" w:themeTint="98" w:themeShade="95"/>
        <w:sz w:val="22"/>
      </w:rPr>
      <w:tcPr>
        <w:shd w:val="clear" w:color="ffffff" w:fill="ffffff" w:themeFill="light1"/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2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871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cPr>
        <w:shd w:val="clear" w:color="5d8ac2" w:fill="5d8ac2" w:themeFill="accent1" w:themeFillTint="EA"/>
      </w:tcPr>
    </w:tblStylePr>
  </w:style>
  <w:style w:type="table" w:styleId="872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cPr>
        <w:shd w:val="clear" w:color="d99695" w:fill="d99695" w:themeFill="accent2" w:themeFillTint="97"/>
      </w:tcPr>
    </w:tblStylePr>
  </w:style>
  <w:style w:type="table" w:styleId="873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cPr>
        <w:shd w:val="clear" w:color="9abb59" w:fill="9abb59" w:themeFill="accent3" w:themeFillTint="FE"/>
      </w:tcPr>
    </w:tblStylePr>
  </w:style>
  <w:style w:type="table" w:styleId="874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cPr>
        <w:shd w:val="clear" w:color="b2a1c6" w:fill="b2a1c6" w:themeFill="accent4" w:themeFillTint="9A"/>
      </w:tcPr>
    </w:tblStylePr>
  </w:style>
  <w:style w:type="table" w:styleId="875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cPr>
        <w:shd w:val="clear" w:color="4bacc6" w:fill="4bacc6" w:themeFill="accent5"/>
      </w:tcPr>
    </w:tblStylePr>
    <w:tblStylePr w:type="firstRow">
      <w:rPr>
        <w:color w:val="f2f2f2"/>
        <w:sz w:val="22"/>
      </w:rPr>
      <w:tcPr>
        <w:shd w:val="clear" w:color="4bacc6" w:fill="4bacc6" w:themeFill="accent5"/>
      </w:tcPr>
    </w:tblStylePr>
    <w:tblStylePr w:type="lastCol">
      <w:rPr>
        <w:color w:val="f2f2f2"/>
        <w:sz w:val="22"/>
      </w:rPr>
      <w:tcPr>
        <w:shd w:val="clear" w:color="4bacc6" w:fill="4bacc6" w:themeFill="accent5"/>
      </w:tcPr>
    </w:tblStylePr>
    <w:tblStylePr w:type="lastRow">
      <w:rPr>
        <w:color w:val="f2f2f2"/>
        <w:sz w:val="22"/>
      </w:rPr>
      <w:tcPr>
        <w:shd w:val="clear" w:color="4bacc6" w:fill="4bacc6" w:themeFill="accent5"/>
      </w:tcPr>
    </w:tblStylePr>
  </w:style>
  <w:style w:type="table" w:styleId="876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79646" w:fill="f79646" w:themeFill="accent6"/>
      </w:tcPr>
    </w:tblStylePr>
    <w:tblStylePr w:type="firstRow">
      <w:rPr>
        <w:color w:val="f2f2f2"/>
        <w:sz w:val="22"/>
      </w:rPr>
      <w:tcPr>
        <w:shd w:val="clear" w:color="f79646" w:fill="f79646" w:themeFill="accent6"/>
      </w:tcPr>
    </w:tblStylePr>
    <w:tblStylePr w:type="lastCol">
      <w:rPr>
        <w:color w:val="f2f2f2"/>
        <w:sz w:val="22"/>
      </w:rPr>
      <w:tcPr>
        <w:shd w:val="clear" w:color="f79646" w:fill="f79646" w:themeFill="accent6"/>
      </w:tcPr>
    </w:tblStylePr>
    <w:tblStylePr w:type="lastRow">
      <w:rPr>
        <w:color w:val="f2f2f2"/>
        <w:sz w:val="22"/>
      </w:rPr>
      <w:tcPr>
        <w:shd w:val="clear" w:color="f79646" w:fill="f79646" w:themeFill="accent6"/>
      </w:tcPr>
    </w:tblStylePr>
  </w:style>
  <w:style w:type="table" w:styleId="877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2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878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cPr>
        <w:shd w:val="clear" w:color="5d8ac2" w:fill="5d8ac2" w:themeFill="accent1" w:themeFillTint="EA"/>
      </w:tcPr>
    </w:tblStylePr>
  </w:style>
  <w:style w:type="table" w:styleId="879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cPr>
        <w:shd w:val="clear" w:color="d99695" w:fill="d99695" w:themeFill="accent2" w:themeFillTint="97"/>
      </w:tcPr>
    </w:tblStylePr>
  </w:style>
  <w:style w:type="table" w:styleId="880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cPr>
        <w:shd w:val="clear" w:color="9abb59" w:fill="9abb59" w:themeFill="accent3" w:themeFillTint="FE"/>
      </w:tcPr>
    </w:tblStylePr>
  </w:style>
  <w:style w:type="table" w:styleId="881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cPr>
        <w:shd w:val="clear" w:color="b2a1c6" w:fill="b2a1c6" w:themeFill="accent4" w:themeFillTint="9A"/>
      </w:tcPr>
    </w:tblStylePr>
  </w:style>
  <w:style w:type="table" w:styleId="882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cPr>
        <w:shd w:val="clear" w:color="4bacc6" w:fill="4bacc6" w:themeFill="accent5"/>
      </w:tcPr>
    </w:tblStylePr>
    <w:tblStylePr w:type="firstRow">
      <w:rPr>
        <w:color w:val="f2f2f2"/>
        <w:sz w:val="22"/>
      </w:rPr>
      <w:tcPr>
        <w:shd w:val="clear" w:color="4bacc6" w:fill="4bacc6" w:themeFill="accent5"/>
      </w:tcPr>
    </w:tblStylePr>
    <w:tblStylePr w:type="lastCol">
      <w:rPr>
        <w:color w:val="f2f2f2"/>
        <w:sz w:val="22"/>
      </w:rPr>
      <w:tcPr>
        <w:shd w:val="clear" w:color="4bacc6" w:fill="4bacc6" w:themeFill="accent5"/>
      </w:tcPr>
    </w:tblStylePr>
    <w:tblStylePr w:type="lastRow">
      <w:rPr>
        <w:color w:val="f2f2f2"/>
        <w:sz w:val="22"/>
      </w:rPr>
      <w:tcPr>
        <w:shd w:val="clear" w:color="4bacc6" w:fill="4bacc6" w:themeFill="accent5"/>
      </w:tcPr>
    </w:tblStylePr>
  </w:style>
  <w:style w:type="table" w:styleId="883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79646" w:fill="f79646" w:themeFill="accent6"/>
      </w:tcPr>
    </w:tblStylePr>
    <w:tblStylePr w:type="firstRow">
      <w:rPr>
        <w:color w:val="f2f2f2"/>
        <w:sz w:val="22"/>
      </w:rPr>
      <w:tcPr>
        <w:shd w:val="clear" w:color="f79646" w:fill="f79646" w:themeFill="accent6"/>
      </w:tcPr>
    </w:tblStylePr>
    <w:tblStylePr w:type="lastCol">
      <w:rPr>
        <w:color w:val="f2f2f2"/>
        <w:sz w:val="22"/>
      </w:rPr>
      <w:tcPr>
        <w:shd w:val="clear" w:color="f79646" w:fill="f79646" w:themeFill="accent6"/>
      </w:tcPr>
    </w:tblStylePr>
    <w:tblStylePr w:type="lastRow">
      <w:rPr>
        <w:color w:val="f2f2f2"/>
        <w:sz w:val="22"/>
      </w:rPr>
      <w:tcPr>
        <w:shd w:val="clear" w:color="f79646" w:fill="f79646" w:themeFill="accent6"/>
      </w:tcPr>
    </w:tblStylePr>
  </w:style>
  <w:style w:type="table" w:styleId="884" w:customStyle="1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F7F7F" w:themeColor="text1" w:sz="12" w:space="0"/>
        </w:tcBorders>
      </w:tcPr>
    </w:tblStylePr>
  </w:style>
  <w:style w:type="table" w:styleId="885" w:customStyle="1">
    <w:name w:val="Bordered -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86" w:customStyle="1">
    <w:name w:val="Bordered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D99695" w:themeColor="accent2" w:sz="12" w:space="0"/>
        </w:tcBorders>
      </w:tcPr>
    </w:tblStylePr>
  </w:style>
  <w:style w:type="table" w:styleId="887" w:customStyle="1">
    <w:name w:val="Bordered -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C3D69B" w:themeColor="accent3" w:sz="12" w:space="0"/>
        </w:tcBorders>
      </w:tcPr>
    </w:tblStylePr>
  </w:style>
  <w:style w:type="table" w:styleId="888" w:customStyle="1">
    <w:name w:val="Bordered -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B2A1C6" w:themeColor="accent4" w:sz="12" w:space="0"/>
        </w:tcBorders>
      </w:tcPr>
    </w:tblStylePr>
  </w:style>
  <w:style w:type="table" w:styleId="889" w:customStyle="1">
    <w:name w:val="Bordered -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92CCDC" w:themeColor="accent5" w:sz="12" w:space="0"/>
        </w:tcBorders>
      </w:tcPr>
    </w:tblStylePr>
  </w:style>
  <w:style w:type="table" w:styleId="890" w:customStyle="1">
    <w:name w:val="Bordered -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04040"/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AC090" w:themeColor="accent6" w:sz="12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wmf"/><Relationship Id="rId10" Type="http://schemas.openxmlformats.org/officeDocument/2006/relationships/hyperlink" Target="mailto:mineconom@obladm.nso.ru" TargetMode="External"/><Relationship Id="rId11" Type="http://schemas.openxmlformats.org/officeDocument/2006/relationships/hyperlink" Target="http://econom.nso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ANO</Compan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chln</dc:creator>
  <dc:description/>
  <dc:language>ru-RU</dc:language>
  <cp:revision>18</cp:revision>
  <dcterms:created xsi:type="dcterms:W3CDTF">2022-11-24T03:46:00Z</dcterms:created>
  <dcterms:modified xsi:type="dcterms:W3CDTF">2026-03-20T07:30:19Z</dcterms:modified>
  <cp:version>1048576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