
<file path=[Content_Types].xml><?xml version="1.0" encoding="utf-8"?>
<Types xmlns="http://schemas.openxmlformats.org/package/2006/content-types">
  <Default Extension="svg" ContentType="image/svg+xml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035" w:type="dxa"/>
        <w:tblInd w:w="-4" w:type="dxa"/>
        <w:tblLayout w:type="fixed"/>
        <w:tblLook w:val="01E0" w:firstRow="1" w:lastRow="1" w:firstColumn="1" w:lastColumn="1" w:noHBand="0" w:noVBand="0"/>
      </w:tblPr>
      <w:tblGrid>
        <w:gridCol w:w="821"/>
        <w:gridCol w:w="1559"/>
        <w:gridCol w:w="567"/>
        <w:gridCol w:w="1701"/>
        <w:gridCol w:w="284"/>
        <w:gridCol w:w="5103"/>
      </w:tblGrid>
      <w:tr>
        <w:tblPrEx/>
        <w:trPr/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648" w:type="dxa"/>
            <w:textDirection w:val="lrTb"/>
            <w:noWrap w:val="false"/>
          </w:tcPr>
          <w:p>
            <w:pPr>
              <w:pStyle w:val="874"/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6100" cy="651510"/>
                      <wp:effectExtent l="0" t="0" r="0" b="0"/>
                      <wp:docPr id="1" name="_x0000_i102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546100" cy="651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43.00pt;height:51.30pt;mso-wrap-distance-left:0.00pt;mso-wrap-distance-top:0.00pt;mso-wrap-distance-right:0.00pt;mso-wrap-distance-bottom:0.00pt;" stroked="f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Style w:val="874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</w:p>
          <w:p>
            <w:pPr>
              <w:pStyle w:val="87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МИНИСТЕРСТВО</w:t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  <w:p>
            <w:pPr>
              <w:pStyle w:val="87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ЭКОНОМИЧЕСКОГО РАЗВИТИЯ</w:t>
            </w: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НОВОСИБИРСКОЙ ОБЛАСТИ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</w:rPr>
              <w:t xml:space="preserve">(</w:t>
            </w:r>
            <w:r>
              <w:rPr>
                <w:b/>
                <w:sz w:val="26"/>
                <w:szCs w:val="26"/>
              </w:rPr>
              <w:t xml:space="preserve">Минэкономразвития НСО</w:t>
            </w:r>
            <w:r>
              <w:rPr>
                <w:b/>
              </w:rPr>
              <w:t xml:space="preserve">)</w:t>
            </w:r>
            <w:r>
              <w:rPr>
                <w:b/>
                <w:sz w:val="12"/>
                <w:szCs w:val="12"/>
              </w:rPr>
            </w:r>
            <w:r>
              <w:rPr>
                <w:b/>
                <w:sz w:val="12"/>
                <w:szCs w:val="12"/>
              </w:rPr>
            </w:r>
          </w:p>
          <w:p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  <w:r>
              <w:rPr>
                <w:b/>
                <w:sz w:val="12"/>
                <w:szCs w:val="12"/>
              </w:rPr>
            </w:r>
            <w:r>
              <w:rPr>
                <w:b/>
                <w:sz w:val="12"/>
                <w:szCs w:val="12"/>
              </w:rPr>
            </w:r>
          </w:p>
          <w:p>
            <w:pPr>
              <w:ind w:firstLine="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Красный проспект, д.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firstLine="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г. Новосибирск, 630007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firstLine="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Тел.: (383) 238-66-81</w:t>
            </w:r>
            <w:r>
              <w:rPr>
                <w:sz w:val="20"/>
                <w:szCs w:val="27"/>
              </w:rPr>
              <w:t xml:space="preserve"> </w:t>
            </w:r>
            <w:r>
              <w:rPr>
                <w:sz w:val="22"/>
                <w:szCs w:val="22"/>
              </w:rPr>
              <w:t xml:space="preserve">Факс: (383) 238-63-98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firstLine="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E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en-US"/>
              </w:rPr>
              <w:t xml:space="preserve">mail</w:t>
            </w:r>
            <w:r>
              <w:rPr>
                <w:sz w:val="22"/>
                <w:szCs w:val="22"/>
              </w:rPr>
              <w:t xml:space="preserve">:  </w:t>
            </w:r>
            <w:hyperlink r:id="rId11" w:tooltip="mailto:mineconom@obladm.nso.ru" w:history="1">
              <w:r>
                <w:rPr>
                  <w:rStyle w:val="853"/>
                  <w:sz w:val="22"/>
                  <w:szCs w:val="22"/>
                  <w:lang w:val="en-US"/>
                </w:rPr>
                <w:t xml:space="preserve">mineconom</w:t>
              </w:r>
              <w:r>
                <w:rPr>
                  <w:rStyle w:val="853"/>
                  <w:sz w:val="22"/>
                  <w:szCs w:val="22"/>
                </w:rPr>
                <w:t xml:space="preserve">@</w:t>
              </w:r>
              <w:r>
                <w:rPr>
                  <w:rStyle w:val="853"/>
                  <w:sz w:val="22"/>
                  <w:szCs w:val="22"/>
                  <w:lang w:val="en-US"/>
                </w:rPr>
                <w:t xml:space="preserve">nso</w:t>
              </w:r>
              <w:r>
                <w:rPr>
                  <w:rStyle w:val="853"/>
                  <w:sz w:val="22"/>
                  <w:szCs w:val="22"/>
                </w:rPr>
                <w:t xml:space="preserve">.</w:t>
              </w:r>
              <w:r>
                <w:rPr>
                  <w:rStyle w:val="853"/>
                  <w:sz w:val="22"/>
                  <w:szCs w:val="22"/>
                  <w:lang w:val="en-US"/>
                </w:rPr>
                <w:t xml:space="preserve">ru</w:t>
              </w:r>
            </w:hyperlink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http</w:t>
            </w:r>
            <w:r>
              <w:rPr>
                <w:sz w:val="22"/>
                <w:szCs w:val="22"/>
              </w:rPr>
              <w:t xml:space="preserve">://</w:t>
            </w:r>
            <w:r>
              <w:rPr>
                <w:sz w:val="22"/>
                <w:szCs w:val="22"/>
                <w:lang w:val="en-US"/>
              </w:rPr>
              <w:t xml:space="preserve">econom</w:t>
            </w:r>
            <w:r>
              <w:rPr>
                <w:sz w:val="22"/>
                <w:szCs w:val="22"/>
              </w:rPr>
              <w:t xml:space="preserve">.</w:t>
            </w:r>
            <w:r>
              <w:rPr>
                <w:sz w:val="22"/>
                <w:szCs w:val="22"/>
                <w:lang w:val="en-US"/>
              </w:rPr>
              <w:t xml:space="preserve">nso</w:t>
            </w:r>
            <w:r>
              <w:rPr>
                <w:sz w:val="22"/>
                <w:szCs w:val="22"/>
              </w:rPr>
              <w:t xml:space="preserve">.</w:t>
            </w:r>
            <w:r>
              <w:rPr>
                <w:sz w:val="22"/>
                <w:szCs w:val="22"/>
                <w:lang w:val="en-US"/>
              </w:rPr>
              <w:t xml:space="preserve">ru</w:t>
            </w:r>
            <w:r>
              <w:rPr>
                <w:sz w:val="22"/>
                <w:szCs w:val="22"/>
              </w:rPr>
              <w:t xml:space="preserve">/</w:t>
            </w: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</w:p>
          <w:p>
            <w:pPr>
              <w:jc w:val="center"/>
              <w:rPr>
                <w:sz w:val="16"/>
                <w:szCs w:val="22"/>
                <w:lang w:val="en-US"/>
              </w:rPr>
            </w:pPr>
            <w:r>
              <w:rPr>
                <w:sz w:val="16"/>
                <w:szCs w:val="22"/>
                <w:lang w:val="en-US"/>
              </w:rPr>
            </w:r>
            <w:r>
              <w:rPr>
                <w:sz w:val="16"/>
                <w:szCs w:val="22"/>
                <w:lang w:val="en-US"/>
              </w:rPr>
            </w:r>
            <w:r>
              <w:rPr>
                <w:sz w:val="16"/>
                <w:szCs w:val="22"/>
                <w:lang w:val="en-US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84" w:type="dxa"/>
            <w:vMerge w:val="restart"/>
            <w:textDirection w:val="lrTb"/>
            <w:noWrap w:val="false"/>
          </w:tcPr>
          <w:p>
            <w:pPr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03" w:type="dxa"/>
            <w:vMerge w:val="restart"/>
            <w:textDirection w:val="lrTb"/>
            <w:noWrap w:val="false"/>
          </w:tcPr>
          <w:p>
            <w:pPr>
              <w:pStyle w:val="872"/>
              <w:ind w:firstLine="720"/>
              <w:jc w:val="center"/>
              <w:spacing w:line="300" w:lineRule="auto"/>
              <w:tabs>
                <w:tab w:val="left" w:pos="708" w:leader="none"/>
              </w:tabs>
            </w:pPr>
            <w:r/>
            <w:r/>
          </w:p>
          <w:p>
            <w:pPr>
              <w:pStyle w:val="872"/>
              <w:ind w:firstLine="720"/>
              <w:jc w:val="center"/>
              <w:spacing w:line="300" w:lineRule="auto"/>
              <w:tabs>
                <w:tab w:val="left" w:pos="708" w:leader="none"/>
              </w:tabs>
            </w:pPr>
            <w:r/>
            <w:r/>
          </w:p>
          <w:p>
            <w:pPr>
              <w:pStyle w:val="872"/>
              <w:ind w:firstLine="720"/>
              <w:jc w:val="center"/>
              <w:spacing w:line="300" w:lineRule="auto"/>
              <w:tabs>
                <w:tab w:val="left" w:pos="708" w:leader="none"/>
              </w:tabs>
            </w:pPr>
            <w:r/>
            <w:r/>
          </w:p>
          <w:p>
            <w:pPr>
              <w:ind w:left="459" w:right="-108"/>
              <w:jc w:val="center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Министру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ind w:left="459" w:right="-108"/>
              <w:jc w:val="center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здравоохранения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ind w:left="459" w:right="-108"/>
              <w:jc w:val="center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Новосибирской области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ind w:left="459" w:right="-108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  <w:p>
            <w:pPr>
              <w:ind w:left="459" w:right="-108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Р.М</w:t>
            </w:r>
            <w:r>
              <w:rPr>
                <w:bCs/>
                <w:color w:val="000000"/>
              </w:rPr>
              <w:t xml:space="preserve">. Заблоцкий</w:t>
            </w:r>
            <w:r>
              <w:rPr>
                <w:bCs/>
                <w:color w:val="000000"/>
              </w:rPr>
            </w:r>
            <w:r>
              <w:rPr>
                <w:bCs/>
                <w:color w:val="000000"/>
              </w:rPr>
            </w:r>
          </w:p>
          <w:p>
            <w:r/>
            <w:r/>
          </w:p>
          <w:p>
            <w:r/>
            <w:r/>
          </w:p>
        </w:tc>
      </w:tr>
      <w:tr>
        <w:tblPrEx/>
        <w:trPr/>
        <w:tc>
          <w:tcPr>
            <w:tcW w:w="821" w:type="dxa"/>
            <w:textDirection w:val="lrTb"/>
            <w:noWrap w:val="false"/>
          </w:tcPr>
          <w:p>
            <w:pPr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827" w:type="dxa"/>
            <w:textDirection w:val="lrTb"/>
            <w:noWrap w:val="false"/>
          </w:tcPr>
          <w:p>
            <w:pPr>
              <w:rPr>
                <w:color w:val="ffffff"/>
                <w:sz w:val="6"/>
                <w:szCs w:val="6"/>
              </w:rPr>
            </w:pPr>
            <w:r>
              <w:rPr>
                <w:color w:val="000000"/>
              </w:rPr>
              <w:t xml:space="preserve">    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ffffff"/>
              </w:rPr>
              <w:t xml:space="preserve">[МЕСТО ДЛЯ ШТАМПА]</w:t>
            </w:r>
            <w:r>
              <w:rPr>
                <w:color w:val="ffffff"/>
                <w:sz w:val="6"/>
                <w:szCs w:val="6"/>
              </w:rPr>
            </w:r>
            <w:r>
              <w:rPr>
                <w:color w:val="ffffff"/>
                <w:sz w:val="6"/>
                <w:szCs w:val="6"/>
              </w:rPr>
            </w:r>
          </w:p>
          <w:p>
            <w:pPr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  <w:r>
              <w:rPr>
                <w:sz w:val="6"/>
                <w:szCs w:val="6"/>
              </w:rPr>
            </w:r>
            <w:r>
              <w:rPr>
                <w:sz w:val="6"/>
                <w:szCs w:val="6"/>
              </w:rPr>
            </w:r>
          </w:p>
        </w:tc>
        <w:tc>
          <w:tcPr>
            <w:tcW w:w="284" w:type="dxa"/>
            <w:vAlign w:val="center"/>
            <w:vMerge w:val="continue"/>
            <w:textDirection w:val="lrTb"/>
            <w:noWrap w:val="false"/>
          </w:tcPr>
          <w:p>
            <w:pPr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W w:w="5103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>
          <w:trHeight w:val="291"/>
        </w:trPr>
        <w:tc>
          <w:tcPr>
            <w:tcW w:w="821" w:type="dxa"/>
            <w:vAlign w:val="bottom"/>
            <w:textDirection w:val="lrTb"/>
            <w:noWrap w:val="false"/>
          </w:tcPr>
          <w:p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На №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59" w:type="dxa"/>
            <w:vAlign w:val="bottom"/>
            <w:textDirection w:val="lrTb"/>
            <w:noWrap w:val="false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10-12/2045/24-Вн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701" w:type="dxa"/>
            <w:vAlign w:val="bottom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02</w:t>
            </w:r>
            <w:r>
              <w:rPr>
                <w:sz w:val="18"/>
                <w:szCs w:val="18"/>
              </w:rPr>
              <w:t xml:space="preserve">.0</w:t>
            </w:r>
            <w:r>
              <w:rPr>
                <w:sz w:val="18"/>
                <w:szCs w:val="18"/>
              </w:rPr>
              <w:t xml:space="preserve">4</w:t>
            </w:r>
            <w:r>
              <w:rPr>
                <w:sz w:val="18"/>
                <w:szCs w:val="18"/>
              </w:rPr>
              <w:t xml:space="preserve">.2026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84" w:type="dxa"/>
            <w:vAlign w:val="center"/>
            <w:vMerge w:val="continue"/>
            <w:textDirection w:val="lrTb"/>
            <w:noWrap w:val="false"/>
          </w:tcPr>
          <w:p>
            <w:pPr>
              <w:rPr>
                <w:lang w:val="de-DE"/>
              </w:rPr>
            </w:pPr>
            <w:r>
              <w:rPr>
                <w:lang w:val="de-DE"/>
              </w:rPr>
            </w:r>
            <w:r>
              <w:rPr>
                <w:lang w:val="de-DE"/>
              </w:rPr>
            </w:r>
            <w:r>
              <w:rPr>
                <w:lang w:val="de-DE"/>
              </w:rPr>
            </w:r>
          </w:p>
        </w:tc>
        <w:tc>
          <w:tcPr>
            <w:tcW w:w="5103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</w:tbl>
    <w:p>
      <w:pPr>
        <w:spacing w:line="252" w:lineRule="auto"/>
      </w:pPr>
      <w:r/>
      <w:r/>
    </w:p>
    <w:p>
      <w:pPr>
        <w:spacing w:line="252" w:lineRule="auto"/>
      </w:pPr>
      <w:r>
        <w:t xml:space="preserve">О рассмотрении запроса на изменение</w:t>
      </w:r>
      <w:r/>
    </w:p>
    <w:p>
      <w:pPr>
        <w:spacing w:line="252" w:lineRule="auto"/>
      </w:pPr>
      <w:r>
        <w:t xml:space="preserve">наименования мероприятия (результата)</w:t>
      </w:r>
      <w:r/>
    </w:p>
    <w:p>
      <w:pPr>
        <w:jc w:val="both"/>
        <w:spacing w:line="252" w:lineRule="auto"/>
      </w:pPr>
      <w:r/>
      <w:r/>
    </w:p>
    <w:p>
      <w:pPr>
        <w:jc w:val="both"/>
        <w:spacing w:line="252" w:lineRule="auto"/>
      </w:pPr>
      <w:r/>
      <w:r/>
    </w:p>
    <w:p>
      <w:pPr>
        <w:jc w:val="both"/>
        <w:spacing w:line="252" w:lineRule="auto"/>
      </w:pPr>
      <w:r/>
      <w:r/>
    </w:p>
    <w:p>
      <w:pPr>
        <w:jc w:val="center"/>
        <w:spacing w:line="252" w:lineRule="auto"/>
      </w:pPr>
      <w:r>
        <w:t xml:space="preserve">Уважаемый Ростислав Михайлович</w:t>
      </w:r>
      <w:r>
        <w:t xml:space="preserve">!</w:t>
      </w:r>
      <w:r/>
    </w:p>
    <w:p>
      <w:pPr>
        <w:ind w:firstLine="709"/>
        <w:jc w:val="both"/>
        <w:spacing w:line="252" w:lineRule="auto"/>
      </w:pPr>
      <w:r/>
      <w:r/>
    </w:p>
    <w:p>
      <w:pPr>
        <w:ind w:firstLine="709"/>
        <w:jc w:val="both"/>
        <w:spacing w:line="252" w:lineRule="auto"/>
        <w:rPr>
          <w:color w:val="000000"/>
        </w:rPr>
      </w:pPr>
      <w:r>
        <w:rPr>
          <w:color w:val="000000"/>
        </w:rPr>
        <w:t xml:space="preserve">Рассмотрев запрос министерства </w:t>
      </w:r>
      <w:r>
        <w:rPr>
          <w:color w:val="000000"/>
        </w:rPr>
        <w:t xml:space="preserve">здравоохранения </w:t>
      </w:r>
      <w:r>
        <w:rPr>
          <w:color w:val="000000"/>
        </w:rPr>
        <w:t xml:space="preserve">Новосибирской области (далее – Мин</w:t>
      </w:r>
      <w:r>
        <w:rPr>
          <w:color w:val="000000"/>
        </w:rPr>
        <w:t xml:space="preserve">здрав</w:t>
      </w:r>
      <w:r>
        <w:rPr>
          <w:color w:val="000000"/>
        </w:rPr>
        <w:t xml:space="preserve"> НСО) о планируемом изменении наименования мероприятия (результата) </w:t>
      </w:r>
      <w:r>
        <w:rPr>
          <w:color w:val="000000"/>
        </w:rPr>
        <w:t xml:space="preserve">«Обеспечены продуктами лечебного (энтерального) питания, пациенты нуждающиеся в оказании паллиативной медицинской помощи на дому, в том числе ветераны боевых действий», входящего в состав комплекса процессных мероприятий «Па</w:t>
      </w:r>
      <w:r>
        <w:rPr>
          <w:color w:val="000000"/>
        </w:rPr>
        <w:t xml:space="preserve">ллиативная помощь, в том числе детям» (далее – КПМ) государственной программы Новосибирской области «Развитие здравоохранения Новосибирской области», утвержденной постановлением Правительства Новосибирской области от 07.05.2013 № 199-п, сообщаем следующее.</w:t>
      </w:r>
      <w:r>
        <w:rPr>
          <w:color w:val="000000"/>
        </w:rPr>
      </w:r>
      <w:r>
        <w:rPr>
          <w:color w:val="000000"/>
        </w:rPr>
      </w:r>
    </w:p>
    <w:p>
      <w:pPr>
        <w:ind w:firstLine="709"/>
        <w:jc w:val="both"/>
        <w:spacing w:line="252" w:lineRule="auto"/>
        <w:rPr>
          <w:color w:val="000000"/>
          <w:highlight w:val="none"/>
        </w:rPr>
      </w:pPr>
      <w:r>
        <w:rPr>
          <w:color w:val="000000"/>
        </w:rPr>
      </w:r>
      <w:r>
        <w:rPr>
          <w:color w:val="000000"/>
        </w:rPr>
        <w:t xml:space="preserve">Представленный запрос содержит ограниченную информацию в отношении причин (необходимости) </w:t>
      </w:r>
      <w:r>
        <w:rPr>
          <w:color w:val="000000"/>
        </w:rPr>
        <w:t xml:space="preserve">изменения наименования мероприятия (результата) </w:t>
      </w:r>
      <w:r>
        <w:rPr>
          <w:color w:val="000000"/>
        </w:rPr>
        <w:t xml:space="preserve">«Обеспечены продуктами лечебного (энтерального) питания, пациенты нуждающиеся в оказании паллиативной медицинской помощи на дому, в том числе ветераны боевых действий» </w:t>
      </w:r>
      <w:r>
        <w:rPr>
          <w:color w:val="000000"/>
        </w:rPr>
        <w:t xml:space="preserve">на «Обеспечены продуктами лечебного (энтерального) питания пациенты старше 18 лет, нуждающиеся в оказании паллиативной медицинской помощи на дому, в том числе ветераны боевых действий» (далее – М(Р)), начиная с 2027 года.</w:t>
      </w:r>
      <w:r>
        <w:rPr>
          <w:color w:val="000000"/>
        </w:rPr>
      </w:r>
    </w:p>
    <w:p>
      <w:pPr>
        <w:ind w:firstLine="709"/>
        <w:jc w:val="both"/>
        <w:spacing w:line="252" w:lineRule="auto"/>
        <w:rPr>
          <w:color w:val="000000"/>
          <w:highlight w:val="none"/>
        </w:rPr>
      </w:pPr>
      <w:r>
        <w:rPr>
          <w:color w:val="000000"/>
          <w:highlight w:val="none"/>
        </w:rPr>
        <w:t xml:space="preserve">Согласно информации, изложенной в запросе, изменение наименования не повлияет на саму реализацию М(Р) и не повлечет за собой изменение категории получателей продуктов лечебного питания (в 2026 году получателями являются пациенты старше 18 лет), также не планируется корректировка ни единиц измерения, ни количественных значений М(Р). </w:t>
      </w:r>
      <w:r>
        <w:rPr>
          <w:color w:val="000000"/>
          <w:highlight w:val="none"/>
        </w:rPr>
      </w:r>
    </w:p>
    <w:p>
      <w:pPr>
        <w:ind w:firstLine="709"/>
        <w:jc w:val="both"/>
        <w:spacing w:line="252" w:lineRule="auto"/>
        <w:rPr>
          <w:color w:val="000000"/>
          <w:highlight w:val="none"/>
        </w:rPr>
      </w:pPr>
      <w:r>
        <w:rPr>
          <w:color w:val="000000"/>
          <w:highlight w:val="none"/>
        </w:rPr>
        <w:t xml:space="preserve">Исходя из содержания запроса изменение наименование повлечет за собой только корректировку описательной части характеристики М(Р).</w:t>
      </w:r>
      <w:r>
        <w:rPr>
          <w:color w:val="000000"/>
          <w:highlight w:val="none"/>
        </w:rPr>
      </w:r>
    </w:p>
    <w:p>
      <w:pPr>
        <w:ind w:firstLine="709"/>
        <w:jc w:val="both"/>
        <w:spacing w:line="252" w:lineRule="auto"/>
        <w:rPr>
          <w:color w:val="000000"/>
        </w:rPr>
      </w:pPr>
      <w:r>
        <w:rPr>
          <w:color w:val="000000"/>
          <w:highlight w:val="none"/>
        </w:rPr>
        <w:t xml:space="preserve">Вместе с тем, запрос не содержит информации о планируемом наименовании направления расходов, что не позволяет оценить соблюдение прямой увязки М(Р) с направлением расходов. В действующей редакции наименование М(Р) соответствует наименованию направления расходов, предусмотренному Законом Новосибирской области от 19.12.2025 № 37-ОЗ «Об областном бюджете Новосибирской области на 2026 год и плановый период 2027 и 2028 годов».</w:t>
      </w:r>
      <w:r>
        <w:rPr>
          <w:color w:val="000000"/>
          <w:highlight w:val="none"/>
        </w:rPr>
      </w:r>
    </w:p>
    <w:p>
      <w:pPr>
        <w:ind w:firstLine="709"/>
        <w:jc w:val="both"/>
        <w:spacing w:line="252" w:lineRule="auto"/>
        <w:rPr>
          <w:color w:val="000000"/>
        </w:rPr>
      </w:pPr>
      <w:r>
        <w:rPr>
          <w:color w:val="000000"/>
        </w:rPr>
        <w:t xml:space="preserve">Предлагаем Минздраву НСО рассмотреть возможность корректировки описательной части действующего М(Р), конкретизировав в ее составе возрастной барьер получателей продуктов лечебного питания, и не внося при этом изменений в наименование самого М(Р).</w:t>
      </w:r>
      <w:r>
        <w:rPr>
          <w:color w:val="000000"/>
        </w:rPr>
      </w:r>
    </w:p>
    <w:p>
      <w:pPr>
        <w:ind w:firstLine="709"/>
        <w:jc w:val="both"/>
        <w:spacing w:line="252" w:lineRule="auto"/>
        <w:rPr>
          <w:color w:val="000000"/>
        </w:rPr>
      </w:pPr>
      <w:r>
        <w:rPr>
          <w:color w:val="000000"/>
        </w:rPr>
        <w:t xml:space="preserve">В случае необходимости изменения наименования М(Р) считаем целесообразным дополнить содержание запроса:</w:t>
      </w:r>
      <w:r>
        <w:rPr>
          <w:color w:val="000000"/>
        </w:rPr>
      </w:r>
    </w:p>
    <w:p>
      <w:pPr>
        <w:ind w:firstLine="709"/>
        <w:jc w:val="both"/>
        <w:spacing w:line="252" w:lineRule="auto"/>
        <w:rPr>
          <w:color w:val="000000"/>
        </w:rPr>
      </w:pPr>
      <w:r>
        <w:rPr>
          <w:color w:val="000000"/>
        </w:rPr>
        <w:t xml:space="preserve">более подробной информацией о причинах (необходимости) изменения наименования М(Р) (планируется ли введение аналогичного мероприятия для другой возрастной категории, есть ли требования (рекомендации) федеральных органов об изменении наименования и т.д.):</w:t>
      </w:r>
      <w:r>
        <w:rPr>
          <w:color w:val="000000"/>
        </w:rPr>
      </w:r>
    </w:p>
    <w:p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о планируемом наименовании </w:t>
      </w:r>
      <w:r>
        <w:rPr>
          <w:color w:val="000000"/>
        </w:rPr>
        <w:t xml:space="preserve">направления расходов в составе </w:t>
      </w:r>
      <w:r>
        <w:rPr>
          <w:color w:val="000000"/>
        </w:rPr>
        <w:t xml:space="preserve">Закона Новосибирской области об областном бюджете Новосибирской области на 2027 год и плановый период 2028 и 2029 годов,</w:t>
      </w:r>
      <w:r>
        <w:rPr>
          <w:color w:val="000000"/>
        </w:rPr>
        <w:t xml:space="preserve"> </w:t>
      </w:r>
      <w:r>
        <w:rPr>
          <w:color w:val="000000"/>
        </w:rPr>
        <w:t xml:space="preserve">в рамках которого </w:t>
      </w:r>
      <w:r>
        <w:rPr>
          <w:color w:val="000000"/>
        </w:rPr>
        <w:t xml:space="preserve">будет осуществляться </w:t>
      </w:r>
      <w:r>
        <w:rPr>
          <w:color w:val="000000"/>
        </w:rPr>
        <w:t xml:space="preserve">финансирование М(Р).</w:t>
      </w:r>
      <w:r>
        <w:rPr>
          <w:color w:val="000000"/>
        </w:rPr>
      </w:r>
    </w:p>
    <w:p>
      <w:pPr>
        <w:ind w:firstLine="709"/>
        <w:jc w:val="both"/>
        <w:spacing w:line="252" w:lineRule="auto"/>
        <w:rPr>
          <w:color w:val="000000"/>
        </w:rPr>
      </w:pPr>
      <w:r>
        <w:rPr>
          <w:color w:val="000000"/>
        </w:rPr>
        <w:t xml:space="preserve">Учитывая вышеизложенное, согласование изменения </w:t>
      </w:r>
      <w:r>
        <w:rPr>
          <w:color w:val="000000"/>
        </w:rPr>
        <w:t xml:space="preserve">наименования М(Р) </w:t>
      </w:r>
      <w:r>
        <w:rPr>
          <w:color w:val="000000"/>
        </w:rPr>
        <w:t xml:space="preserve">возможно после </w:t>
      </w:r>
      <w:r>
        <w:rPr>
          <w:color w:val="000000"/>
        </w:rPr>
        <w:t xml:space="preserve">доработки запроса </w:t>
      </w:r>
      <w:r>
        <w:rPr>
          <w:color w:val="000000"/>
        </w:rPr>
        <w:t xml:space="preserve">с учетом вышеперечисленных замечаний и предложений, и </w:t>
      </w:r>
      <w:r>
        <w:rPr>
          <w:color w:val="000000"/>
        </w:rPr>
        <w:t xml:space="preserve">повторного </w:t>
      </w:r>
      <w:r>
        <w:rPr>
          <w:color w:val="000000"/>
        </w:rPr>
        <w:t xml:space="preserve">направления (в случае необходимости изменения) в Минэкономразвития НСО</w:t>
      </w:r>
      <w:r>
        <w:rPr>
          <w:color w:val="000000"/>
        </w:rPr>
        <w:t xml:space="preserve">.</w:t>
      </w:r>
      <w:r>
        <w:rPr>
          <w:color w:val="000000"/>
        </w:rPr>
      </w:r>
      <w:r>
        <w:rPr>
          <w:color w:val="000000"/>
        </w:rPr>
      </w:r>
    </w:p>
    <w:p>
      <w:pPr>
        <w:ind w:firstLine="709"/>
        <w:jc w:val="both"/>
        <w:spacing w:line="252" w:lineRule="auto"/>
      </w:pPr>
      <w:r/>
      <w:r/>
    </w:p>
    <w:p>
      <w:pPr>
        <w:ind w:firstLine="709"/>
        <w:jc w:val="both"/>
        <w:spacing w:line="252" w:lineRule="auto"/>
      </w:pPr>
      <w:r/>
      <w:r/>
    </w:p>
    <w:p>
      <w:pPr>
        <w:ind w:firstLine="709"/>
        <w:jc w:val="both"/>
        <w:spacing w:line="252" w:lineRule="auto"/>
      </w:pPr>
      <w:r/>
      <w:r/>
    </w:p>
    <w:tbl>
      <w:tblPr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102"/>
        <w:gridCol w:w="5105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02" w:type="dxa"/>
            <w:textDirection w:val="lrTb"/>
            <w:noWrap w:val="false"/>
          </w:tcPr>
          <w:p>
            <w:pPr>
              <w:spacing w:line="244" w:lineRule="auto"/>
              <w:rPr>
                <w:highlight w:val="white"/>
              </w:rPr>
            </w:pPr>
            <w:r>
              <w:rPr>
                <w:highlight w:val="white"/>
                <w:lang w:eastAsia="zh-CN"/>
              </w:rPr>
              <w:t xml:space="preserve">Министр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05" w:type="dxa"/>
            <w:textDirection w:val="lrTb"/>
            <w:noWrap w:val="false"/>
          </w:tcPr>
          <w:p>
            <w:pPr>
              <w:jc w:val="right"/>
              <w:spacing w:line="244" w:lineRule="auto"/>
              <w:rPr>
                <w:highlight w:val="white"/>
              </w:rPr>
            </w:pPr>
            <w:r>
              <w:rPr>
                <w:highlight w:val="white"/>
                <w:lang w:eastAsia="zh-CN"/>
              </w:rPr>
              <w:t xml:space="preserve">С</w:t>
            </w:r>
            <w:r>
              <w:rPr>
                <w:highlight w:val="white"/>
                <w:lang w:eastAsia="zh-CN"/>
              </w:rPr>
              <w:t xml:space="preserve">.Л.</w:t>
            </w:r>
            <w:r>
              <w:rPr>
                <w:highlight w:val="white"/>
                <w:lang w:eastAsia="zh-CN"/>
              </w:rPr>
              <w:t xml:space="preserve">Ш</w:t>
            </w:r>
            <w:r>
              <w:rPr>
                <w:highlight w:val="white"/>
                <w:lang w:eastAsia="zh-CN"/>
              </w:rPr>
              <w:t xml:space="preserve">а</w:t>
            </w:r>
            <w:r>
              <w:rPr>
                <w:highlight w:val="white"/>
                <w:lang w:eastAsia="zh-CN"/>
              </w:rPr>
              <w:t xml:space="preserve">р</w:t>
            </w:r>
            <w:r>
              <w:rPr>
                <w:highlight w:val="white"/>
                <w:lang w:eastAsia="zh-CN"/>
              </w:rPr>
              <w:t xml:space="preserve">п</w:t>
            </w:r>
            <w:r>
              <w:rPr>
                <w:highlight w:val="white"/>
                <w:lang w:eastAsia="zh-CN"/>
              </w:rPr>
              <w:t xml:space="preserve">ф</w:t>
            </w:r>
            <w:r>
              <w:rPr>
                <w:highlight w:val="white"/>
              </w:rPr>
            </w:r>
          </w:p>
        </w:tc>
      </w:tr>
    </w:tbl>
    <w:p>
      <w:pPr>
        <w:spacing w:line="244" w:lineRule="auto"/>
        <w:rPr>
          <w:highlight w:val="white"/>
        </w:rPr>
      </w:pPr>
      <w:r>
        <w:rPr>
          <w:color w:val="ffffff"/>
          <w:highlight w:val="white"/>
          <w:lang w:eastAsia="zh-CN"/>
        </w:rPr>
        <w:t xml:space="preserve">                                                [МЕСТО ДЛЯ ПОД</w:t>
      </w: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2" w:lineRule="auto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  <w:t xml:space="preserve">О.В. Кирякина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jc w:val="both"/>
        <w:spacing w:line="257" w:lineRule="auto"/>
        <w:rPr>
          <w:sz w:val="18"/>
          <w:szCs w:val="18"/>
        </w:rPr>
      </w:pPr>
      <w:r>
        <w:rPr>
          <w:sz w:val="18"/>
          <w:szCs w:val="18"/>
        </w:rPr>
        <w:t xml:space="preserve">238 67 20</w:t>
      </w: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8"/>
      <w:footnotePr/>
      <w:endnotePr/>
      <w:type w:val="nextPage"/>
      <w:pgSz w:w="11906" w:h="16838" w:orient="portrait"/>
      <w:pgMar w:top="1134" w:right="567" w:bottom="851" w:left="1418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2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\* MERGEFORMAT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2</w:t>
    </w:r>
    <w:r>
      <w:rPr>
        <w:sz w:val="20"/>
        <w:szCs w:val="20"/>
      </w:rPr>
      <w:fldChar w:fldCharType="end"/>
    </w:r>
    <w:r>
      <w:rPr>
        <w:sz w:val="20"/>
        <w:szCs w:val="20"/>
      </w:rPr>
    </w:r>
    <w:r>
      <w:rPr>
        <w:sz w:val="20"/>
        <w:szCs w:val="20"/>
      </w:rPr>
    </w:r>
  </w:p>
  <w:p>
    <w:pPr>
      <w:pStyle w:val="872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3" w:default="1">
    <w:name w:val="Normal"/>
    <w:qFormat/>
    <w:rPr>
      <w:sz w:val="28"/>
      <w:szCs w:val="28"/>
    </w:rPr>
  </w:style>
  <w:style w:type="paragraph" w:styleId="674">
    <w:name w:val="Heading 1"/>
    <w:basedOn w:val="673"/>
    <w:next w:val="673"/>
    <w:link w:val="70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5">
    <w:name w:val="Heading 2"/>
    <w:basedOn w:val="673"/>
    <w:next w:val="673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6">
    <w:name w:val="Heading 3"/>
    <w:basedOn w:val="673"/>
    <w:next w:val="673"/>
    <w:link w:val="70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7">
    <w:name w:val="Heading 4"/>
    <w:basedOn w:val="673"/>
    <w:next w:val="673"/>
    <w:link w:val="70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673"/>
    <w:next w:val="673"/>
    <w:link w:val="70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9">
    <w:name w:val="Heading 6"/>
    <w:basedOn w:val="673"/>
    <w:next w:val="673"/>
    <w:link w:val="70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673"/>
    <w:next w:val="673"/>
    <w:link w:val="70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1">
    <w:name w:val="Heading 8"/>
    <w:basedOn w:val="673"/>
    <w:next w:val="673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82">
    <w:name w:val="Heading 9"/>
    <w:basedOn w:val="673"/>
    <w:next w:val="673"/>
    <w:link w:val="71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 w:default="1">
    <w:name w:val="Default Paragraph Font"/>
    <w:uiPriority w:val="1"/>
    <w:semiHidden/>
    <w:unhideWhenUsed/>
  </w:style>
  <w:style w:type="table" w:styleId="6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5" w:default="1">
    <w:name w:val="No List"/>
    <w:uiPriority w:val="99"/>
    <w:semiHidden/>
    <w:unhideWhenUsed/>
  </w:style>
  <w:style w:type="character" w:styleId="686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687" w:customStyle="1">
    <w:name w:val="Heading 2 Char"/>
    <w:uiPriority w:val="9"/>
    <w:rPr>
      <w:rFonts w:ascii="Arial" w:hAnsi="Arial" w:eastAsia="Arial" w:cs="Arial"/>
      <w:sz w:val="34"/>
    </w:rPr>
  </w:style>
  <w:style w:type="character" w:styleId="688" w:customStyle="1">
    <w:name w:val="Heading 3 Char"/>
    <w:uiPriority w:val="9"/>
    <w:rPr>
      <w:rFonts w:ascii="Arial" w:hAnsi="Arial" w:eastAsia="Arial" w:cs="Arial"/>
      <w:sz w:val="30"/>
      <w:szCs w:val="30"/>
    </w:rPr>
  </w:style>
  <w:style w:type="character" w:styleId="689" w:customStyle="1">
    <w:name w:val="Heading 4 Char"/>
    <w:uiPriority w:val="9"/>
    <w:rPr>
      <w:rFonts w:ascii="Arial" w:hAnsi="Arial" w:eastAsia="Arial" w:cs="Arial"/>
      <w:b/>
      <w:bCs/>
      <w:sz w:val="26"/>
      <w:szCs w:val="26"/>
    </w:rPr>
  </w:style>
  <w:style w:type="character" w:styleId="690" w:customStyle="1">
    <w:name w:val="Heading 5 Char"/>
    <w:uiPriority w:val="9"/>
    <w:rPr>
      <w:rFonts w:ascii="Arial" w:hAnsi="Arial" w:eastAsia="Arial" w:cs="Arial"/>
      <w:b/>
      <w:bCs/>
      <w:sz w:val="24"/>
      <w:szCs w:val="24"/>
    </w:rPr>
  </w:style>
  <w:style w:type="character" w:styleId="691" w:customStyle="1">
    <w:name w:val="Heading 6 Char"/>
    <w:uiPriority w:val="9"/>
    <w:rPr>
      <w:rFonts w:ascii="Arial" w:hAnsi="Arial" w:eastAsia="Arial" w:cs="Arial"/>
      <w:b/>
      <w:bCs/>
      <w:sz w:val="22"/>
      <w:szCs w:val="22"/>
    </w:rPr>
  </w:style>
  <w:style w:type="character" w:styleId="692" w:customStyle="1">
    <w:name w:val="Heading 7 Char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3" w:customStyle="1">
    <w:name w:val="Heading 8 Char"/>
    <w:uiPriority w:val="9"/>
    <w:rPr>
      <w:rFonts w:ascii="Arial" w:hAnsi="Arial" w:eastAsia="Arial" w:cs="Arial"/>
      <w:i/>
      <w:iCs/>
      <w:sz w:val="22"/>
      <w:szCs w:val="22"/>
    </w:rPr>
  </w:style>
  <w:style w:type="character" w:styleId="694" w:customStyle="1">
    <w:name w:val="Heading 9 Char"/>
    <w:uiPriority w:val="9"/>
    <w:rPr>
      <w:rFonts w:ascii="Arial" w:hAnsi="Arial" w:eastAsia="Arial" w:cs="Arial"/>
      <w:i/>
      <w:iCs/>
      <w:sz w:val="21"/>
      <w:szCs w:val="21"/>
    </w:rPr>
  </w:style>
  <w:style w:type="character" w:styleId="695" w:customStyle="1">
    <w:name w:val="Title Char"/>
    <w:uiPriority w:val="10"/>
    <w:rPr>
      <w:sz w:val="48"/>
      <w:szCs w:val="48"/>
    </w:rPr>
  </w:style>
  <w:style w:type="character" w:styleId="696" w:customStyle="1">
    <w:name w:val="Subtitle Char"/>
    <w:uiPriority w:val="11"/>
    <w:rPr>
      <w:sz w:val="24"/>
      <w:szCs w:val="24"/>
    </w:rPr>
  </w:style>
  <w:style w:type="character" w:styleId="697" w:customStyle="1">
    <w:name w:val="Quote Char"/>
    <w:uiPriority w:val="29"/>
    <w:rPr>
      <w:i/>
    </w:rPr>
  </w:style>
  <w:style w:type="character" w:styleId="698" w:customStyle="1">
    <w:name w:val="Intense Quote Char"/>
    <w:uiPriority w:val="30"/>
    <w:rPr>
      <w:i/>
    </w:rPr>
  </w:style>
  <w:style w:type="character" w:styleId="699" w:customStyle="1">
    <w:name w:val="Header Char"/>
    <w:basedOn w:val="683"/>
    <w:uiPriority w:val="99"/>
  </w:style>
  <w:style w:type="character" w:styleId="700" w:customStyle="1">
    <w:name w:val="Footnote Text Char"/>
    <w:uiPriority w:val="99"/>
    <w:rPr>
      <w:sz w:val="18"/>
    </w:rPr>
  </w:style>
  <w:style w:type="character" w:styleId="701" w:customStyle="1">
    <w:name w:val="Endnote Text Char"/>
    <w:uiPriority w:val="99"/>
    <w:rPr>
      <w:sz w:val="20"/>
    </w:rPr>
  </w:style>
  <w:style w:type="character" w:styleId="702" w:customStyle="1">
    <w:name w:val="Заголовок 1 Знак"/>
    <w:link w:val="674"/>
    <w:uiPriority w:val="9"/>
    <w:rPr>
      <w:rFonts w:ascii="Arial" w:hAnsi="Arial" w:eastAsia="Arial" w:cs="Arial"/>
      <w:sz w:val="40"/>
      <w:szCs w:val="40"/>
    </w:rPr>
  </w:style>
  <w:style w:type="character" w:styleId="703" w:customStyle="1">
    <w:name w:val="Заголовок 2 Знак"/>
    <w:link w:val="675"/>
    <w:uiPriority w:val="9"/>
    <w:rPr>
      <w:rFonts w:ascii="Arial" w:hAnsi="Arial" w:eastAsia="Arial" w:cs="Arial"/>
      <w:sz w:val="34"/>
    </w:rPr>
  </w:style>
  <w:style w:type="character" w:styleId="704" w:customStyle="1">
    <w:name w:val="Заголовок 3 Знак"/>
    <w:link w:val="676"/>
    <w:uiPriority w:val="9"/>
    <w:rPr>
      <w:rFonts w:ascii="Arial" w:hAnsi="Arial" w:eastAsia="Arial" w:cs="Arial"/>
      <w:sz w:val="30"/>
      <w:szCs w:val="30"/>
    </w:rPr>
  </w:style>
  <w:style w:type="character" w:styleId="705" w:customStyle="1">
    <w:name w:val="Заголовок 4 Знак"/>
    <w:link w:val="677"/>
    <w:uiPriority w:val="9"/>
    <w:rPr>
      <w:rFonts w:ascii="Arial" w:hAnsi="Arial" w:eastAsia="Arial" w:cs="Arial"/>
      <w:b/>
      <w:bCs/>
      <w:sz w:val="26"/>
      <w:szCs w:val="26"/>
    </w:rPr>
  </w:style>
  <w:style w:type="character" w:styleId="706" w:customStyle="1">
    <w:name w:val="Заголовок 5 Знак"/>
    <w:link w:val="678"/>
    <w:uiPriority w:val="9"/>
    <w:rPr>
      <w:rFonts w:ascii="Arial" w:hAnsi="Arial" w:eastAsia="Arial" w:cs="Arial"/>
      <w:b/>
      <w:bCs/>
      <w:sz w:val="24"/>
      <w:szCs w:val="24"/>
    </w:rPr>
  </w:style>
  <w:style w:type="character" w:styleId="707" w:customStyle="1">
    <w:name w:val="Заголовок 6 Знак"/>
    <w:link w:val="679"/>
    <w:uiPriority w:val="9"/>
    <w:rPr>
      <w:rFonts w:ascii="Arial" w:hAnsi="Arial" w:eastAsia="Arial" w:cs="Arial"/>
      <w:b/>
      <w:bCs/>
      <w:sz w:val="22"/>
      <w:szCs w:val="22"/>
    </w:rPr>
  </w:style>
  <w:style w:type="character" w:styleId="708" w:customStyle="1">
    <w:name w:val="Заголовок 7 Знак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9" w:customStyle="1">
    <w:name w:val="Заголовок 8 Знак"/>
    <w:link w:val="681"/>
    <w:uiPriority w:val="9"/>
    <w:rPr>
      <w:rFonts w:ascii="Arial" w:hAnsi="Arial" w:eastAsia="Arial" w:cs="Arial"/>
      <w:i/>
      <w:iCs/>
      <w:sz w:val="22"/>
      <w:szCs w:val="22"/>
    </w:rPr>
  </w:style>
  <w:style w:type="character" w:styleId="710" w:customStyle="1">
    <w:name w:val="Заголовок 9 Знак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711">
    <w:name w:val="List Paragraph"/>
    <w:basedOn w:val="673"/>
    <w:uiPriority w:val="34"/>
    <w:qFormat/>
    <w:pPr>
      <w:contextualSpacing/>
      <w:ind w:left="720"/>
    </w:pPr>
  </w:style>
  <w:style w:type="paragraph" w:styleId="712">
    <w:name w:val="No Spacing"/>
    <w:uiPriority w:val="1"/>
    <w:qFormat/>
    <w:rPr>
      <w:lang w:eastAsia="zh-CN"/>
    </w:rPr>
  </w:style>
  <w:style w:type="paragraph" w:styleId="713">
    <w:name w:val="Title"/>
    <w:basedOn w:val="673"/>
    <w:next w:val="673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 w:customStyle="1">
    <w:name w:val="Заголовок Знак"/>
    <w:link w:val="713"/>
    <w:uiPriority w:val="10"/>
    <w:rPr>
      <w:sz w:val="48"/>
      <w:szCs w:val="48"/>
    </w:rPr>
  </w:style>
  <w:style w:type="paragraph" w:styleId="715">
    <w:name w:val="Subtitle"/>
    <w:basedOn w:val="673"/>
    <w:next w:val="673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 w:customStyle="1">
    <w:name w:val="Подзаголовок Знак"/>
    <w:link w:val="715"/>
    <w:uiPriority w:val="11"/>
    <w:rPr>
      <w:sz w:val="24"/>
      <w:szCs w:val="24"/>
    </w:rPr>
  </w:style>
  <w:style w:type="paragraph" w:styleId="717">
    <w:name w:val="Quote"/>
    <w:basedOn w:val="673"/>
    <w:next w:val="673"/>
    <w:link w:val="718"/>
    <w:uiPriority w:val="29"/>
    <w:qFormat/>
    <w:pPr>
      <w:ind w:left="720" w:right="720"/>
    </w:pPr>
    <w:rPr>
      <w:i/>
    </w:rPr>
  </w:style>
  <w:style w:type="character" w:styleId="718" w:customStyle="1">
    <w:name w:val="Цитата 2 Знак"/>
    <w:link w:val="717"/>
    <w:uiPriority w:val="29"/>
    <w:rPr>
      <w:i/>
    </w:rPr>
  </w:style>
  <w:style w:type="paragraph" w:styleId="719">
    <w:name w:val="Intense Quote"/>
    <w:basedOn w:val="673"/>
    <w:next w:val="673"/>
    <w:link w:val="72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 w:customStyle="1">
    <w:name w:val="Выделенная цитата Знак"/>
    <w:link w:val="719"/>
    <w:uiPriority w:val="30"/>
    <w:rPr>
      <w:i/>
    </w:rPr>
  </w:style>
  <w:style w:type="paragraph" w:styleId="721">
    <w:name w:val="Header"/>
    <w:basedOn w:val="673"/>
    <w:link w:val="722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22" w:customStyle="1">
    <w:name w:val="Верхний колонтитул Знак"/>
    <w:link w:val="721"/>
    <w:uiPriority w:val="99"/>
  </w:style>
  <w:style w:type="paragraph" w:styleId="723">
    <w:name w:val="Footer"/>
    <w:basedOn w:val="673"/>
    <w:link w:val="879"/>
    <w:unhideWhenUsed/>
    <w:pPr>
      <w:tabs>
        <w:tab w:val="center" w:pos="4677" w:leader="none"/>
        <w:tab w:val="right" w:pos="9355" w:leader="none"/>
      </w:tabs>
    </w:pPr>
  </w:style>
  <w:style w:type="character" w:styleId="724" w:customStyle="1">
    <w:name w:val="Footer Char"/>
    <w:uiPriority w:val="99"/>
  </w:style>
  <w:style w:type="paragraph" w:styleId="725">
    <w:name w:val="Caption"/>
    <w:basedOn w:val="673"/>
    <w:next w:val="673"/>
    <w:link w:val="726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styleId="726" w:customStyle="1">
    <w:name w:val="Caption Char"/>
    <w:uiPriority w:val="99"/>
  </w:style>
  <w:style w:type="table" w:styleId="727">
    <w:name w:val="Table Grid"/>
    <w:basedOn w:val="684"/>
    <w:tblPr/>
  </w:style>
  <w:style w:type="table" w:styleId="728" w:customStyle="1">
    <w:name w:val="Table Grid Light"/>
    <w:uiPriority w:val="59"/>
    <w:rPr>
      <w:lang w:eastAsia="zh-CN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9">
    <w:name w:val="Plain Table 1"/>
    <w:uiPriority w:val="59"/>
    <w:rPr>
      <w:lang w:eastAsia="zh-CN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0">
    <w:name w:val="Plain Table 2"/>
    <w:uiPriority w:val="59"/>
    <w:rPr>
      <w:lang w:eastAsia="zh-CN"/>
    </w:rPr>
    <w:tblPr>
      <w:tblInd w:w="0" w:type="dxa"/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32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33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34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5" w:customStyle="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6" w:customStyle="1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7" w:customStyle="1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8" w:customStyle="1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39" w:customStyle="1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0" w:customStyle="1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1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2" w:customStyle="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3" w:customStyle="1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4" w:customStyle="1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5" w:customStyle="1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6" w:customStyle="1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7" w:customStyle="1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8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49" w:customStyle="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0" w:customStyle="1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1" w:customStyle="1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2" w:customStyle="1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3" w:customStyle="1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4" w:customStyle="1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5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6" w:customStyle="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7" w:customStyle="1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8" w:customStyle="1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59" w:customStyle="1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0" w:customStyle="1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1" w:customStyle="1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62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  <w:tblCellMar>
        <w:left w:w="0" w:type="dxa"/>
        <w:top w:w="0" w:type="dxa"/>
        <w:right w:w="0" w:type="dxa"/>
        <w:bottom w:w="0" w:type="dxa"/>
      </w:tblCellMar>
    </w:tblPr>
  </w:style>
  <w:style w:type="table" w:styleId="763" w:customStyle="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  <w:tblCellMar>
        <w:left w:w="0" w:type="dxa"/>
        <w:top w:w="0" w:type="dxa"/>
        <w:right w:w="0" w:type="dxa"/>
        <w:bottom w:w="0" w:type="dxa"/>
      </w:tblCellMar>
    </w:tblPr>
  </w:style>
  <w:style w:type="table" w:styleId="764" w:customStyle="1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  <w:tblCellMar>
        <w:left w:w="0" w:type="dxa"/>
        <w:top w:w="0" w:type="dxa"/>
        <w:right w:w="0" w:type="dxa"/>
        <w:bottom w:w="0" w:type="dxa"/>
      </w:tblCellMar>
    </w:tblPr>
  </w:style>
  <w:style w:type="table" w:styleId="765" w:customStyle="1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  <w:tblCellMar>
        <w:left w:w="0" w:type="dxa"/>
        <w:top w:w="0" w:type="dxa"/>
        <w:right w:w="0" w:type="dxa"/>
        <w:bottom w:w="0" w:type="dxa"/>
      </w:tblCellMar>
    </w:tblPr>
  </w:style>
  <w:style w:type="table" w:styleId="766" w:customStyle="1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  <w:tblCellMar>
        <w:left w:w="0" w:type="dxa"/>
        <w:top w:w="0" w:type="dxa"/>
        <w:right w:w="0" w:type="dxa"/>
        <w:bottom w:w="0" w:type="dxa"/>
      </w:tblCellMar>
    </w:tblPr>
  </w:style>
  <w:style w:type="table" w:styleId="767" w:customStyle="1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  <w:tblCellMar>
        <w:left w:w="0" w:type="dxa"/>
        <w:top w:w="0" w:type="dxa"/>
        <w:right w:w="0" w:type="dxa"/>
        <w:bottom w:w="0" w:type="dxa"/>
      </w:tblCellMar>
    </w:tblPr>
  </w:style>
  <w:style w:type="table" w:styleId="768" w:customStyle="1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  <w:tblCellMar>
        <w:left w:w="0" w:type="dxa"/>
        <w:top w:w="0" w:type="dxa"/>
        <w:right w:w="0" w:type="dxa"/>
        <w:bottom w:w="0" w:type="dxa"/>
      </w:tblCellMar>
    </w:tblPr>
  </w:style>
  <w:style w:type="table" w:styleId="769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0" w:customStyle="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1" w:customStyle="1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2" w:customStyle="1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3" w:customStyle="1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4" w:customStyle="1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5" w:customStyle="1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6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7" w:customStyle="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8" w:customStyle="1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79" w:customStyle="1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0" w:customStyle="1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1" w:customStyle="1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2" w:customStyle="1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83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84" w:customStyle="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85" w:customStyle="1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86" w:customStyle="1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87" w:customStyle="1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88" w:customStyle="1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89" w:customStyle="1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79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6F6F6F" w:sz="4" w:space="0"/>
        <w:bottom w:val="single" w:color="6F6F6F" w:sz="4" w:space="0"/>
        <w:insideH w:val="single" w:color="6F6F6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1" w:customStyle="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2" w:customStyle="1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bottom w:val="single" w:color="DB9B9A" w:sz="4" w:space="0"/>
        <w:insideH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3" w:customStyle="1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4" w:customStyle="1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5" w:customStyle="1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6" w:customStyle="1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7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8" w:customStyle="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799" w:customStyle="1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0" w:customStyle="1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1" w:customStyle="1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2" w:customStyle="1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3" w:customStyle="1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4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5" w:customStyle="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6" w:customStyle="1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7" w:customStyle="1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8" w:customStyle="1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09" w:customStyle="1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0" w:customStyle="1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1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  <w:tblCellMar>
        <w:left w:w="0" w:type="dxa"/>
        <w:top w:w="0" w:type="dxa"/>
        <w:right w:w="0" w:type="dxa"/>
        <w:bottom w:w="0" w:type="dxa"/>
      </w:tblCellMar>
    </w:tblPr>
  </w:style>
  <w:style w:type="table" w:styleId="812" w:customStyle="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  <w:tblCellMar>
        <w:left w:w="0" w:type="dxa"/>
        <w:top w:w="0" w:type="dxa"/>
        <w:right w:w="0" w:type="dxa"/>
        <w:bottom w:w="0" w:type="dxa"/>
      </w:tblCellMar>
    </w:tblPr>
  </w:style>
  <w:style w:type="table" w:styleId="813" w:customStyle="1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  <w:tblCellMar>
        <w:left w:w="0" w:type="dxa"/>
        <w:top w:w="0" w:type="dxa"/>
        <w:right w:w="0" w:type="dxa"/>
        <w:bottom w:w="0" w:type="dxa"/>
      </w:tblCellMar>
    </w:tblPr>
  </w:style>
  <w:style w:type="table" w:styleId="814" w:customStyle="1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  <w:tblCellMar>
        <w:left w:w="0" w:type="dxa"/>
        <w:top w:w="0" w:type="dxa"/>
        <w:right w:w="0" w:type="dxa"/>
        <w:bottom w:w="0" w:type="dxa"/>
      </w:tblCellMar>
    </w:tblPr>
  </w:style>
  <w:style w:type="table" w:styleId="815" w:customStyle="1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  <w:tblCellMar>
        <w:left w:w="0" w:type="dxa"/>
        <w:top w:w="0" w:type="dxa"/>
        <w:right w:w="0" w:type="dxa"/>
        <w:bottom w:w="0" w:type="dxa"/>
      </w:tblCellMar>
    </w:tblPr>
  </w:style>
  <w:style w:type="table" w:styleId="816" w:customStyle="1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  <w:tblCellMar>
        <w:left w:w="0" w:type="dxa"/>
        <w:top w:w="0" w:type="dxa"/>
        <w:right w:w="0" w:type="dxa"/>
        <w:bottom w:w="0" w:type="dxa"/>
      </w:tblCellMar>
    </w:tblPr>
  </w:style>
  <w:style w:type="table" w:styleId="817" w:customStyle="1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  <w:tblCellMar>
        <w:left w:w="0" w:type="dxa"/>
        <w:top w:w="0" w:type="dxa"/>
        <w:right w:w="0" w:type="dxa"/>
        <w:bottom w:w="0" w:type="dxa"/>
      </w:tblCellMar>
    </w:tblPr>
  </w:style>
  <w:style w:type="table" w:styleId="818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4" w:space="0"/>
        <w:bottom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19" w:customStyle="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4" w:space="0"/>
        <w:bottom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0" w:customStyle="1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bottom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1" w:customStyle="1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4" w:space="0"/>
        <w:bottom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2" w:customStyle="1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bottom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3" w:customStyle="1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4" w:space="0"/>
        <w:bottom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4" w:customStyle="1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4" w:space="0"/>
        <w:bottom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5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6" w:customStyle="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7" w:customStyle="1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8" w:customStyle="1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29" w:customStyle="1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0" w:customStyle="1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1" w:customStyle="1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32" w:customStyle="1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33" w:customStyle="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34" w:customStyle="1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35" w:customStyle="1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36" w:customStyle="1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37" w:customStyle="1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38" w:customStyle="1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39" w:customStyle="1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0" w:customStyle="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1" w:customStyle="1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2" w:customStyle="1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3" w:customStyle="1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4" w:customStyle="1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5" w:customStyle="1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6" w:customStyle="1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7" w:customStyle="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8" w:customStyle="1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49" w:customStyle="1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50" w:customStyle="1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51" w:customStyle="1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52" w:customStyle="1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character" w:styleId="853">
    <w:name w:val="Hyperlink"/>
    <w:rPr>
      <w:rFonts w:ascii="Times New Roman" w:hAnsi="Times New Roman" w:cs="Times New Roman"/>
      <w:color w:val="0000ff"/>
      <w:u w:val="single"/>
    </w:rPr>
  </w:style>
  <w:style w:type="paragraph" w:styleId="854">
    <w:name w:val="footnote text"/>
    <w:basedOn w:val="673"/>
    <w:link w:val="855"/>
    <w:uiPriority w:val="99"/>
    <w:semiHidden/>
    <w:unhideWhenUsed/>
    <w:pPr>
      <w:spacing w:after="40"/>
    </w:pPr>
    <w:rPr>
      <w:sz w:val="18"/>
    </w:rPr>
  </w:style>
  <w:style w:type="character" w:styleId="855" w:customStyle="1">
    <w:name w:val="Текст сноски Знак"/>
    <w:link w:val="854"/>
    <w:uiPriority w:val="99"/>
    <w:rPr>
      <w:sz w:val="18"/>
    </w:rPr>
  </w:style>
  <w:style w:type="character" w:styleId="856">
    <w:name w:val="footnote reference"/>
    <w:uiPriority w:val="99"/>
    <w:unhideWhenUsed/>
    <w:rPr>
      <w:vertAlign w:val="superscript"/>
    </w:rPr>
  </w:style>
  <w:style w:type="paragraph" w:styleId="857">
    <w:name w:val="endnote text"/>
    <w:basedOn w:val="673"/>
    <w:link w:val="858"/>
    <w:uiPriority w:val="99"/>
    <w:semiHidden/>
    <w:unhideWhenUsed/>
    <w:rPr>
      <w:sz w:val="20"/>
    </w:rPr>
  </w:style>
  <w:style w:type="character" w:styleId="858" w:customStyle="1">
    <w:name w:val="Текст концевой сноски Знак"/>
    <w:link w:val="857"/>
    <w:uiPriority w:val="99"/>
    <w:rPr>
      <w:sz w:val="20"/>
    </w:rPr>
  </w:style>
  <w:style w:type="character" w:styleId="859">
    <w:name w:val="endnote reference"/>
    <w:uiPriority w:val="99"/>
    <w:semiHidden/>
    <w:unhideWhenUsed/>
    <w:rPr>
      <w:vertAlign w:val="superscript"/>
    </w:rPr>
  </w:style>
  <w:style w:type="paragraph" w:styleId="860">
    <w:name w:val="toc 1"/>
    <w:basedOn w:val="673"/>
    <w:next w:val="673"/>
    <w:uiPriority w:val="39"/>
    <w:unhideWhenUsed/>
    <w:pPr>
      <w:spacing w:after="57"/>
    </w:pPr>
  </w:style>
  <w:style w:type="paragraph" w:styleId="861">
    <w:name w:val="toc 2"/>
    <w:basedOn w:val="673"/>
    <w:next w:val="673"/>
    <w:uiPriority w:val="39"/>
    <w:unhideWhenUsed/>
    <w:pPr>
      <w:ind w:left="283"/>
      <w:spacing w:after="57"/>
    </w:pPr>
  </w:style>
  <w:style w:type="paragraph" w:styleId="862">
    <w:name w:val="toc 3"/>
    <w:basedOn w:val="673"/>
    <w:next w:val="673"/>
    <w:uiPriority w:val="39"/>
    <w:unhideWhenUsed/>
    <w:pPr>
      <w:ind w:left="567"/>
      <w:spacing w:after="57"/>
    </w:pPr>
  </w:style>
  <w:style w:type="paragraph" w:styleId="863">
    <w:name w:val="toc 4"/>
    <w:basedOn w:val="673"/>
    <w:next w:val="673"/>
    <w:uiPriority w:val="39"/>
    <w:unhideWhenUsed/>
    <w:pPr>
      <w:ind w:left="850"/>
      <w:spacing w:after="57"/>
    </w:pPr>
  </w:style>
  <w:style w:type="paragraph" w:styleId="864">
    <w:name w:val="toc 5"/>
    <w:basedOn w:val="673"/>
    <w:next w:val="673"/>
    <w:uiPriority w:val="39"/>
    <w:unhideWhenUsed/>
    <w:pPr>
      <w:ind w:left="1134"/>
      <w:spacing w:after="57"/>
    </w:pPr>
  </w:style>
  <w:style w:type="paragraph" w:styleId="865">
    <w:name w:val="toc 6"/>
    <w:basedOn w:val="673"/>
    <w:next w:val="673"/>
    <w:uiPriority w:val="39"/>
    <w:unhideWhenUsed/>
    <w:pPr>
      <w:ind w:left="1417"/>
      <w:spacing w:after="57"/>
    </w:pPr>
  </w:style>
  <w:style w:type="paragraph" w:styleId="866">
    <w:name w:val="toc 7"/>
    <w:basedOn w:val="673"/>
    <w:next w:val="673"/>
    <w:uiPriority w:val="39"/>
    <w:unhideWhenUsed/>
    <w:pPr>
      <w:ind w:left="1701"/>
      <w:spacing w:after="57"/>
    </w:pPr>
  </w:style>
  <w:style w:type="paragraph" w:styleId="867">
    <w:name w:val="toc 8"/>
    <w:basedOn w:val="673"/>
    <w:next w:val="673"/>
    <w:uiPriority w:val="39"/>
    <w:unhideWhenUsed/>
    <w:pPr>
      <w:ind w:left="1984"/>
      <w:spacing w:after="57"/>
    </w:pPr>
  </w:style>
  <w:style w:type="paragraph" w:styleId="868">
    <w:name w:val="toc 9"/>
    <w:basedOn w:val="673"/>
    <w:next w:val="673"/>
    <w:uiPriority w:val="39"/>
    <w:unhideWhenUsed/>
    <w:pPr>
      <w:ind w:left="2268"/>
      <w:spacing w:after="57"/>
    </w:pPr>
  </w:style>
  <w:style w:type="paragraph" w:styleId="869">
    <w:name w:val="TOC Heading"/>
    <w:uiPriority w:val="39"/>
    <w:unhideWhenUsed/>
    <w:rPr>
      <w:lang w:eastAsia="zh-CN"/>
    </w:rPr>
  </w:style>
  <w:style w:type="paragraph" w:styleId="870">
    <w:name w:val="table of figures"/>
    <w:basedOn w:val="673"/>
    <w:next w:val="673"/>
    <w:uiPriority w:val="99"/>
    <w:unhideWhenUsed/>
  </w:style>
  <w:style w:type="character" w:styleId="871" w:customStyle="1">
    <w:name w:val="Верхний колонтитул Знак;Знак Знак"/>
    <w:link w:val="872"/>
    <w:uiPriority w:val="99"/>
    <w:rPr>
      <w:sz w:val="28"/>
      <w:szCs w:val="28"/>
      <w:lang w:val="ru-RU" w:eastAsia="ru-RU" w:bidi="ar-SA"/>
    </w:rPr>
  </w:style>
  <w:style w:type="paragraph" w:styleId="872" w:customStyle="1">
    <w:name w:val="Верхний колонтитул;Знак"/>
    <w:basedOn w:val="673"/>
    <w:link w:val="871"/>
    <w:uiPriority w:val="99"/>
    <w:pPr>
      <w:tabs>
        <w:tab w:val="center" w:pos="4153" w:leader="none"/>
        <w:tab w:val="right" w:pos="8306" w:leader="none"/>
      </w:tabs>
    </w:pPr>
  </w:style>
  <w:style w:type="character" w:styleId="873" w:customStyle="1">
    <w:name w:val="Основной текст 2 Знак"/>
    <w:link w:val="874"/>
    <w:rPr>
      <w:sz w:val="28"/>
      <w:szCs w:val="28"/>
      <w:lang w:val="ru-RU" w:eastAsia="ru-RU" w:bidi="ar-SA"/>
    </w:rPr>
  </w:style>
  <w:style w:type="paragraph" w:styleId="874">
    <w:name w:val="Body Text 2"/>
    <w:basedOn w:val="673"/>
    <w:link w:val="873"/>
    <w:pPr>
      <w:jc w:val="both"/>
    </w:pPr>
  </w:style>
  <w:style w:type="character" w:styleId="875" w:customStyle="1">
    <w:name w:val="iceouttxt1"/>
    <w:rPr>
      <w:rFonts w:ascii="Arial" w:hAnsi="Arial" w:cs="Arial"/>
      <w:color w:val="666666"/>
      <w:sz w:val="14"/>
      <w:szCs w:val="14"/>
    </w:rPr>
  </w:style>
  <w:style w:type="paragraph" w:styleId="876">
    <w:name w:val="Balloon Text"/>
    <w:basedOn w:val="673"/>
    <w:link w:val="877"/>
    <w:rPr>
      <w:rFonts w:ascii="Tahoma" w:hAnsi="Tahoma" w:cs="Tahoma"/>
      <w:sz w:val="16"/>
      <w:szCs w:val="16"/>
    </w:rPr>
  </w:style>
  <w:style w:type="character" w:styleId="877" w:customStyle="1">
    <w:name w:val="Текст выноски Знак"/>
    <w:link w:val="876"/>
    <w:rPr>
      <w:rFonts w:ascii="Tahoma" w:hAnsi="Tahoma" w:cs="Tahoma"/>
      <w:sz w:val="16"/>
      <w:szCs w:val="16"/>
    </w:rPr>
  </w:style>
  <w:style w:type="paragraph" w:styleId="878" w:customStyle="1">
    <w:name w:val="ConsPlusCell"/>
    <w:rPr>
      <w:rFonts w:ascii="Arial" w:hAnsi="Arial" w:cs="Arial"/>
    </w:rPr>
  </w:style>
  <w:style w:type="character" w:styleId="879" w:customStyle="1">
    <w:name w:val="Нижний колонтитул Знак"/>
    <w:link w:val="723"/>
    <w:rPr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hyperlink" Target="mailto:mineconom@obladm.ns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ANO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chln</dc:creator>
  <cp:lastModifiedBy>kov@NSO.LOC</cp:lastModifiedBy>
  <cp:revision>89</cp:revision>
  <dcterms:created xsi:type="dcterms:W3CDTF">2019-04-10T11:11:00Z</dcterms:created>
  <dcterms:modified xsi:type="dcterms:W3CDTF">2026-04-10T12:50:01Z</dcterms:modified>
  <cp:version>1048576</cp:version>
</cp:coreProperties>
</file>