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Style w:val="769"/>
        <w:tblW w:w="0" w:type="auto"/>
        <w:tblLook w:val="04A0" w:firstRow="1" w:lastRow="0" w:firstColumn="1" w:lastColumn="0" w:noHBand="0" w:noVBand="1"/>
      </w:tblPr>
      <w:tblGrid>
        <w:gridCol w:w="4957"/>
        <w:gridCol w:w="4954"/>
      </w:tblGrid>
      <w:tr>
        <w:tblPrEx/>
        <w:trPr/>
        <w:tc>
          <w:tcPr>
            <w:tcW w:w="4957" w:type="dxa"/>
            <w:textDirection w:val="lrTb"/>
            <w:noWrap w:val="false"/>
          </w:tcPr>
          <w:p>
            <w:pPr>
              <w:jc w:val="right"/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  <w:outlineLvl w:val="1"/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W w:w="495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outlineLvl w:val="1"/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Приложение № 2</w:t>
            </w:r>
            <w:r/>
          </w:p>
          <w:p>
            <w:pPr>
              <w:jc w:val="center"/>
              <w:spacing w:after="0" w:line="240" w:lineRule="auto"/>
              <w:outlineLvl w:val="1"/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к изменениям, которые вносятся в постановление Правительства Новосибирской области </w:t>
            </w:r>
            <w:r/>
          </w:p>
          <w:p>
            <w:pPr>
              <w:jc w:val="center"/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  <w:outlineLvl w:val="1"/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от 31.12.2019 № 525-п</w:t>
            </w:r>
            <w:r/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  <w:outlineLvl w:val="1"/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  <w:outlineLvl w:val="1"/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  <w:outlineLvl w:val="1"/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«ПРИЛОЖЕНИЕ № 15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к государственной программе</w:t>
            </w:r>
            <w:r>
              <w:rPr>
                <w:rFonts w:ascii="Times New Roman" w:hAnsi="Times New Roman"/>
                <w:color w:val="000000" w:themeColor="text1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Новосибирской области «Комплексное</w:t>
            </w:r>
            <w:r>
              <w:rPr>
                <w:rFonts w:ascii="Times New Roman" w:hAnsi="Times New Roman"/>
                <w:color w:val="000000" w:themeColor="text1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развитие сельских территорий</w:t>
            </w:r>
            <w:r>
              <w:rPr>
                <w:rFonts w:ascii="Times New Roman" w:hAnsi="Times New Roman"/>
                <w:color w:val="000000" w:themeColor="text1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в Новосибирской области»</w:t>
            </w:r>
            <w:r>
              <w:rPr>
                <w:rFonts w:ascii="Times New Roman" w:hAnsi="Times New Roman"/>
                <w:color w:val="000000" w:themeColor="text1"/>
                <w:sz w:val="28"/>
              </w:rPr>
            </w:r>
            <w:r>
              <w:rPr>
                <w:rFonts w:ascii="Times New Roman" w:hAnsi="Times New Roman"/>
                <w:color w:val="000000" w:themeColor="text1"/>
                <w:sz w:val="28"/>
              </w:rPr>
            </w:r>
          </w:p>
        </w:tc>
      </w:tr>
    </w:tbl>
    <w:p>
      <w:pPr>
        <w:jc w:val="center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highlight w:val="white"/>
        </w:rPr>
        <w:outlineLvl w:val="1"/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pStyle w:val="1120"/>
        <w:jc w:val="center"/>
        <w:rPr>
          <w:rFonts w:ascii="Times New Roman" w:hAnsi="Times New Roman" w:cs="Times New Roman"/>
          <w:color w:val="c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c00000"/>
          <w:sz w:val="28"/>
          <w:szCs w:val="28"/>
          <w:lang w:val="ru-RU"/>
        </w:rPr>
      </w:r>
      <w:r>
        <w:rPr>
          <w:rFonts w:ascii="Times New Roman" w:hAnsi="Times New Roman" w:cs="Times New Roman"/>
          <w:color w:val="c00000"/>
          <w:sz w:val="28"/>
          <w:szCs w:val="28"/>
          <w:lang w:val="ru-RU"/>
        </w:rPr>
      </w:r>
      <w:r>
        <w:rPr>
          <w:rFonts w:ascii="Times New Roman" w:hAnsi="Times New Roman" w:cs="Times New Roman"/>
          <w:color w:val="c00000"/>
          <w:sz w:val="28"/>
          <w:szCs w:val="28"/>
          <w:lang w:val="ru-RU"/>
        </w:rPr>
      </w:r>
    </w:p>
    <w:p>
      <w:pPr>
        <w:pStyle w:val="1120"/>
        <w:jc w:val="center"/>
        <w:rPr>
          <w:rFonts w:ascii="Times New Roman" w:hAnsi="Times New Roman" w:cs="Times New Roman"/>
          <w:color w:val="c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c00000"/>
          <w:sz w:val="28"/>
          <w:szCs w:val="28"/>
          <w:lang w:val="ru-RU"/>
        </w:rPr>
      </w:r>
      <w:r>
        <w:rPr>
          <w:rFonts w:ascii="Times New Roman" w:hAnsi="Times New Roman" w:cs="Times New Roman"/>
          <w:color w:val="c00000"/>
          <w:sz w:val="28"/>
          <w:szCs w:val="28"/>
          <w:lang w:val="ru-RU"/>
        </w:rPr>
      </w:r>
      <w:r>
        <w:rPr>
          <w:rFonts w:ascii="Times New Roman" w:hAnsi="Times New Roman" w:cs="Times New Roman"/>
          <w:color w:val="c00000"/>
          <w:sz w:val="28"/>
          <w:szCs w:val="28"/>
          <w:lang w:val="ru-RU"/>
        </w:rPr>
      </w:r>
    </w:p>
    <w:p>
      <w:pPr>
        <w:ind w:firstLine="709"/>
        <w:jc w:val="center"/>
        <w:spacing w:after="0" w:line="240" w:lineRule="auto"/>
        <w:rPr>
          <w:rFonts w:ascii="Times New Roman" w:hAnsi="Times New Roman"/>
          <w:b/>
          <w:bCs/>
          <w:color w:val="000000" w:themeColor="text1"/>
          <w:highlight w:val="white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  <w:t xml:space="preserve">ПОРЯДОК</w:t>
      </w:r>
      <w:r>
        <w:rPr>
          <w:rFonts w:ascii="Times New Roman" w:hAnsi="Times New Roman"/>
          <w:b/>
          <w:bCs/>
          <w:color w:val="000000" w:themeColor="text1"/>
          <w:highlight w:val="white"/>
        </w:rPr>
      </w:r>
      <w:r>
        <w:rPr>
          <w:rFonts w:ascii="Times New Roman" w:hAnsi="Times New Roman"/>
          <w:b/>
          <w:bCs/>
          <w:color w:val="000000" w:themeColor="text1"/>
          <w:highlight w:val="white"/>
        </w:rPr>
      </w:r>
    </w:p>
    <w:p>
      <w:pPr>
        <w:ind w:firstLine="709"/>
        <w:jc w:val="center"/>
        <w:spacing w:after="0" w:line="240" w:lineRule="auto"/>
        <w:rPr>
          <w:rFonts w:ascii="Times New Roman" w:hAnsi="Times New Roman"/>
          <w:b/>
          <w:bCs/>
          <w:color w:val="000000" w:themeColor="text1"/>
          <w:highlight w:val="white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  <w:t xml:space="preserve">предоставления и распределения субсидий местным бюджетам</w:t>
      </w:r>
      <w:r>
        <w:rPr>
          <w:rFonts w:ascii="Times New Roman" w:hAnsi="Times New Roman"/>
          <w:b/>
          <w:bCs/>
          <w:color w:val="000000" w:themeColor="text1"/>
          <w:highlight w:val="white"/>
        </w:rPr>
      </w:r>
      <w:r>
        <w:rPr>
          <w:rFonts w:ascii="Times New Roman" w:hAnsi="Times New Roman"/>
          <w:b/>
          <w:bCs/>
          <w:color w:val="000000" w:themeColor="text1"/>
          <w:highlight w:val="white"/>
        </w:rPr>
      </w:r>
    </w:p>
    <w:p>
      <w:pPr>
        <w:ind w:firstLine="709"/>
        <w:jc w:val="center"/>
        <w:spacing w:after="0" w:line="240" w:lineRule="auto"/>
        <w:rPr>
          <w:rFonts w:ascii="Times New Roman" w:hAnsi="Times New Roman"/>
          <w:b/>
          <w:bCs/>
          <w:color w:val="000000" w:themeColor="text1"/>
          <w:highlight w:val="white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  <w:t xml:space="preserve">на реализацию мероприятий долгосрочных планов</w:t>
      </w:r>
      <w:r>
        <w:rPr>
          <w:rFonts w:ascii="Times New Roman" w:hAnsi="Times New Roman"/>
          <w:b/>
          <w:bCs/>
          <w:color w:val="000000" w:themeColor="text1"/>
          <w:highlight w:val="white"/>
        </w:rPr>
      </w:r>
      <w:r>
        <w:rPr>
          <w:rFonts w:ascii="Times New Roman" w:hAnsi="Times New Roman"/>
          <w:b/>
          <w:bCs/>
          <w:color w:val="000000" w:themeColor="text1"/>
          <w:highlight w:val="white"/>
        </w:rPr>
      </w:r>
    </w:p>
    <w:p>
      <w:pPr>
        <w:ind w:firstLine="709"/>
        <w:jc w:val="center"/>
        <w:spacing w:after="0" w:line="240" w:lineRule="auto"/>
        <w:rPr>
          <w:rFonts w:ascii="Times New Roman" w:hAnsi="Times New Roman"/>
          <w:b/>
          <w:bCs/>
          <w:color w:val="000000" w:themeColor="text1"/>
          <w:highlight w:val="white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  <w:t xml:space="preserve">социально-экономического развития</w:t>
      </w:r>
      <w:r>
        <w:rPr>
          <w:rFonts w:ascii="Times New Roman" w:hAnsi="Times New Roman"/>
          <w:b/>
          <w:bCs/>
          <w:color w:val="000000" w:themeColor="text1"/>
          <w:highlight w:val="white"/>
        </w:rPr>
      </w:r>
      <w:r>
        <w:rPr>
          <w:rFonts w:ascii="Times New Roman" w:hAnsi="Times New Roman"/>
          <w:b/>
          <w:bCs/>
          <w:color w:val="000000" w:themeColor="text1"/>
          <w:highlight w:val="white"/>
        </w:rPr>
      </w:r>
    </w:p>
    <w:p>
      <w:pPr>
        <w:ind w:firstLine="709"/>
        <w:jc w:val="center"/>
        <w:spacing w:after="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  <w:t xml:space="preserve">сельских агломераций Новосибирской области (далее – Порядок по долгосрочным планам развития)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center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center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center"/>
        <w:spacing w:after="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  <w:t xml:space="preserve">I. Порядок предоставления субсидий местным бюджетам на реализацию мероприятий долгосрочных планов сельских агломераций Новосибирской области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</w:r>
    </w:p>
    <w:p>
      <w:pPr>
        <w:pStyle w:val="1120"/>
        <w:jc w:val="center"/>
        <w:rPr>
          <w:rFonts w:ascii="Times New Roman" w:hAnsi="Times New Roman" w:cs="Times New Roman"/>
          <w:highlight w:val="yellow"/>
          <w:lang w:val="ru-RU"/>
        </w:rPr>
      </w:pPr>
      <w:r>
        <w:rPr>
          <w:rFonts w:ascii="Times New Roman" w:hAnsi="Times New Roman" w:cs="Times New Roman"/>
          <w:highlight w:val="yellow"/>
          <w:lang w:val="ru-RU"/>
        </w:rPr>
      </w:r>
      <w:r>
        <w:rPr>
          <w:rFonts w:ascii="Times New Roman" w:hAnsi="Times New Roman" w:cs="Times New Roman"/>
          <w:highlight w:val="yellow"/>
          <w:lang w:val="ru-RU"/>
        </w:rPr>
      </w:r>
      <w:r>
        <w:rPr>
          <w:rFonts w:ascii="Times New Roman" w:hAnsi="Times New Roman" w:cs="Times New Roman"/>
          <w:highlight w:val="yellow"/>
          <w:lang w:val="ru-RU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1. Настоящий Порядок по долгосрочным планам развития разработан в соответствии с Правилами предоставления и распределения субсидий из федерального бюджета бюджетам субъектов Российской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Федерации на реализацию мероприятий долгосрочных планов социально-экономического развития сельских агломераций, предусмотренными приложением № 15 к государственной программе Российской Федерации «Комплексное развитие сельских территорий», утвержденной пос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тановлением Правительства Российской Федерации от 31.05.2019 № 696 «Об утверждении государственной программы Российской Федерации «Комплексное развитие сельских территорий» и о внесении изменений в некоторые акты Правительства Российской Федерации» (далее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–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Правила).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b/>
          <w:bCs/>
          <w:strike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2. Понятия, используемые в настоящем Порядке:</w:t>
      </w:r>
      <w:r>
        <w:rPr>
          <w:rFonts w:ascii="Times New Roman" w:hAnsi="Times New Roman"/>
          <w:b/>
          <w:bCs/>
          <w:strike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b/>
          <w:bCs/>
          <w:strike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«долгосрочный план развития»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–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документ, формируемый исполнительным органом субъекта Российской Федерации и утверждаемый Правительством Новосибирской области или Губернатором Новосибирской области, содержащий перечень мероприятий по развитию ин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фраструктуры сельской агломерации для достижения целей и показателей (индикаторов) государственной программы (подпрограммы) Новосибирской области, направленных на достижение целей проектов комплексного развития сельских территорий или сельских агломераций </w:t>
      </w:r>
      <w:bookmarkStart w:id="0" w:name="_GoBack"/>
      <w:r/>
      <w:bookmarkEnd w:id="0"/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Новосибирской области (далее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–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мероприятия) направления (подпрограммы)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«Создание и развитие инфраструктуры на сельских терр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иториях» государственной программы Российской Федерации «Комплексное развитие сельских территорий» и способствующих достижению  целей государственной программы Новосибирской области «Комплексное развитие сельских территорий в Новосибирской области» (далее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–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государственная программа) и целей иных государственных программ Новосибирской области, а также достижению национальных целей и обеспечению национальной безопасности;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«сельская агломерация» – совоку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пность опорного населенного пункта и прилегающей территории. Перечень опорных населенных пунктов на территории Новосибирской области утвержден постановлением Правительства Новосибирской области от 27.02.2023 № 59-п «Об утверждении Перечня опорных населенны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х пунктов и прилегающих территорий Новосибирской области» с учетом методических рекомендаций по критериям определения опорных населенных пунктов и прилегающих территорий, утвержденных распоряжением Правительства Российской Федерации от 23.12.2022 № 4132-р;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«сельские территории»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–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сельские населенные пункты, рабочие поселки.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Перечень таких сельских населенных пунктов, рабочих поселков Новосибирской области утвержден постановлением Правительства Новосибирской области от 03.03.2020 № 52-п «Об утверждении перечней сельских территорий и сельских агломераций Новосибирской области»;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«опорный населенный пункт»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–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населенный пункт, приоритетное развитие которого способствует достижению национальных целей и обеспечению национальной безопасности, в том числе за счет обеспечения доступности образования, медицинской помощи, услуг в сфере культуры и реал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изации иных потребностей для жителей прилегающей территории. Перечень опорных населенных пунктов на территории Новосибирской области утвержден постановлением Правительства Новосибирской области от 27.02.2023 № 59-п «Об утверждении Перечня опорных населенны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х пунктов и прилегающих территорий Новосибирской области» с учетом методических рекомендаций по критериям определения опорных населенных пунктов и прилегающих территорий, утвержденных распоряжением Правительства Российской Федерации от 23.12.2022 № 4132-р;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«прилегающая территория»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–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территория, прилегающая к границам опорного населенного пункта, которая включает территорию (или часть терр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итории) одного или нескольких муниципальных образований Новосибирской области. Перечень прилегающих территорий Новосибирской области утвержден постановлением Правительства Новосибирской области от 27.02.2023 № 59-п «Об утверждении Перечня опорных населенны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х пунктов и прилегающих территорий Новосибирской области» с учетом методических рекомендаций по критериям определения опорных населенных пунктов и прилегающих территорий, утвержденных распоряжением Правительства Российской Федерации от 23.12.2022 № 4132-р;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«отбор долгосрочных планов развития»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–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устанавливаемая в соответствии с порядком отбора долгосрочных планов развития, указанным в пункте 8 настоящего Порядка, процедура балльной оценки, ранжирования и распределения долгосрочных планов развития по федеральным округам Российской Федерации с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учетом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приоритизации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долгосрочных планов развития, в состав которых входят опорные населенные пункты, являющиеся малыми городами с ч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исленностью населения до 30 тыс. человек или сельскими населенными пунктами, по результатам которой комиссией, указанной в  пункте 9 настоящего Порядка, принимается решение об определении перечня долгосрочных планов развития, отобранных для субсидирования;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«получатель субсидии»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–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муниципальное образование Новосибирской области, заключившие соглашение о предоставлении субсидии.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«стоимость долгосрочного плана развития»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–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сумма денежных средств, определенная на основании сметной стоимости, а также иных документально подтвержденных и обоснованных затрат, необходимых для реализации долгосрочного плана развития.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3. В долгосрочный план развития включаются следующие мероприятия проектов комплексного развития сельских территорий, реализуемые и планируемые к реализации на территории сельской агломерации, на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софинансирование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которых предоставляются субсидии, в соответствии с приложением № 13 к государственной программе (далее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–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проекты комплексного развития):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1) строительство, реконструкция (модернизация) объектов (в том числе модульных), капитальный ремонт объектов (включая многофункциональные), предназначенных для предоставления соответствующих услуг населению (в том числе маломобильному):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государственных или муниципальных дошкольных образовательных организаций;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государственных или муниципальных общеобразовательных организаций;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государственных или муниципальных организаций дополнительного образования;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медицинских организаций государств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енной и муниципальной систем здравоохранения и их структурных подразделений, на базе которых оказывается первичная медико-санитарная помощь (поликлиники, их структурные подразделения, врачебные амбулатории, центры (отделения) общей врачебной практики (семе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йной медицины), фельдшерско-акушерские пункты и фельдшерские здравпункты), а также здания (отдельные здания, комплексы зданий) центральных районных больниц, в том числе предусматривающих оказание медицинской помощи с применением телемедицинских технологий;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государственных или муниципальных организаций культурно-досугового типа;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государственных или муниципальных физкультурно-спортивных организаций;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государственных организаций социального обслуживания;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государственных учреждений, подведомственных уполномоченным в области ветеринарии исполнительным органам субъектов Российской Федерации, и их структурных подразделений, осуществляющих проведение профилактических, диагностических и лечебных мероприятий;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2) строительство, реконструкция (модернизация) объектов,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предназначенных для размещения в них организаций народных художественных промыслов, входящих в перечень организаций народных художественных промыслов, поддержка которым оказывается федеральными органами исполнительной власти, утвержденный в соответствии с </w:t>
      </w:r>
      <w:hyperlink r:id="rId13" w:tooltip="https://login.consultant.ru/link/?req=doc&amp;base=LAW&amp;n=464177&amp;dst=47" w:history="1">
        <w:r>
          <w:rPr>
            <w:rFonts w:ascii="Times New Roman" w:hAnsi="Times New Roman"/>
            <w:color w:val="000000" w:themeColor="text1"/>
            <w:sz w:val="28"/>
            <w:szCs w:val="28"/>
            <w:highlight w:val="white"/>
          </w:rPr>
          <w:t xml:space="preserve">пунктом 2 статьи 4.1</w:t>
        </w:r>
      </w:hyperlink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Федерального закона «О народных художественных промыслах»;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3) реконструкция (модернизация), капитальный ремонт объектов ремесленной деятельности, объектов туризма, объектов, имеющих туристический потенциал, находящихся в государственной или муниципальной собственности;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4) приобретение транспортных средств (не бывших в употреблении или эксплуатации) для обеспечения функционирования существующих или создаваемых в рамках долгосрочного плана развития объектов, указанных в подпункте 1 настоящего пункта: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пассажирских автобусов (микроавтобусов), в том числе использующих природный газ в качестве моторного топлива;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санитарных автомобилей (автомобилей скорой помощи класса «А», оснащенных необходимым оборудованием);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комплексов передвижных медицинских на колесных транспортных средствах со стандартным оснащением для оказания первичной медико-санитарной помощи и проведения профилактического медицинского осмотра;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мобильных ветеринарных пунктов на колесных транспортных средствах с оснащением для оказания ветеринарной помощи и проведения профилактических мероприятий;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мобильных утилизационных установок для обеспечения деятельности государственных учреждений, указанных в абзаце девятом подпункта 1 настоящего пункта;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5) приобретение и установка модульных конструкций (за исключением объектов с массовым пребыванием граждан, указанных в </w:t>
      </w:r>
      <w:hyperlink r:id="rId14" w:tooltip="https://login.consultant.ru/link/?req=doc&amp;base=LAW&amp;n=507524&amp;dst=2505" w:history="1">
        <w:r>
          <w:rPr>
            <w:rFonts w:ascii="Times New Roman" w:hAnsi="Times New Roman"/>
            <w:color w:val="000000" w:themeColor="text1"/>
            <w:sz w:val="28"/>
            <w:szCs w:val="28"/>
            <w:highlight w:val="white"/>
          </w:rPr>
          <w:t xml:space="preserve">части 2.2 статьи 49</w:t>
        </w:r>
      </w:hyperlink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Градостроительного код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екса Российской Федерации), приобретение оборудования (не бывшего в употреблении или эксплуатации) для обеспечения функционирования существующих или создаваемых в рамках долгосрочного плана развития объектов, перечисленных в  подпункте 1 настоящего пункта;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6) строительство, реконструкция и капитальный ремонт централизованных и нецентрализованных систем водоснабжения, водоотведения, канализации, очистных сооружений, станций водоподготовки и водозаборных сооружений для фу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нкционирования объектов жилого и нежилого фонда (объектов социального назначения). При этом в случае если потребителем услуг водоотведения также является организация, занимающаяся производством товаров (оказанием услуг), указанная организация обеспечивает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софинансирование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строительства такого канализационного очистного сооружения в соответствии с подпунктом 3 пункта 15 настоящего Порядка;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7) строительство, приобретение и установка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блочно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-модульных котельных и перевод многоквартирных домов на индивидуальное отопление (включая техническое присоединение к газовым сетям), строительство, реконструкция и капитальный ремонт тепловых сетей (за исключением котельных);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8) строительство газораспределительных сетей с распределительными газопроводами низкого давления (для газоснабжения жилых домов, общественных зданий и коммунально-бытовых предприятий) и среднего давления (для подачи газа в газопровод низкого давления);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9) строительство, приобретение и монтаж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газопоршневых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установок, газгольдеров;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10) строительство, реконструкция и капитальный ремонт электрических сетей уличного освещения, установка электрооборудования для уличного освещения (при условии обязательного использования энергосберегающих технологий);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11) строительство и оборудование автономных и возобновляемых источников энергии для энергообеспечения объектов жилого и нежилого фонда (объектов социального назначения);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12)</w:t>
      </w:r>
      <w:r>
        <w:rPr>
          <w:highlight w:val="white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развитие телекоммуникаций (строительство (п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рокладка) линий передачи данных, приобретение и монтаж оборудования, обеспечивающего в том числе возможность беспроводного подключения к информационно-телекоммуникационной сети «Интернет») объектов жилого и нежилого фонда (объектов социального назначения);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13) строительство объектов (зданий) для размещения в них многофункциональных государственных и муниципальных организаций, включая организации, указанные в подпункте 1 настоящего пункта, а также иные государственные и муниципальные организации и учреждения.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4. В цел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ях синхронизации мер государственной поддержки и обеспечения комплексного развития инфраструктуры сельской агломерации в долгосрочный план развития включаются следующие мероприятия, реализуемые и планируемые к реализации на территории сельской агломерации: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1) мероприятия по строительству (приобретению) жилья, предоставляемого гражданам по договору найма жилого помещения, указанные в приложении № 10 к государственной программе;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2) мероприятия по благоустройству общественных пространств на сельских территориях и в сельских агломерациях, указанные в приложении № 12 к государственной программе;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3) мероприятия по развитию транспортной инфраструктуры, указанные в пункте 4 приложения № 9 к государственной программе Российской Федерации «Комплексное развитие сельских территорий»;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4) мероприятия, включенные в проекты комплексного развития;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5) мероприятия по развитию инфраструктуры сельской агломерации, соответствующие мероп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риятиям государственной программы, а также мероприятия по обустройству общественных территорий, финансирование которых планируется с привлечением средств федерального и областного бюджета в рамках иных государственных программ Новосибирской области (далее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–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мероприятия иных государственных программ);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6) мероприятия иных государственных программ, финансирование которых планируется за счет средств областного или местного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бюджета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или внебюджетных источников;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7) мероприятия по развитию инфраструктуры сельской агломерации, соответствующие мероприятиям проекта комплексного развития, финансирование которых предусматривается за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счет предоставляемых Федеральным казначейством бюджетам субъектов Российской Федерации бюджетных кредитов на финансовое обеспечение реализации инфраструктурных проектов за счет временно свободных средств единого счета федерального бюджета в соответствии с </w:t>
      </w:r>
      <w:hyperlink r:id="rId15" w:tooltip="https://login.consultant.ru/link/?req=doc&amp;base=LAW&amp;n=504336&amp;dst=100009" w:history="1">
        <w:r>
          <w:rPr>
            <w:rFonts w:ascii="Times New Roman" w:hAnsi="Times New Roman"/>
            <w:color w:val="000000" w:themeColor="text1"/>
            <w:sz w:val="28"/>
            <w:szCs w:val="28"/>
            <w:highlight w:val="white"/>
          </w:rPr>
          <w:t xml:space="preserve">Правилами</w:t>
        </w:r>
      </w:hyperlink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предоставления Федеральным казначейством бюджетам субъектов Российской Федерации бюджетных кредитов на финансовое обеспечение реализации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инфраструктурных проектов за счет временно свободных средств единого счета федерального бюджета, а также их использования и возврата, утвержденными постановлением Правительства Российской Федерации от 25.01.2025 № 48 «Об утверждении Правил предоставления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Федеральным казначейством бюджетам субъектов Российской Федерации бюджетных кредитов на финансовое обеспечение реализации инфраструктурных проектов за счет временно свободных средств единого счета федерального бюджета, а также их использования и возврата».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5. Финансовое обеспечение реализации мероприятий долгосрочного плана развития в течение первых 3 лет реализации долгосрочного плана развития должно осуществляться с учетом следующего условия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–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общий объем субсидии, предоставляемой i-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му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муниципальному образованию в целях софинансирования расходных обязательств, возникающих при реализации мероприятий  проекта комплексного развития сельских территорий, а также мероприятий, указанных в подпунктах 1-3  пункта 4 настоящего Порядка (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C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vertAlign w:val="subscript"/>
        </w:rPr>
        <w:t xml:space="preserve">i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), должен удовлетворять следующему требованию: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/>
      <m:oMathPara>
        <m:oMathParaPr/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rPr/>
                    <m:t>С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rPr/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rPr/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rPr/>
                    <m:t>i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rPr/>
                <m:t>+А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</w:rPr>
            <m:rPr/>
            <m:t>≤0,7,</m:t>
          </m:r>
        </m:oMath>
      </m:oMathPara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где A – общий объем субсидий, предоставляемых i-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му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муниципальному образованию в рамках иных государственных программ Новосибирской области в целях софинансирования расходных обязательств, возникающих при реализации мероприятий, указанных в настоящем П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орядке, реализация которых предусмотрена в опорном населенном пункте, а также аналогичных мероприятий, реализуемых или реализованных в году проведения отбора долгосрочных планов развития, в опорном населенном пункте, по которым заинтересованными  органами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исполнительной власти Новосибирской области, осуществляющими функции по выработке и реализации государственной политики в соответствующих сферах (далее – заинтересованные органы исполнительной власти), представлены документы, указанные в настоящем Порядке.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В случае невозможности обеспе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чения финансирования мероприятия, указанного в настоящем Порядке, в рамках соответствующей государственной программы Новосибирской области допускается обеспечение финансирования такого мероприятия в полном объеме за счет средств из внебюджетных источников.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6.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Не допускается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софинансирование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расходных обязательств муниципальных образований Новосибирской области по мероприятиям проекта ко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мплексного развития, реализуемым на территориях муниципальных образований Новосибирской области, при наличии просроченной задолженности муниципального образования Новосибирской области, муниципальных унитарных предприятий или государственных унитарных пред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приятий, осуществляющих на указанных территориях деятельность по забору, очистке, распределению воды, перед подведомственными Министерству сельского хозяйства Российской Федерации учреждениями по мелиорации земель за услуги по подаче (отводу) воды и (или)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в случае наличия принятого к производству судом искового заявления подведомственного Министерству сельского хозяйства Российской Федерации учреждения по мелиорации земель о взыскании с муниципального образования, муниципальных унитарных предприятий или гос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ударственных унитарных предприятий, осуществляющих на территории муниципального образования Новосибирской области деятельность по забору, очистке, распределению воды, по договору оказания услуг по подаче (отводу) воды в размере, превышающем 50 тыс. рублей.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7.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Распределение субсидий на реализацию мероприятий проекта комплексного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развития в составе долгосрочных планов развития, отобранных для субсидирования, осуществляется в пределах бюджетных ассигнований областного бюджета, предусмотренных областным законом об областном бюджете на соответствующий финансовый год и плановый период.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8.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Требования к составу за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явочной документации, а также порядок ее направления на отбор долгосрочных планов развития, в том числе в электронном виде, предусматриваются порядком отбора долгосрочных планов развития, утверждаемым Министерством сельского хозяйства Российской Федерации.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В отношении промышленной продукции, приобретение которой необходимо для реализации мероприятий проекта комплексного развития, в составе заявочной документации представляется действительное на день направления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заявочной документации на отбор долгосрочных планов развития заключение об отнесении продукции к промышленной продукции, не имеющей произведенных в Российской Федерации аналогов, Министерства промышленности и торговли Российской Федерации в соответствии с </w:t>
      </w:r>
      <w:hyperlink r:id="rId16" w:tooltip="https://login.consultant.ru/link/?req=doc&amp;base=LAW&amp;n=509735" w:history="1">
        <w:r>
          <w:rPr>
            <w:rFonts w:ascii="Times New Roman" w:hAnsi="Times New Roman"/>
            <w:color w:val="000000" w:themeColor="text1"/>
            <w:sz w:val="28"/>
            <w:szCs w:val="28"/>
            <w:highlight w:val="white"/>
          </w:rPr>
          <w:t xml:space="preserve">постановлением</w:t>
        </w:r>
      </w:hyperlink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Правительства Российской Федерации от 20.09.2017 № 1135 «Об отнесении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продукции к промышленной продукции, не имеющей произведенных в Российской Федерации аналогов, и внесении изменений в некоторые акты Правительства Российской Федерации» либо номер реестровой записи реестра российской промышленной продукции в соответствии с </w:t>
      </w:r>
      <w:hyperlink r:id="rId17" w:tooltip="https://login.consultant.ru/link/?req=doc&amp;base=LAW&amp;n=522032" w:history="1">
        <w:r>
          <w:rPr>
            <w:rFonts w:ascii="Times New Roman" w:hAnsi="Times New Roman"/>
            <w:color w:val="000000" w:themeColor="text1"/>
            <w:sz w:val="28"/>
            <w:szCs w:val="28"/>
            <w:highlight w:val="white"/>
          </w:rPr>
          <w:t xml:space="preserve">постановлением</w:t>
        </w:r>
      </w:hyperlink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Правительства Российской Федерации от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17.07.2015 № 719 «О подтверждении производства российской промышленной продукции».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В составе заявочной документации представляется документ с рез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ультатами проведения общественного обсуждения долгосрочного плана развития, подтверждающий, что не менее 50 процентов населения опорного населенного пункта, достигших 16-летнего возраста, поддержали целесообразность реализации долгосрочного плана развития.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9.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Организация и проведение отбора долгосрочных планов развития осуществляются комиссией, образуемой Министерством сельского хозяйства Российской Федерации в соответствии с абзацем седьмым пункта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2 приложения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№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11 к государственной программе Российской Федерации «Комплексное развитие сельских территорий» (далее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–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комиссия).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Решение комиссии о результатах отбора долгосрочных планов развития направляется Министерством сельского хозяйства Новосибирской области (далее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–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министерство) в муниципальные образования Новосибирской области и заинтересованные органы исполнительной власти.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10.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Дублирование предоставления субсидий с иными мероприятиями государственной поддержки в рамках реализации мероприятий государственной программы не допускается.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В целях исключения дублирования предоставления субсидий с иными мероприятиями государственной поддержки, а также в целях подтверждения условия, предусмотренного  настоящего Порядка, заинтересованные орган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ы исполнительной власти или главные распорядители средств областного бюджета (в случае если заинтересованные органы исполнительной власти не являются главными распорядителями средств областного бюджета) на основании письменного обращения заявителя или мини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стерства  подготавливают и представляют документы, содержащие перечень мероприятий иных государственных программ (с указанием их стоимости и мощностей), отобранных для софинансирования на очередной финансовый год и плановый период. В случае если адресное (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пообъектное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) распределение субсидии осуществляется Новосибирской областью, заинтересованные органы исполнительной власти по запросу министерства  направляют в Министерство сел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ьского хозяйства Российской Федерации информацию об общих объемах бюджетных ассигнований федерального бюджета, предусмотренных бюджету Новосибирской области на очередной финансовый год и плановый период в рамках государственных программ Новосибирской облас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ти, ответственными исполнителями или главными распорядителями средств областного бюджета (в случае если заинтересованные органы исполнительной власти не являются главными распорядителями средств областного бюджета) которых являются соответствующие заинтере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сованные органы исполнительной власти. Министерство на основании письменного обращения заявителя запрашивает указанные подтверждающие документы у заинтересованных органов исполнительной власти или главных распорядителей средств областного бюджета (в случае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если заинтересованные органы исполнительной власти не являются главными распорядителями средств областного бюджета) в случае непредставления заявителю указанных подтверждающих документов в срок, требуемый для участия в отборе долгосрочных планов развития.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11.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Субсидия предоставляется при соблюдении Новосибирской областью условий предоставления субсидий, предусмотренных </w:t>
      </w:r>
      <w:hyperlink r:id="rId18" w:tooltip="https://login.consultant.ru/link/?req=doc&amp;base=LAW&amp;n=515587&amp;dst=460" w:history="1">
        <w:r>
          <w:rPr>
            <w:rFonts w:ascii="Times New Roman" w:hAnsi="Times New Roman"/>
            <w:color w:val="000000" w:themeColor="text1"/>
            <w:sz w:val="28"/>
            <w:szCs w:val="28"/>
            <w:highlight w:val="white"/>
          </w:rPr>
          <w:t xml:space="preserve">абзацами вторым</w:t>
        </w:r>
      </w:hyperlink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- </w:t>
      </w:r>
      <w:hyperlink r:id="rId19" w:tooltip="https://login.consultant.ru/link/?req=doc&amp;base=LAW&amp;n=515587&amp;dst=462" w:history="1">
        <w:r>
          <w:rPr>
            <w:rFonts w:ascii="Times New Roman" w:hAnsi="Times New Roman"/>
            <w:color w:val="000000" w:themeColor="text1"/>
            <w:sz w:val="28"/>
            <w:szCs w:val="28"/>
            <w:highlight w:val="white"/>
          </w:rPr>
          <w:t xml:space="preserve">четвертым пункта 8</w:t>
        </w:r>
      </w:hyperlink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Правил формирования, предоставления и распределения субсидий из федерального бюджета бюджетам субъектов Российской Федерации, утвержденных постановлением Правительства Российской Федерации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от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30.09.2014 № 999 «О формировании, предоставлении и распределении субсидий из федерального бюджета бюджетам субъектов Российской Федерации» (далее – Правила предоставления субсидий).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12.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Субсидии предоставляются в пределах лимитов бюджетных обязательств, доведенных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в установленном порядке до министерства как получателя средств областного бюджета на предоставление субсидий на мероприятия, указанные в настоящем Порядке, с учетом условий допуска к отбору долгосрочных планов развития, предусмотренных настоящим Порядком.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13.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Критериями отбора муниципального образования Новосибирской области для предоставления субсидии являются: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а)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наличие долгосрочного плана развития, прошедшего отбор;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б)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наличие заявочной документации, соответствующей требованиям, установленным Министерством сельского хозяйства Российской Федерации.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14.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Субсидия предоставляется на основании соглашения между министерством и муниципальным образованием Новосибирской области о предоставлении субсидии, подготовленного (сформированного) с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использованием государственной интегрированной информационной системы управления общественными финансами «Электронный бюджет» (далее – система «Электронный бюджет») в соответствии с типовой формой, утвержденной Министерством финансов Российской Федерации.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Муниципальное образование Новосибирской области может увеличить объем бюджетных ассигнований на финансовое обеспечение своих расходных обязательств, в целях софинансирова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ния которых предоставляется субсидия, в том числе с учетом достижения значений результатов использования субсидии, предусмотренных соглашением, указанным в абзаце первом настоящего пункта, что не влечет за собой обязательств по увеличению размера субсидии.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Адресное (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пообъектное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) распределение субсидии между мероприятиями долгосрочного плана развития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устанавливается соглашением, указанным в  настоящего пункта, в соответствии с настоящим Порядком и на основании сведений об объектах капитального строительства, объектах недвижимого имущества, сформированных в системе «Электронный бюджет» в соответствии с </w:t>
      </w:r>
      <w:hyperlink r:id="rId20" w:tooltip="https://login.consultant.ru/link/?req=doc&amp;base=LAW&amp;n=516411&amp;dst=100029" w:history="1">
        <w:r>
          <w:rPr>
            <w:rFonts w:ascii="Times New Roman" w:hAnsi="Times New Roman"/>
            <w:color w:val="000000" w:themeColor="text1"/>
            <w:sz w:val="28"/>
            <w:szCs w:val="28"/>
            <w:highlight w:val="white"/>
          </w:rPr>
          <w:t xml:space="preserve">Положением</w:t>
        </w:r>
      </w:hyperlink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о порядке формирования и ведения реестра объек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тов капитального строительства, объектов недвижимого имущества, строительство (реконструкция, в том числе с элементами реставрации, техническое перевооружение) или приобретение которых осуществляется (планируется осуществлять) за счет средств федерального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бюджета, утвержденным постановлением Правительства Российской Федерации от 30.05.2024 № 702 «Об управлении капитальными вложениями, финансовое обеспечение которых осуществляется (планируется осуществлять) за счет средств федерального и областного бюджета».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15.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В целях повышения эффективности реализации мероприятий, включенных в долгосрочные планы развития, предусматривается исполнение муниципальными образованиями Новосибирской области следующих обязательных условий реализации долгосрочных планов развития: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1)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финансовое обеспечение мероприятий долгосрочного плана развития в соответствии с пунктом 5 настоящего Порядка;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2)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финансовое обеспечение мероприятий долгосрочного плана развития, предусмотренных подпунк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тами 2 и 3 пункта 3 настоящего Порядка, за счет средств из внебюджетных источников (в форме денежных средств или вклада индивидуальных предпринимателей и (или) юридических лиц в форме предоставления материалов и (или) приобретения оборудования) в объеме не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менее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50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процентов общей стоимости мероприятия;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3)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финансовое обеспечение каждого мероприятия долгосрочного плана развития, включающего строительство канализационного очистного сооружения, указанного в  подпункт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е 6 пункта 3 настоящего Порядка, которое также обеспечивает функционирование объектов организаций, занимающихся производством товаров (оказанием услуг), за счет средств из внебюджетных источников (в форме денежных средств или вклада индивидуальных предприн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имателей и (или) юридических лиц в форме предоставления материалов и (или) приобретения оборудования) в объеме, пропорциональном объему производимых сточных вод, но не менее 50 процентов общей стоимости канализационного очистного сооружения. В случае если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софинансирование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за счет средств из внебюджетных источников обеспечивается организацией агропромышленного комплекса и (или) пр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оизводителем удобрений для сельскохозяйственных культур при условии создания в такой организации новых рабочих мест (и заполнения штатных единиц) в период реализации долгосрочного плана развития, доля средств из внебюджетных источников должна составлять не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более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25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процентов общей стоимости канализационного очистного сооружения;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4)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обеспечение выполнения муниципальным образованием Новосибирской области следующих требований при реализации мероприятий, указанных в подпунктах 1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–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3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пункта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3 настоящего Порядка: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подключение объектов социальной инфр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аструктуры, строительство (реконструкция) которых осуществляется в рамках мероприятий проекта комплексного развития, к широкополосному доступу к информационно-телекоммуникационной сети «Интернет» (с наличием необходимого для функционирования оборудования);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наличие необходимого количества работников, обладающих соответствующей профес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сиональной квалификацией, для обеспечения заполнения штатного расписания начиная с первого года функционирования объекта социальной инфраструктуры, строительство и укомплектование оборудованием которого осуществляются в рамках долгосрочного плана развития;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организация уличного освещения территории объекта социальной инфраструктуры с применением энергосберегающих технологий;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наличие автомобильной дороги общего пользования, ведущей от сети автомобильных дорог общего пользования к объекту социальной инфраструктуры;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5)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обеспечение внесения и актуализации сведений о состоянии сельских территорий и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сельских агломераций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и показателей социально-экономического состояния сельских территорий и сельских агломераций в информационные сервисы Министерства сельского хозяйства Российской Федерации, а также обеспечение контроля за полнотой и достоверностью представляемых сведений;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6)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обеспечение привлечения средств из внебюджетных источников в целях реализ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ации мероприятий долгосрочного плана развития в объеме, предусмотренном долгосрочным планом развития при направлении его на отбор долгосрочных планов развития в Министерство сельского хозяйства Российской Федерации, и их первоочередное кассовое исполнение;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7)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по каждому мероприятию проекта комплексного развития, связанному с осуществлением капитальных вложений, – обеспечение заключения госуд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арственного (муниципального) контракта на поставку товаров, выполнение работ, оказание услуг в срок, не превышающий 3 месяцев со дня заключения соглашения, указанного в 14 настоящего Порядка. В случае невозможности заключения государственного (муниципально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го) контракта на выполнение работ, поставку товаров, оказание услуг по мероприятию проекта комплексного развития в указанный срок муниципальное образование может обратиться в Министерство  и инициировать внесение изменений в соглашение, указанное в  пункте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14 настоящего Порядка, в части увеличения срока, до которого должен быть заключен государственный (муниципальный) контракт на выполнение работ, поставку товаров, оказание услуг по мероприятию проекта комплексного развития, до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5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месяцев со дня заключения соглашения, указанного в пункте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14 настоящего Порядка;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8)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по мероприятиям проекта комплексного развития, не связанным с осуществлением капитальных вложений,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–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обеспечение заключения государственных (муниципальных) контрактов на поставку товаров, выполнение работ, оказание услуг, заключаемых от имени муниципального образования: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в случае заключения соглашения, указанного в пункте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14 настоящего Порядка, до 1 января года предоставления субсидии – не позднее 1 июля года предоставления субсидии;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в случае заключения соглашения, указанного в пункте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14 настоящего Порядка, до 1 августа года предоставления субсидии – не позднее 1 октября года предоставления субсидии;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9)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обеспечение ежегодного достижения целевых показателей, предусмотренных долгосрочным планом развития.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16.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В случае невыполнения муниципальным образованием Новосибирской области обязательных условий реализации долгосрочных планов развития, установленных подпунктами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1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–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3,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7,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8 пункта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15 настоящего Порядка, министерство инициирует внесение изменений в соглашение, указанное в пункте 14 настоящего Порядка, или его расторжение.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В случае невыполнения муниципальным образованием Новосибирской области обязательного условия реализации долгосрочных планов развития, установленного  подпунктом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1 пункта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15 настоящего Порядка, субсидия не распределяется на реализацию мероприятий проекта комплексного развития, включенных в долгосрочные планы развития, отобранные дл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я субсидирования, начало реализации которых запланировано в очередном году и (или) плановом периоде, до выполнения муниципальным образованием Новосибирской области указанного обязательного условия (в пределах срока реализации долгосрочного плана развития).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17.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В случае возникновения экономии в результате заключе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ния государственных (муниципальных) контрактов на закупку товаров, работ, услуг для обеспечения государственных (муниципальных) нужд муниципальным образованием не могут быть направлены предложения в части внесения изменений в соглашение, указанное в пункте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14 настоящего Порядка, в части сокращения расходов, источником финансового обеспечения которых являются внебюджетные средства.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18.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Результатами использования субсидий на цели, предусмотренные пунктом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1 настоящего Порядка, являются: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«реализованы мероприятия долгосрочных планов развития (в части строительства и реконструкции (модернизации) объектов капитального строительства), единиц»;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«реализованы мероприятия долгосрочных планов развития (за исключением строительства и реконструкции (модернизации) объектов капитального строительства), единиц»;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«созданы рабочие места (заполнены штатные единицы) в период реализации долгосрочных планов развития, отобранных для субсидирования, единиц».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Оценка эффективности использования субсидий осуществляется комиссией в соответствии с методикой оценки эффективности реализации долгосрочных планов развития, утверждаемой Министерством сельского хозяйства Российской Федерации.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Эффективность использования субсидий оценивается ежегодно на основании отчетов, представляемых органами исполнительной власти в соответствии с абзацем двенадцатым настоящего пункта.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На основании результатов оценки эффективности использования субсидии субъект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у Российской Федерации присваивается высокий уровень эффективности реализации долгосрочных планов развития, или средний уровень эффективности реализации долгосрочных планов развития, или низкий уровень эффективности реализации долгосрочных планов развития.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В течение 20 рабочих дней после проведения отбора долгосрочных планов р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азвития и определения перечня долгосрочных планов развития, отобранных для субсидирования, министерство разрабатывает и направляет на согласование в Министерство сельского хозяйства Российской Федерации планы реализации долгосрочных планов развития (далее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–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планы реализации), включающие в том числе контрольные точки, необходимые для мониторинга хода реализации мероприятий, включенных в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долгосрочные планы развития, по форме, утверждаемой Министерством сельского хозяйства Российской Федерации. Министерство сельского хозяйства Российской Федерации рассматривает планы реализации в срок, не превышающий 20 рабочих дней со дня их представления.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После согласования Министерством сельского хозяйства Российской Федерации планы реализации утверждаются министерством в срок, не превышающий 10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рабочих дней со дня заключения соглашения между Министерством сельского хозяйства Российской Федерации и Правительством Новосибирской области и представляются в Министерство сельского хозяйства Российской Федерации для осуществления контроля их исполнения.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Внесение изменений в планы реализации осуществляется по согласованию с Министерством сельского хозяйства Российской Федерации.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Муниципальным образованием Новосибирской области на основе плана реализации формируется отчет о реализации мероприятий, включенных в долгосрочные планы развития (далее – отчет).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Форма, сроки и порядок представления отчета утверждаются Министерством сельского хозяйства Российской Федерации. Вместе с отчетом представляются документы и (или) материалы, подтверждающие указанные в отчете сведения.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19.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Ответственность за достоверность представляемых министерству сведений и соблюдение условий предоставления субсидий возлагается на органы исполнительной власти.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center"/>
        <w:spacing w:after="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  <w:t xml:space="preserve">II. Порядок распределения субсидий местным бюджетам на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center"/>
        <w:spacing w:after="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  <w:t xml:space="preserve">реализацию мероприятий долгосрочных планов сельских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center"/>
        <w:spacing w:after="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  <w:t xml:space="preserve"> агломераций Новосибирской области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sz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20.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Распределение субсидий между бюджетами муниципальных образований Новосибирской области на очередной финансовый год осуществляется министерством в соответствии с лимитами бюджетных обязательств, предусмотренных федеральным и областным бюджетом.</w:t>
      </w:r>
      <w:r>
        <w:rPr>
          <w:rFonts w:ascii="Times New Roman" w:hAnsi="Times New Roman"/>
          <w:color w:val="000000" w:themeColor="text1"/>
          <w:sz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sz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21.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Объем бюджетных ассигнований бюджету i-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го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муниципального образования Новосибирской области на реализацию мероприятий долгосрочных планов развития, определяется по формуле:</w:t>
      </w:r>
      <w:r>
        <w:rPr>
          <w:rFonts w:ascii="Times New Roman" w:hAnsi="Times New Roman"/>
          <w:color w:val="000000" w:themeColor="text1"/>
          <w:sz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sz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highlight w:val="white"/>
        </w:rPr>
      </w:r>
    </w:p>
    <w:p>
      <w:pPr>
        <w:ind w:firstLine="709"/>
        <w:jc w:val="center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С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pi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 = ∑ (П1+П2+…П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n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),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sz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sz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где:</w:t>
      </w:r>
      <w:r>
        <w:rPr>
          <w:rFonts w:ascii="Times New Roman" w:hAnsi="Times New Roman"/>
          <w:color w:val="000000" w:themeColor="text1"/>
          <w:sz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Сpi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– объем субсидий бюджету i-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го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муниципального образования Новосибирской области;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П – размер субсидии на реализацию мероприятий комплексного развития сельских территорий, включенных в долгосрочный план развития, за счет средств областного бюджета Новосибирской области;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1, 2, ... n – порядковый номер мероприятия проекта комплексного развития Новосибирской области.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22.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Муниципальному образованию Новосибирской области не осуществляется распределение субсидии  на реализацию мероприятий, вкл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юченных в долгосрочный план развития, отобранный для субсидирования, на очередной финансовый год, если на дату проведения отбора долгосрочных планов развития (за исключением случаев, обусловленных наступлением обстоятельств непреодолимой силы, указанных в </w:t>
      </w:r>
      <w:hyperlink r:id="rId21" w:tooltip="https://login.consultant.ru/link/?req=doc&amp;base=LAW&amp;n=515587&amp;dst=482" w:history="1">
        <w:r>
          <w:rPr>
            <w:rFonts w:ascii="Times New Roman" w:hAnsi="Times New Roman"/>
            <w:color w:val="000000" w:themeColor="text1"/>
            <w:sz w:val="28"/>
            <w:szCs w:val="28"/>
            <w:highlight w:val="white"/>
          </w:rPr>
          <w:t xml:space="preserve">пункте 20</w:t>
        </w:r>
      </w:hyperlink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Правил предоставления субсидий):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в муниципальном образова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нии Новосибирской области имеются незавершенные проекты комплексного развития в составе долгосрочного плана развития. а начиная с отбора на 2027 год и плановый период 2028 и 2029 годов также имеются незавершенные мероприятия, предусмотренные приложениями №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3,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7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и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9 к государственной программе Российской Федерации «Комплексное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развитие сельских территорий», сроки реализации которых уже наступили, на реализацию которых соответствующему муниципальному образованию Новосибирской области были предоставлены субсидии;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муниципальным образованием Новосибирской области не выполнены условия, предусмотренные пунктом 5 и абзацем первым подпункта 1 пункта 15 настоящего Порядка;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color w:val="000000" w:themeColor="text1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по итогам года, предшествующего году распределения субсидий, муниципальному образованию Новосибирской области присвоен низкий уровень эффективности реализации долгосрочных планов развития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по итогам оценки эффективности их реализации, указанной в пункте 18 настоящего Порядка, и (или) низкий уровень эффективности реализации проектов комплексного развития по итогам оценки эффективности использования субсидий, указанной в абзаце седьмом пункта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20 приложения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№</w:t>
      </w:r>
      <w:r>
        <w:rPr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11 к государственной программе Россий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ской Федерации «Комплексное развитие сельских территорий», а начиная с отбора долгосрочных планов развития на 2027 год и плановый период 2028 и 2029 годов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–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также низкий уровень эффективности использования субсидии в соответствии с пунктом 24(3) приложения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№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3 и пунктом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21 приложения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№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9 к государственной программе Российской Федерации «Комплексное развитие сельских территорий» и причина присвоения муниципальному образованию низкого уровня эффективности использования субсидии не устранена;</w:t>
      </w:r>
      <w:r>
        <w:rPr>
          <w:rFonts w:ascii="Times New Roman" w:hAnsi="Times New Roman"/>
          <w:color w:val="000000" w:themeColor="text1"/>
          <w:highlight w:val="white"/>
        </w:rPr>
      </w:r>
      <w:r>
        <w:rPr>
          <w:rFonts w:ascii="Times New Roman" w:hAnsi="Times New Roman"/>
          <w:color w:val="000000" w:themeColor="text1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фактический объем кассово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го освоения средств из внебюджетных источников, предусмотренных на реализацию проектов комплексного развития, составил менее 90 процен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тов объема средств из внебюджетных источников, предусмотренных на финансовое обеспечение проектов комплексного развития.».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center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_________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r>
    </w:p>
    <w:sectPr>
      <w:headerReference w:type="default" r:id="rId9"/>
      <w:headerReference w:type="even" r:id="rId10"/>
      <w:footerReference w:type="even" r:id="rId11"/>
      <w:footnotePr/>
      <w:endnotePr/>
      <w:type w:val="nextPage"/>
      <w:pgSz w:w="11906" w:h="16838" w:orient="portrait"/>
      <w:pgMar w:top="1134" w:right="567" w:bottom="1134" w:left="1418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Consolas">
    <w:panose1 w:val="020B0606020202030204"/>
  </w:font>
  <w:font w:name="Courier New">
    <w:panose1 w:val="02070309020205020404"/>
  </w:font>
  <w:font w:name="Tahoma">
    <w:panose1 w:val="020B0604030504040204"/>
  </w:font>
  <w:font w:name="Verdana">
    <w:panose1 w:val="020B0604030504040204"/>
  </w:font>
  <w:font w:name="Arial">
    <w:panose1 w:val="020B0604020202020204"/>
  </w:font>
  <w:font w:name="Cambria">
    <w:panose1 w:val="02040503050406030204"/>
  </w:font>
  <w:font w:name="Times New Roman">
    <w:panose1 w:val="020206030504050203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5"/>
      <w:rPr>
        <w:rStyle w:val="981"/>
      </w:rPr>
      <w:framePr w:wrap="around" w:vAnchor="text" w:hAnchor="margin" w:xAlign="right" w:y="1"/>
    </w:pPr>
    <w:r>
      <w:rPr>
        <w:rStyle w:val="981"/>
      </w:rPr>
      <w:fldChar w:fldCharType="begin"/>
    </w:r>
    <w:r>
      <w:rPr>
        <w:rStyle w:val="981"/>
      </w:rPr>
      <w:instrText xml:space="preserve">PAGE  </w:instrText>
    </w:r>
    <w:r>
      <w:rPr>
        <w:rStyle w:val="981"/>
      </w:rPr>
      <w:fldChar w:fldCharType="separate"/>
    </w:r>
    <w:r>
      <w:rPr>
        <w:rStyle w:val="981"/>
      </w:rPr>
      <w:t xml:space="preserve">1</w:t>
    </w:r>
    <w:r>
      <w:rPr>
        <w:rStyle w:val="981"/>
      </w:rPr>
      <w:fldChar w:fldCharType="end"/>
    </w:r>
    <w:r>
      <w:rPr>
        <w:rStyle w:val="981"/>
      </w:rPr>
    </w:r>
    <w:r>
      <w:rPr>
        <w:rStyle w:val="981"/>
      </w:rPr>
    </w:r>
  </w:p>
  <w:p>
    <w:pPr>
      <w:pStyle w:val="765"/>
      <w:ind w:right="360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3"/>
      <w:jc w:val="center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PAGE   \* MERGEFORMAT</w:instrText>
    </w:r>
    <w:r>
      <w:rPr>
        <w:rFonts w:ascii="Times New Roman" w:hAnsi="Times New Roman"/>
        <w:sz w:val="20"/>
      </w:rPr>
      <w:fldChar w:fldCharType="separate"/>
    </w:r>
    <w:r>
      <w:rPr>
        <w:rFonts w:ascii="Times New Roman" w:hAnsi="Times New Roman"/>
        <w:sz w:val="20"/>
      </w:rPr>
      <w:t xml:space="preserve">14</w:t>
    </w:r>
    <w:r>
      <w:rPr>
        <w:rFonts w:ascii="Times New Roman" w:hAnsi="Times New Roman"/>
        <w:sz w:val="20"/>
      </w:rPr>
      <w:fldChar w:fldCharType="end"/>
    </w:r>
    <w:r>
      <w:rPr>
        <w:rFonts w:ascii="Times New Roman" w:hAnsi="Times New Roman"/>
        <w:sz w:val="20"/>
      </w:rPr>
    </w:r>
    <w:r>
      <w:rPr>
        <w:rFonts w:ascii="Times New Roman" w:hAnsi="Times New Roman"/>
        <w:sz w:val="20"/>
      </w:rPr>
    </w:r>
  </w:p>
  <w:p>
    <w:pPr>
      <w:pStyle w:val="763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3"/>
      <w:rPr>
        <w:rStyle w:val="981"/>
      </w:rPr>
      <w:framePr w:wrap="around" w:vAnchor="text" w:hAnchor="margin" w:xAlign="center" w:y="1"/>
    </w:pPr>
    <w:r>
      <w:rPr>
        <w:rStyle w:val="981"/>
      </w:rPr>
      <w:fldChar w:fldCharType="begin"/>
    </w:r>
    <w:r>
      <w:rPr>
        <w:rStyle w:val="981"/>
      </w:rPr>
      <w:instrText xml:space="preserve">PAGE  </w:instrText>
    </w:r>
    <w:r>
      <w:rPr>
        <w:rStyle w:val="981"/>
      </w:rPr>
      <w:fldChar w:fldCharType="end"/>
    </w:r>
    <w:r>
      <w:rPr>
        <w:rStyle w:val="981"/>
      </w:rPr>
    </w:r>
    <w:r>
      <w:rPr>
        <w:rStyle w:val="981"/>
      </w:rPr>
    </w:r>
  </w:p>
  <w:p>
    <w:pPr>
      <w:pStyle w:val="763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249" w:hanging="360"/>
      </w:pPr>
      <w:rPr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196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8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0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2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4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6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8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09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24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6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8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0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2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4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6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8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09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24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6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8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0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2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4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6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8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0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Times New Roman" w:cs="Calibri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19" w:default="1">
    <w:name w:val="Normal"/>
    <w:qFormat/>
    <w:pPr>
      <w:spacing w:after="200" w:line="276" w:lineRule="auto"/>
    </w:pPr>
    <w:rPr>
      <w:rFonts w:cs="Times New Roman"/>
      <w:sz w:val="22"/>
      <w:szCs w:val="22"/>
      <w:lang w:eastAsia="en-US"/>
    </w:rPr>
  </w:style>
  <w:style w:type="paragraph" w:styleId="720">
    <w:name w:val="Heading 1"/>
    <w:basedOn w:val="719"/>
    <w:next w:val="719"/>
    <w:link w:val="913"/>
    <w:uiPriority w:val="99"/>
    <w:qFormat/>
    <w:pPr>
      <w:keepNext/>
      <w:spacing w:before="240" w:after="60"/>
      <w:outlineLvl w:val="0"/>
    </w:pPr>
    <w:rPr>
      <w:rFonts w:ascii="Cambria" w:hAnsi="Cambria"/>
      <w:b/>
      <w:bCs/>
      <w:sz w:val="32"/>
      <w:szCs w:val="32"/>
    </w:rPr>
  </w:style>
  <w:style w:type="paragraph" w:styleId="721">
    <w:name w:val="Heading 2"/>
    <w:basedOn w:val="719"/>
    <w:next w:val="719"/>
    <w:link w:val="745"/>
    <w:uiPriority w:val="9"/>
    <w:unhideWhenUsed/>
    <w:qFormat/>
    <w:pPr>
      <w:keepLines/>
      <w:keepNext/>
      <w:spacing w:before="360"/>
      <w:outlineLvl w:val="1"/>
    </w:pPr>
    <w:rPr>
      <w:rFonts w:ascii="Arial" w:hAnsi="Arial" w:eastAsia="Arial" w:cs="Arial"/>
      <w:sz w:val="34"/>
    </w:rPr>
  </w:style>
  <w:style w:type="paragraph" w:styleId="722">
    <w:name w:val="Heading 3"/>
    <w:basedOn w:val="719"/>
    <w:next w:val="719"/>
    <w:link w:val="746"/>
    <w:uiPriority w:val="9"/>
    <w:unhideWhenUsed/>
    <w:qFormat/>
    <w:pPr>
      <w:keepLines/>
      <w:keepNext/>
      <w:spacing w:before="320"/>
      <w:outlineLvl w:val="2"/>
    </w:pPr>
    <w:rPr>
      <w:rFonts w:ascii="Arial" w:hAnsi="Arial" w:eastAsia="Arial" w:cs="Arial"/>
      <w:sz w:val="30"/>
      <w:szCs w:val="30"/>
    </w:rPr>
  </w:style>
  <w:style w:type="paragraph" w:styleId="723">
    <w:name w:val="Heading 4"/>
    <w:basedOn w:val="719"/>
    <w:next w:val="719"/>
    <w:link w:val="914"/>
    <w:uiPriority w:val="99"/>
    <w:qFormat/>
    <w:pPr>
      <w:jc w:val="center"/>
      <w:keepNext/>
      <w:spacing w:after="0" w:line="240" w:lineRule="auto"/>
      <w:outlineLvl w:val="3"/>
    </w:pPr>
    <w:rPr>
      <w:rFonts w:ascii="Times New Roman" w:hAnsi="Times New Roman"/>
      <w:b/>
      <w:bCs/>
      <w:sz w:val="28"/>
      <w:szCs w:val="20"/>
      <w:lang w:eastAsia="ru-RU"/>
    </w:rPr>
  </w:style>
  <w:style w:type="paragraph" w:styleId="724">
    <w:name w:val="Heading 5"/>
    <w:basedOn w:val="719"/>
    <w:next w:val="719"/>
    <w:link w:val="915"/>
    <w:uiPriority w:val="99"/>
    <w:qFormat/>
    <w:pPr>
      <w:jc w:val="both"/>
      <w:keepNext/>
      <w:spacing w:before="120" w:after="0" w:line="240" w:lineRule="auto"/>
      <w:outlineLvl w:val="4"/>
    </w:pPr>
    <w:rPr>
      <w:rFonts w:ascii="Times New Roman" w:hAnsi="Times New Roman"/>
      <w:b/>
      <w:bCs/>
      <w:color w:val="000000"/>
      <w:sz w:val="28"/>
      <w:szCs w:val="20"/>
      <w:lang w:eastAsia="ru-RU"/>
    </w:rPr>
  </w:style>
  <w:style w:type="paragraph" w:styleId="725">
    <w:name w:val="Heading 6"/>
    <w:basedOn w:val="719"/>
    <w:next w:val="719"/>
    <w:link w:val="749"/>
    <w:uiPriority w:val="9"/>
    <w:unhideWhenUsed/>
    <w:qFormat/>
    <w:pPr>
      <w:keepLines/>
      <w:keepNext/>
      <w:spacing w:before="320"/>
      <w:outlineLvl w:val="5"/>
    </w:pPr>
    <w:rPr>
      <w:rFonts w:ascii="Arial" w:hAnsi="Arial" w:eastAsia="Arial" w:cs="Arial"/>
      <w:b/>
      <w:bCs/>
    </w:rPr>
  </w:style>
  <w:style w:type="paragraph" w:styleId="726">
    <w:name w:val="Heading 7"/>
    <w:basedOn w:val="719"/>
    <w:next w:val="719"/>
    <w:link w:val="750"/>
    <w:uiPriority w:val="9"/>
    <w:unhideWhenUsed/>
    <w:qFormat/>
    <w:pPr>
      <w:keepLines/>
      <w:keepNext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727">
    <w:name w:val="Heading 8"/>
    <w:basedOn w:val="719"/>
    <w:next w:val="719"/>
    <w:link w:val="751"/>
    <w:uiPriority w:val="9"/>
    <w:unhideWhenUsed/>
    <w:qFormat/>
    <w:pPr>
      <w:keepLines/>
      <w:keepNext/>
      <w:spacing w:before="320"/>
      <w:outlineLvl w:val="7"/>
    </w:pPr>
    <w:rPr>
      <w:rFonts w:ascii="Arial" w:hAnsi="Arial" w:eastAsia="Arial" w:cs="Arial"/>
      <w:i/>
      <w:iCs/>
    </w:rPr>
  </w:style>
  <w:style w:type="paragraph" w:styleId="728">
    <w:name w:val="Heading 9"/>
    <w:basedOn w:val="719"/>
    <w:next w:val="719"/>
    <w:link w:val="752"/>
    <w:uiPriority w:val="9"/>
    <w:unhideWhenUsed/>
    <w:qFormat/>
    <w:pPr>
      <w:keepLines/>
      <w:keepNext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29" w:default="1">
    <w:name w:val="Default Paragraph Font"/>
    <w:uiPriority w:val="1"/>
    <w:semiHidden/>
    <w:unhideWhenUsed/>
  </w:style>
  <w:style w:type="table" w:styleId="73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31" w:default="1">
    <w:name w:val="No List"/>
    <w:uiPriority w:val="99"/>
    <w:semiHidden/>
    <w:unhideWhenUsed/>
  </w:style>
  <w:style w:type="character" w:styleId="732" w:customStyle="1">
    <w:name w:val="Caption Char"/>
    <w:basedOn w:val="729"/>
    <w:uiPriority w:val="35"/>
    <w:rPr>
      <w:b/>
      <w:bCs/>
      <w:color w:val="4f81bd" w:themeColor="accent1"/>
      <w:sz w:val="18"/>
      <w:szCs w:val="18"/>
    </w:rPr>
  </w:style>
  <w:style w:type="character" w:styleId="733" w:customStyle="1">
    <w:name w:val="Heading 2 Char"/>
    <w:basedOn w:val="729"/>
    <w:uiPriority w:val="9"/>
    <w:rPr>
      <w:rFonts w:ascii="Arial" w:hAnsi="Arial" w:eastAsia="Arial" w:cs="Arial"/>
      <w:sz w:val="34"/>
    </w:rPr>
  </w:style>
  <w:style w:type="character" w:styleId="734" w:customStyle="1">
    <w:name w:val="Heading 3 Char"/>
    <w:basedOn w:val="729"/>
    <w:uiPriority w:val="9"/>
    <w:rPr>
      <w:rFonts w:ascii="Arial" w:hAnsi="Arial" w:eastAsia="Arial" w:cs="Arial"/>
      <w:sz w:val="30"/>
      <w:szCs w:val="30"/>
    </w:rPr>
  </w:style>
  <w:style w:type="character" w:styleId="735" w:customStyle="1">
    <w:name w:val="Heading 6 Char"/>
    <w:basedOn w:val="729"/>
    <w:uiPriority w:val="9"/>
    <w:rPr>
      <w:rFonts w:ascii="Arial" w:hAnsi="Arial" w:eastAsia="Arial" w:cs="Arial"/>
      <w:b/>
      <w:bCs/>
      <w:sz w:val="22"/>
      <w:szCs w:val="22"/>
    </w:rPr>
  </w:style>
  <w:style w:type="character" w:styleId="736" w:customStyle="1">
    <w:name w:val="Heading 7 Char"/>
    <w:basedOn w:val="729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37" w:customStyle="1">
    <w:name w:val="Heading 8 Char"/>
    <w:basedOn w:val="729"/>
    <w:uiPriority w:val="9"/>
    <w:rPr>
      <w:rFonts w:ascii="Arial" w:hAnsi="Arial" w:eastAsia="Arial" w:cs="Arial"/>
      <w:i/>
      <w:iCs/>
      <w:sz w:val="22"/>
      <w:szCs w:val="22"/>
    </w:rPr>
  </w:style>
  <w:style w:type="character" w:styleId="738" w:customStyle="1">
    <w:name w:val="Heading 9 Char"/>
    <w:basedOn w:val="729"/>
    <w:uiPriority w:val="9"/>
    <w:rPr>
      <w:rFonts w:ascii="Arial" w:hAnsi="Arial" w:eastAsia="Arial" w:cs="Arial"/>
      <w:i/>
      <w:iCs/>
      <w:sz w:val="21"/>
      <w:szCs w:val="21"/>
    </w:rPr>
  </w:style>
  <w:style w:type="character" w:styleId="739" w:customStyle="1">
    <w:name w:val="Title Char"/>
    <w:basedOn w:val="729"/>
    <w:uiPriority w:val="10"/>
    <w:rPr>
      <w:sz w:val="48"/>
      <w:szCs w:val="48"/>
    </w:rPr>
  </w:style>
  <w:style w:type="character" w:styleId="740" w:customStyle="1">
    <w:name w:val="Subtitle Char"/>
    <w:basedOn w:val="729"/>
    <w:uiPriority w:val="11"/>
    <w:rPr>
      <w:sz w:val="24"/>
      <w:szCs w:val="24"/>
    </w:rPr>
  </w:style>
  <w:style w:type="character" w:styleId="741" w:customStyle="1">
    <w:name w:val="Quote Char"/>
    <w:uiPriority w:val="29"/>
    <w:rPr>
      <w:i/>
    </w:rPr>
  </w:style>
  <w:style w:type="character" w:styleId="742" w:customStyle="1">
    <w:name w:val="Intense Quote Char"/>
    <w:uiPriority w:val="30"/>
    <w:rPr>
      <w:i/>
    </w:rPr>
  </w:style>
  <w:style w:type="character" w:styleId="743" w:customStyle="1">
    <w:name w:val="Endnote Text Char"/>
    <w:uiPriority w:val="99"/>
    <w:rPr>
      <w:sz w:val="20"/>
    </w:rPr>
  </w:style>
  <w:style w:type="character" w:styleId="744" w:customStyle="1">
    <w:name w:val="Heading 1 Char"/>
    <w:uiPriority w:val="9"/>
    <w:rPr>
      <w:rFonts w:ascii="Arial" w:hAnsi="Arial" w:eastAsia="Arial" w:cs="Arial"/>
      <w:sz w:val="40"/>
      <w:szCs w:val="40"/>
    </w:rPr>
  </w:style>
  <w:style w:type="character" w:styleId="745" w:customStyle="1">
    <w:name w:val="Заголовок 2 Знак"/>
    <w:link w:val="721"/>
    <w:uiPriority w:val="9"/>
    <w:rPr>
      <w:rFonts w:ascii="Arial" w:hAnsi="Arial" w:eastAsia="Arial" w:cs="Arial"/>
      <w:sz w:val="34"/>
    </w:rPr>
  </w:style>
  <w:style w:type="character" w:styleId="746" w:customStyle="1">
    <w:name w:val="Заголовок 3 Знак"/>
    <w:link w:val="722"/>
    <w:uiPriority w:val="9"/>
    <w:rPr>
      <w:rFonts w:ascii="Arial" w:hAnsi="Arial" w:eastAsia="Arial" w:cs="Arial"/>
      <w:sz w:val="30"/>
      <w:szCs w:val="30"/>
    </w:rPr>
  </w:style>
  <w:style w:type="character" w:styleId="747" w:customStyle="1">
    <w:name w:val="Heading 4 Char"/>
    <w:uiPriority w:val="9"/>
    <w:rPr>
      <w:rFonts w:ascii="Arial" w:hAnsi="Arial" w:eastAsia="Arial" w:cs="Arial"/>
      <w:b/>
      <w:bCs/>
      <w:sz w:val="26"/>
      <w:szCs w:val="26"/>
    </w:rPr>
  </w:style>
  <w:style w:type="character" w:styleId="748" w:customStyle="1">
    <w:name w:val="Heading 5 Char"/>
    <w:uiPriority w:val="9"/>
    <w:rPr>
      <w:rFonts w:ascii="Arial" w:hAnsi="Arial" w:eastAsia="Arial" w:cs="Arial"/>
      <w:b/>
      <w:bCs/>
      <w:sz w:val="24"/>
      <w:szCs w:val="24"/>
    </w:rPr>
  </w:style>
  <w:style w:type="character" w:styleId="749" w:customStyle="1">
    <w:name w:val="Заголовок 6 Знак"/>
    <w:link w:val="725"/>
    <w:uiPriority w:val="9"/>
    <w:rPr>
      <w:rFonts w:ascii="Arial" w:hAnsi="Arial" w:eastAsia="Arial" w:cs="Arial"/>
      <w:b/>
      <w:bCs/>
      <w:sz w:val="22"/>
      <w:szCs w:val="22"/>
    </w:rPr>
  </w:style>
  <w:style w:type="character" w:styleId="750" w:customStyle="1">
    <w:name w:val="Заголовок 7 Знак"/>
    <w:link w:val="72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1" w:customStyle="1">
    <w:name w:val="Заголовок 8 Знак"/>
    <w:link w:val="727"/>
    <w:uiPriority w:val="9"/>
    <w:rPr>
      <w:rFonts w:ascii="Arial" w:hAnsi="Arial" w:eastAsia="Arial" w:cs="Arial"/>
      <w:i/>
      <w:iCs/>
      <w:sz w:val="22"/>
      <w:szCs w:val="22"/>
    </w:rPr>
  </w:style>
  <w:style w:type="character" w:styleId="752" w:customStyle="1">
    <w:name w:val="Заголовок 9 Знак"/>
    <w:link w:val="728"/>
    <w:uiPriority w:val="9"/>
    <w:rPr>
      <w:rFonts w:ascii="Arial" w:hAnsi="Arial" w:eastAsia="Arial" w:cs="Arial"/>
      <w:i/>
      <w:iCs/>
      <w:sz w:val="21"/>
      <w:szCs w:val="21"/>
    </w:rPr>
  </w:style>
  <w:style w:type="paragraph" w:styleId="753">
    <w:name w:val="List Paragraph"/>
    <w:basedOn w:val="719"/>
    <w:uiPriority w:val="34"/>
    <w:qFormat/>
    <w:pPr>
      <w:contextualSpacing/>
      <w:ind w:left="720"/>
    </w:pPr>
  </w:style>
  <w:style w:type="paragraph" w:styleId="754">
    <w:name w:val="No Spacing"/>
    <w:uiPriority w:val="1"/>
    <w:qFormat/>
  </w:style>
  <w:style w:type="paragraph" w:styleId="755">
    <w:name w:val="Title"/>
    <w:basedOn w:val="719"/>
    <w:next w:val="719"/>
    <w:link w:val="756"/>
    <w:uiPriority w:val="10"/>
    <w:qFormat/>
    <w:pPr>
      <w:contextualSpacing/>
      <w:spacing w:before="300"/>
    </w:pPr>
    <w:rPr>
      <w:sz w:val="48"/>
      <w:szCs w:val="48"/>
    </w:rPr>
  </w:style>
  <w:style w:type="character" w:styleId="756" w:customStyle="1">
    <w:name w:val="Заголовок Знак"/>
    <w:link w:val="755"/>
    <w:uiPriority w:val="10"/>
    <w:rPr>
      <w:sz w:val="48"/>
      <w:szCs w:val="48"/>
    </w:rPr>
  </w:style>
  <w:style w:type="paragraph" w:styleId="757">
    <w:name w:val="Subtitle"/>
    <w:basedOn w:val="719"/>
    <w:next w:val="719"/>
    <w:link w:val="758"/>
    <w:uiPriority w:val="11"/>
    <w:qFormat/>
    <w:pPr>
      <w:spacing w:before="200"/>
    </w:pPr>
    <w:rPr>
      <w:sz w:val="24"/>
      <w:szCs w:val="24"/>
    </w:rPr>
  </w:style>
  <w:style w:type="character" w:styleId="758" w:customStyle="1">
    <w:name w:val="Подзаголовок Знак"/>
    <w:link w:val="757"/>
    <w:uiPriority w:val="11"/>
    <w:rPr>
      <w:sz w:val="24"/>
      <w:szCs w:val="24"/>
    </w:rPr>
  </w:style>
  <w:style w:type="paragraph" w:styleId="759">
    <w:name w:val="Quote"/>
    <w:basedOn w:val="719"/>
    <w:next w:val="719"/>
    <w:link w:val="760"/>
    <w:uiPriority w:val="29"/>
    <w:qFormat/>
    <w:pPr>
      <w:ind w:left="720" w:right="720"/>
    </w:pPr>
    <w:rPr>
      <w:i/>
    </w:rPr>
  </w:style>
  <w:style w:type="character" w:styleId="760" w:customStyle="1">
    <w:name w:val="Цитата 2 Знак"/>
    <w:link w:val="759"/>
    <w:uiPriority w:val="29"/>
    <w:rPr>
      <w:i/>
    </w:rPr>
  </w:style>
  <w:style w:type="paragraph" w:styleId="761">
    <w:name w:val="Intense Quote"/>
    <w:basedOn w:val="719"/>
    <w:next w:val="719"/>
    <w:link w:val="762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2" w:customStyle="1">
    <w:name w:val="Выделенная цитата Знак"/>
    <w:link w:val="761"/>
    <w:uiPriority w:val="30"/>
    <w:rPr>
      <w:i/>
    </w:rPr>
  </w:style>
  <w:style w:type="paragraph" w:styleId="763">
    <w:name w:val="Header"/>
    <w:basedOn w:val="719"/>
    <w:link w:val="985"/>
    <w:uiPriority w:val="99"/>
    <w:pPr>
      <w:spacing w:after="0" w:line="240" w:lineRule="auto"/>
      <w:tabs>
        <w:tab w:val="center" w:pos="4677" w:leader="none"/>
        <w:tab w:val="right" w:pos="9355" w:leader="none"/>
      </w:tabs>
    </w:pPr>
    <w:rPr>
      <w:lang w:eastAsia="ru-RU"/>
    </w:rPr>
  </w:style>
  <w:style w:type="character" w:styleId="764" w:customStyle="1">
    <w:name w:val="Header Char"/>
    <w:uiPriority w:val="99"/>
  </w:style>
  <w:style w:type="paragraph" w:styleId="765">
    <w:name w:val="Footer"/>
    <w:basedOn w:val="719"/>
    <w:link w:val="986"/>
    <w:uiPriority w:val="99"/>
    <w:pPr>
      <w:tabs>
        <w:tab w:val="center" w:pos="4677" w:leader="none"/>
        <w:tab w:val="right" w:pos="9355" w:leader="none"/>
      </w:tabs>
    </w:pPr>
  </w:style>
  <w:style w:type="character" w:styleId="766" w:customStyle="1">
    <w:name w:val="Footer Char"/>
    <w:uiPriority w:val="99"/>
  </w:style>
  <w:style w:type="paragraph" w:styleId="767">
    <w:name w:val="Caption"/>
    <w:basedOn w:val="719"/>
    <w:next w:val="719"/>
    <w:link w:val="768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styleId="768" w:customStyle="1">
    <w:name w:val="Название объекта Знак"/>
    <w:link w:val="767"/>
    <w:uiPriority w:val="99"/>
  </w:style>
  <w:style w:type="table" w:styleId="769">
    <w:name w:val="Table Grid"/>
    <w:basedOn w:val="730"/>
    <w:uiPriority w:val="99"/>
    <w:rPr>
      <w:rFonts w:cs="Times New Roman"/>
    </w:rPr>
    <w:tblPr/>
  </w:style>
  <w:style w:type="table" w:styleId="770" w:customStyle="1">
    <w:name w:val="Table Grid Light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1">
    <w:name w:val="Plain Table 1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2">
    <w:name w:val="Plain Table 2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3">
    <w:name w:val="Plain Table 3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4">
    <w:name w:val="Plain Table 4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Plain Table 5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6">
    <w:name w:val="Grid Table 1 Light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 w:customStyle="1">
    <w:name w:val="Grid Table 1 Light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 w:customStyle="1">
    <w:name w:val="Grid Table 1 Light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Grid Table 2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 w:customStyle="1">
    <w:name w:val="Grid Table 2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2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3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 w:customStyle="1">
    <w:name w:val="Grid Table 3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Grid Table 3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Grid Table 4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8" w:customStyle="1">
    <w:name w:val="Grid Table 4 - Accent 1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799" w:customStyle="1">
    <w:name w:val="Grid Table 4 - Accent 2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00" w:customStyle="1">
    <w:name w:val="Grid Table 4 - Accent 3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01" w:customStyle="1">
    <w:name w:val="Grid Table 4 - Accent 4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02" w:customStyle="1">
    <w:name w:val="Grid Table 4 - Accent 5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03" w:customStyle="1">
    <w:name w:val="Grid Table 4 - Accent 6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04">
    <w:name w:val="Grid Table 5 Dark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- Accent 1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 - Accent 2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3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- Accent 4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09" w:customStyle="1">
    <w:name w:val="Grid Table 5 Dark - Accent 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10" w:customStyle="1">
    <w:name w:val="Grid Table 5 Dark - Accent 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11">
    <w:name w:val="Grid Table 6 Colorful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2" w:customStyle="1">
    <w:name w:val="Grid Table 6 Colorful - Accent 1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13" w:customStyle="1">
    <w:name w:val="Grid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14" w:customStyle="1">
    <w:name w:val="Grid Table 6 Colorful - Accent 3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15" w:customStyle="1">
    <w:name w:val="Grid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16" w:customStyle="1">
    <w:name w:val="Grid Table 6 Colorful - Accent 5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17" w:customStyle="1">
    <w:name w:val="Grid Table 6 Colorful - Accent 6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18">
    <w:name w:val="Grid Table 7 Colorful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9" w:customStyle="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20" w:customStyle="1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21" w:customStyle="1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22" w:customStyle="1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23" w:customStyle="1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24" w:customStyle="1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25">
    <w:name w:val="List Table 1 Light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1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2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3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4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 w:customStyle="1">
    <w:name w:val="List Table 1 Light - Accent 5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List Table 1 Light - Accent 6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List Table 2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37" w:customStyle="1">
    <w:name w:val="List Table 2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38" w:customStyle="1">
    <w:name w:val="List Table 2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39">
    <w:name w:val="List Table 3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 w:customStyle="1">
    <w:name w:val="List Table 3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3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>
    <w:name w:val="List Table 4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 w:customStyle="1">
    <w:name w:val="List Table 4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 w:customStyle="1">
    <w:name w:val="List Table 4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>
    <w:name w:val="List Table 5 Dark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1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 w:customStyle="1">
    <w:name w:val="List Table 5 Dark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9" w:customStyle="1">
    <w:name w:val="List Table 5 Dark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0">
    <w:name w:val="List Table 6 Colorful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61" w:customStyle="1">
    <w:name w:val="List Table 6 Colorful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62" w:customStyle="1">
    <w:name w:val="List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63" w:customStyle="1">
    <w:name w:val="List Table 6 Colorful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64" w:customStyle="1">
    <w:name w:val="List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65" w:customStyle="1">
    <w:name w:val="List Table 6 Colorful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66" w:customStyle="1">
    <w:name w:val="List Table 6 Colorful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67">
    <w:name w:val="List Table 7 Colorful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68" w:customStyle="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69" w:customStyle="1">
    <w:name w:val="List Table 7 Colorful - Accent 2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70" w:customStyle="1">
    <w:name w:val="List Table 7 Colorful - Accent 3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71" w:customStyle="1">
    <w:name w:val="List Table 7 Colorful - Accent 4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72" w:customStyle="1">
    <w:name w:val="List Table 7 Colorful - Accent 5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73" w:customStyle="1">
    <w:name w:val="List Table 7 Colorful - Accent 6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74" w:customStyle="1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5" w:customStyle="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76" w:customStyle="1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77" w:customStyle="1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78" w:customStyle="1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79" w:customStyle="1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80" w:customStyle="1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81" w:customStyle="1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2" w:customStyle="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83" w:customStyle="1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84" w:customStyle="1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85" w:customStyle="1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86" w:customStyle="1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87" w:customStyle="1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88" w:customStyle="1">
    <w:name w:val="Bordered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9" w:customStyle="1">
    <w:name w:val="Bordered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890" w:customStyle="1">
    <w:name w:val="Bordered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891" w:customStyle="1">
    <w:name w:val="Bordered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892" w:customStyle="1">
    <w:name w:val="Bordered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893" w:customStyle="1">
    <w:name w:val="Bordered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894" w:customStyle="1">
    <w:name w:val="Bordered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character" w:styleId="895">
    <w:name w:val="Hyperlink"/>
    <w:uiPriority w:val="99"/>
    <w:rPr>
      <w:rFonts w:ascii="Verdana" w:hAnsi="Verdana" w:cs="Times New Roman"/>
      <w:color w:val="314351"/>
      <w:u w:val="none"/>
    </w:rPr>
  </w:style>
  <w:style w:type="paragraph" w:styleId="896">
    <w:name w:val="footnote text"/>
    <w:basedOn w:val="719"/>
    <w:link w:val="998"/>
    <w:uiPriority w:val="99"/>
    <w:semiHidden/>
    <w:pPr>
      <w:jc w:val="both"/>
      <w:spacing w:after="0" w:line="360" w:lineRule="auto"/>
      <w:widowControl w:val="off"/>
    </w:pPr>
    <w:rPr>
      <w:rFonts w:ascii="Times New Roman" w:hAnsi="Times New Roman"/>
      <w:sz w:val="24"/>
      <w:szCs w:val="20"/>
      <w:lang w:eastAsia="ru-RU"/>
    </w:rPr>
  </w:style>
  <w:style w:type="character" w:styleId="897" w:customStyle="1">
    <w:name w:val="Footnote Text Char"/>
    <w:uiPriority w:val="99"/>
    <w:rPr>
      <w:sz w:val="18"/>
    </w:rPr>
  </w:style>
  <w:style w:type="character" w:styleId="898">
    <w:name w:val="footnote reference"/>
    <w:uiPriority w:val="99"/>
    <w:unhideWhenUsed/>
    <w:rPr>
      <w:vertAlign w:val="superscript"/>
    </w:rPr>
  </w:style>
  <w:style w:type="paragraph" w:styleId="899">
    <w:name w:val="endnote text"/>
    <w:basedOn w:val="719"/>
    <w:link w:val="900"/>
    <w:uiPriority w:val="99"/>
    <w:semiHidden/>
    <w:unhideWhenUsed/>
    <w:pPr>
      <w:spacing w:after="0" w:line="240" w:lineRule="auto"/>
    </w:pPr>
    <w:rPr>
      <w:sz w:val="20"/>
    </w:rPr>
  </w:style>
  <w:style w:type="character" w:styleId="900" w:customStyle="1">
    <w:name w:val="Текст концевой сноски Знак"/>
    <w:link w:val="899"/>
    <w:uiPriority w:val="99"/>
    <w:rPr>
      <w:sz w:val="20"/>
    </w:rPr>
  </w:style>
  <w:style w:type="character" w:styleId="901">
    <w:name w:val="endnote reference"/>
    <w:uiPriority w:val="99"/>
    <w:semiHidden/>
    <w:unhideWhenUsed/>
    <w:rPr>
      <w:vertAlign w:val="superscript"/>
    </w:rPr>
  </w:style>
  <w:style w:type="paragraph" w:styleId="902">
    <w:name w:val="toc 1"/>
    <w:basedOn w:val="719"/>
    <w:next w:val="719"/>
    <w:uiPriority w:val="39"/>
    <w:unhideWhenUsed/>
    <w:pPr>
      <w:spacing w:after="57"/>
    </w:pPr>
  </w:style>
  <w:style w:type="paragraph" w:styleId="903">
    <w:name w:val="toc 2"/>
    <w:basedOn w:val="719"/>
    <w:next w:val="719"/>
    <w:uiPriority w:val="39"/>
    <w:unhideWhenUsed/>
    <w:pPr>
      <w:ind w:left="283"/>
      <w:spacing w:after="57"/>
    </w:pPr>
  </w:style>
  <w:style w:type="paragraph" w:styleId="904">
    <w:name w:val="toc 3"/>
    <w:basedOn w:val="719"/>
    <w:next w:val="719"/>
    <w:uiPriority w:val="39"/>
    <w:unhideWhenUsed/>
    <w:pPr>
      <w:ind w:left="567"/>
      <w:spacing w:after="57"/>
    </w:pPr>
  </w:style>
  <w:style w:type="paragraph" w:styleId="905">
    <w:name w:val="toc 4"/>
    <w:basedOn w:val="719"/>
    <w:next w:val="719"/>
    <w:uiPriority w:val="39"/>
    <w:unhideWhenUsed/>
    <w:pPr>
      <w:ind w:left="850"/>
      <w:spacing w:after="57"/>
    </w:pPr>
  </w:style>
  <w:style w:type="paragraph" w:styleId="906">
    <w:name w:val="toc 5"/>
    <w:basedOn w:val="719"/>
    <w:next w:val="719"/>
    <w:uiPriority w:val="39"/>
    <w:unhideWhenUsed/>
    <w:pPr>
      <w:ind w:left="1134"/>
      <w:spacing w:after="57"/>
    </w:pPr>
  </w:style>
  <w:style w:type="paragraph" w:styleId="907">
    <w:name w:val="toc 6"/>
    <w:basedOn w:val="719"/>
    <w:next w:val="719"/>
    <w:uiPriority w:val="39"/>
    <w:unhideWhenUsed/>
    <w:pPr>
      <w:ind w:left="1417"/>
      <w:spacing w:after="57"/>
    </w:pPr>
  </w:style>
  <w:style w:type="paragraph" w:styleId="908">
    <w:name w:val="toc 7"/>
    <w:basedOn w:val="719"/>
    <w:next w:val="719"/>
    <w:uiPriority w:val="39"/>
    <w:unhideWhenUsed/>
    <w:pPr>
      <w:ind w:left="1701"/>
      <w:spacing w:after="57"/>
    </w:pPr>
  </w:style>
  <w:style w:type="paragraph" w:styleId="909">
    <w:name w:val="toc 8"/>
    <w:basedOn w:val="719"/>
    <w:next w:val="719"/>
    <w:uiPriority w:val="39"/>
    <w:unhideWhenUsed/>
    <w:pPr>
      <w:ind w:left="1984"/>
      <w:spacing w:after="57"/>
    </w:pPr>
  </w:style>
  <w:style w:type="paragraph" w:styleId="910">
    <w:name w:val="toc 9"/>
    <w:basedOn w:val="719"/>
    <w:next w:val="719"/>
    <w:uiPriority w:val="39"/>
    <w:unhideWhenUsed/>
    <w:pPr>
      <w:ind w:left="2268"/>
      <w:spacing w:after="57"/>
    </w:pPr>
  </w:style>
  <w:style w:type="paragraph" w:styleId="911">
    <w:name w:val="TOC Heading"/>
    <w:uiPriority w:val="39"/>
    <w:unhideWhenUsed/>
  </w:style>
  <w:style w:type="paragraph" w:styleId="912">
    <w:name w:val="table of figures"/>
    <w:basedOn w:val="719"/>
    <w:next w:val="719"/>
    <w:uiPriority w:val="99"/>
    <w:unhideWhenUsed/>
    <w:pPr>
      <w:spacing w:after="0"/>
    </w:pPr>
  </w:style>
  <w:style w:type="character" w:styleId="913" w:customStyle="1">
    <w:name w:val="Заголовок 1 Знак"/>
    <w:link w:val="720"/>
    <w:uiPriority w:val="99"/>
    <w:rPr>
      <w:rFonts w:ascii="Cambria" w:hAnsi="Cambria" w:cs="Times New Roman"/>
      <w:b/>
      <w:bCs/>
      <w:sz w:val="32"/>
      <w:szCs w:val="32"/>
    </w:rPr>
  </w:style>
  <w:style w:type="character" w:styleId="914" w:customStyle="1">
    <w:name w:val="Заголовок 4 Знак"/>
    <w:link w:val="723"/>
    <w:uiPriority w:val="99"/>
    <w:rPr>
      <w:rFonts w:ascii="Times New Roman" w:hAnsi="Times New Roman" w:cs="Times New Roman"/>
      <w:b/>
      <w:bCs/>
      <w:sz w:val="20"/>
      <w:szCs w:val="20"/>
      <w:lang w:val="en-US" w:eastAsia="ru-RU"/>
    </w:rPr>
  </w:style>
  <w:style w:type="character" w:styleId="915" w:customStyle="1">
    <w:name w:val="Заголовок 5 Знак"/>
    <w:link w:val="724"/>
    <w:uiPriority w:val="99"/>
    <w:rPr>
      <w:rFonts w:ascii="Times New Roman" w:hAnsi="Times New Roman" w:cs="Times New Roman"/>
      <w:b/>
      <w:bCs/>
      <w:color w:val="000000"/>
      <w:sz w:val="20"/>
      <w:szCs w:val="20"/>
      <w:lang w:val="en-US" w:eastAsia="ru-RU"/>
    </w:rPr>
  </w:style>
  <w:style w:type="paragraph" w:styleId="916">
    <w:name w:val="Balloon Text"/>
    <w:basedOn w:val="719"/>
    <w:link w:val="917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917" w:customStyle="1">
    <w:name w:val="Текст выноски Знак"/>
    <w:link w:val="916"/>
    <w:uiPriority w:val="99"/>
    <w:rPr>
      <w:rFonts w:ascii="Tahoma" w:hAnsi="Tahoma" w:cs="Tahoma"/>
      <w:sz w:val="16"/>
      <w:szCs w:val="16"/>
    </w:rPr>
  </w:style>
  <w:style w:type="paragraph" w:styleId="918">
    <w:name w:val="Revision"/>
    <w:hidden/>
    <w:uiPriority w:val="99"/>
    <w:semiHidden/>
    <w:rPr>
      <w:rFonts w:cs="Times New Roman"/>
      <w:sz w:val="22"/>
      <w:szCs w:val="22"/>
      <w:lang w:eastAsia="en-US"/>
    </w:rPr>
  </w:style>
  <w:style w:type="character" w:styleId="919">
    <w:name w:val="annotation reference"/>
    <w:uiPriority w:val="99"/>
    <w:semiHidden/>
    <w:unhideWhenUsed/>
    <w:rPr>
      <w:rFonts w:cs="Times New Roman"/>
      <w:sz w:val="16"/>
      <w:szCs w:val="16"/>
    </w:rPr>
  </w:style>
  <w:style w:type="paragraph" w:styleId="920">
    <w:name w:val="annotation text"/>
    <w:basedOn w:val="719"/>
    <w:link w:val="921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921" w:customStyle="1">
    <w:name w:val="Текст примечания Знак"/>
    <w:link w:val="920"/>
    <w:uiPriority w:val="99"/>
    <w:semiHidden/>
    <w:rPr>
      <w:rFonts w:cs="Times New Roman"/>
      <w:sz w:val="20"/>
      <w:szCs w:val="20"/>
    </w:rPr>
  </w:style>
  <w:style w:type="paragraph" w:styleId="922">
    <w:name w:val="annotation subject"/>
    <w:basedOn w:val="920"/>
    <w:next w:val="920"/>
    <w:link w:val="923"/>
    <w:uiPriority w:val="99"/>
    <w:semiHidden/>
    <w:unhideWhenUsed/>
    <w:rPr>
      <w:b/>
      <w:bCs/>
    </w:rPr>
  </w:style>
  <w:style w:type="character" w:styleId="923" w:customStyle="1">
    <w:name w:val="Тема примечания Знак"/>
    <w:link w:val="922"/>
    <w:uiPriority w:val="99"/>
    <w:semiHidden/>
    <w:rPr>
      <w:rFonts w:cs="Times New Roman"/>
      <w:b/>
      <w:bCs/>
      <w:sz w:val="20"/>
      <w:szCs w:val="20"/>
    </w:rPr>
  </w:style>
  <w:style w:type="paragraph" w:styleId="924">
    <w:name w:val="Body Text Indent 3"/>
    <w:basedOn w:val="719"/>
    <w:link w:val="925"/>
    <w:uiPriority w:val="99"/>
    <w:pPr>
      <w:ind w:left="283"/>
      <w:spacing w:after="120" w:line="240" w:lineRule="auto"/>
    </w:pPr>
    <w:rPr>
      <w:rFonts w:ascii="Times New Roman" w:hAnsi="Times New Roman"/>
      <w:sz w:val="16"/>
      <w:szCs w:val="16"/>
      <w:lang w:eastAsia="ru-RU"/>
    </w:rPr>
  </w:style>
  <w:style w:type="character" w:styleId="925" w:customStyle="1">
    <w:name w:val="Основной текст с отступом 3 Знак"/>
    <w:link w:val="924"/>
    <w:uiPriority w:val="99"/>
    <w:rPr>
      <w:rFonts w:ascii="Times New Roman" w:hAnsi="Times New Roman" w:cs="Times New Roman"/>
      <w:sz w:val="16"/>
      <w:szCs w:val="16"/>
      <w:lang w:val="en-US" w:eastAsia="ru-RU"/>
    </w:rPr>
  </w:style>
  <w:style w:type="paragraph" w:styleId="926" w:customStyle="1">
    <w:name w:val="ConsPlusNormal"/>
    <w:pPr>
      <w:ind w:firstLine="720"/>
      <w:widowControl w:val="off"/>
    </w:pPr>
    <w:rPr>
      <w:rFonts w:ascii="Arial" w:hAnsi="Arial" w:cs="Arial"/>
      <w:lang w:eastAsia="ru-RU"/>
    </w:rPr>
  </w:style>
  <w:style w:type="character" w:styleId="927" w:customStyle="1">
    <w:name w:val="Стандартный HTML Знак"/>
    <w:link w:val="928"/>
    <w:uiPriority w:val="99"/>
    <w:rPr>
      <w:rFonts w:ascii="Times New Roman" w:hAnsi="Times New Roman"/>
      <w:sz w:val="16"/>
    </w:rPr>
  </w:style>
  <w:style w:type="paragraph" w:styleId="928">
    <w:name w:val="HTML Preformatted"/>
    <w:basedOn w:val="719"/>
    <w:link w:val="927"/>
    <w:uiPriority w:val="99"/>
    <w:pPr>
      <w:spacing w:after="0" w:line="240" w:lineRule="auto"/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Times New Roman" w:hAnsi="Times New Roman" w:cs="Calibri"/>
      <w:sz w:val="16"/>
    </w:rPr>
  </w:style>
  <w:style w:type="character" w:styleId="929" w:customStyle="1">
    <w:name w:val="Стандартный HTML Знак1"/>
    <w:uiPriority w:val="99"/>
    <w:semiHidden/>
    <w:rPr>
      <w:rFonts w:ascii="Courier New" w:hAnsi="Courier New" w:cs="Courier New"/>
      <w:sz w:val="20"/>
      <w:szCs w:val="20"/>
    </w:rPr>
  </w:style>
  <w:style w:type="character" w:styleId="930" w:customStyle="1">
    <w:name w:val="Стандартный HTML Знак155"/>
    <w:uiPriority w:val="99"/>
    <w:semiHidden/>
    <w:rPr>
      <w:rFonts w:ascii="Courier New" w:hAnsi="Courier New" w:cs="Courier New"/>
      <w:sz w:val="20"/>
      <w:szCs w:val="20"/>
    </w:rPr>
  </w:style>
  <w:style w:type="character" w:styleId="931" w:customStyle="1">
    <w:name w:val="Стандартный HTML Знак154"/>
    <w:uiPriority w:val="99"/>
    <w:semiHidden/>
    <w:rPr>
      <w:rFonts w:ascii="Courier New" w:hAnsi="Courier New" w:cs="Courier New"/>
      <w:sz w:val="20"/>
      <w:szCs w:val="20"/>
    </w:rPr>
  </w:style>
  <w:style w:type="character" w:styleId="932" w:customStyle="1">
    <w:name w:val="Стандартный HTML Знак153"/>
    <w:uiPriority w:val="99"/>
    <w:semiHidden/>
    <w:rPr>
      <w:rFonts w:ascii="Courier New" w:hAnsi="Courier New" w:cs="Courier New"/>
      <w:sz w:val="20"/>
      <w:szCs w:val="20"/>
    </w:rPr>
  </w:style>
  <w:style w:type="character" w:styleId="933" w:customStyle="1">
    <w:name w:val="Стандартный HTML Знак152"/>
    <w:uiPriority w:val="99"/>
    <w:semiHidden/>
    <w:rPr>
      <w:rFonts w:ascii="Courier New" w:hAnsi="Courier New" w:cs="Courier New"/>
      <w:sz w:val="20"/>
      <w:szCs w:val="20"/>
    </w:rPr>
  </w:style>
  <w:style w:type="character" w:styleId="934" w:customStyle="1">
    <w:name w:val="Стандартный HTML Знак151"/>
    <w:uiPriority w:val="99"/>
    <w:semiHidden/>
    <w:rPr>
      <w:rFonts w:ascii="Courier New" w:hAnsi="Courier New" w:cs="Courier New"/>
      <w:sz w:val="20"/>
      <w:szCs w:val="20"/>
    </w:rPr>
  </w:style>
  <w:style w:type="character" w:styleId="935" w:customStyle="1">
    <w:name w:val="Стандартный HTML Знак150"/>
    <w:uiPriority w:val="99"/>
    <w:semiHidden/>
    <w:rPr>
      <w:rFonts w:ascii="Courier New" w:hAnsi="Courier New" w:cs="Courier New"/>
      <w:sz w:val="20"/>
      <w:szCs w:val="20"/>
    </w:rPr>
  </w:style>
  <w:style w:type="character" w:styleId="936" w:customStyle="1">
    <w:name w:val="Стандартный HTML Знак149"/>
    <w:uiPriority w:val="99"/>
    <w:semiHidden/>
    <w:rPr>
      <w:rFonts w:ascii="Courier New" w:hAnsi="Courier New" w:cs="Courier New"/>
      <w:sz w:val="20"/>
      <w:szCs w:val="20"/>
    </w:rPr>
  </w:style>
  <w:style w:type="character" w:styleId="937" w:customStyle="1">
    <w:name w:val="Стандартный HTML Знак148"/>
    <w:uiPriority w:val="99"/>
    <w:semiHidden/>
    <w:rPr>
      <w:rFonts w:ascii="Courier New" w:hAnsi="Courier New" w:cs="Courier New"/>
      <w:sz w:val="20"/>
      <w:szCs w:val="20"/>
    </w:rPr>
  </w:style>
  <w:style w:type="character" w:styleId="938" w:customStyle="1">
    <w:name w:val="Стандартный HTML Знак147"/>
    <w:uiPriority w:val="99"/>
    <w:semiHidden/>
    <w:rPr>
      <w:rFonts w:ascii="Courier New" w:hAnsi="Courier New" w:cs="Courier New"/>
      <w:sz w:val="20"/>
      <w:szCs w:val="20"/>
    </w:rPr>
  </w:style>
  <w:style w:type="character" w:styleId="939" w:customStyle="1">
    <w:name w:val="Стандартный HTML Знак146"/>
    <w:uiPriority w:val="99"/>
    <w:semiHidden/>
    <w:rPr>
      <w:rFonts w:ascii="Courier New" w:hAnsi="Courier New" w:cs="Courier New"/>
      <w:sz w:val="20"/>
      <w:szCs w:val="20"/>
    </w:rPr>
  </w:style>
  <w:style w:type="character" w:styleId="940" w:customStyle="1">
    <w:name w:val="Стандартный HTML Знак145"/>
    <w:uiPriority w:val="99"/>
    <w:semiHidden/>
    <w:rPr>
      <w:rFonts w:ascii="Courier New" w:hAnsi="Courier New" w:cs="Courier New"/>
      <w:sz w:val="20"/>
      <w:szCs w:val="20"/>
    </w:rPr>
  </w:style>
  <w:style w:type="character" w:styleId="941" w:customStyle="1">
    <w:name w:val="Стандартный HTML Знак144"/>
    <w:uiPriority w:val="99"/>
    <w:semiHidden/>
    <w:rPr>
      <w:rFonts w:ascii="Courier New" w:hAnsi="Courier New" w:cs="Courier New"/>
      <w:sz w:val="20"/>
      <w:szCs w:val="20"/>
    </w:rPr>
  </w:style>
  <w:style w:type="character" w:styleId="942" w:customStyle="1">
    <w:name w:val="Стандартный HTML Знак143"/>
    <w:uiPriority w:val="99"/>
    <w:semiHidden/>
    <w:rPr>
      <w:rFonts w:ascii="Courier New" w:hAnsi="Courier New" w:cs="Courier New"/>
      <w:sz w:val="20"/>
      <w:szCs w:val="20"/>
    </w:rPr>
  </w:style>
  <w:style w:type="character" w:styleId="943" w:customStyle="1">
    <w:name w:val="Стандартный HTML Знак142"/>
    <w:uiPriority w:val="99"/>
    <w:semiHidden/>
    <w:rPr>
      <w:rFonts w:ascii="Courier New" w:hAnsi="Courier New" w:cs="Courier New"/>
      <w:sz w:val="20"/>
      <w:szCs w:val="20"/>
    </w:rPr>
  </w:style>
  <w:style w:type="character" w:styleId="944" w:customStyle="1">
    <w:name w:val="Стандартный HTML Знак141"/>
    <w:uiPriority w:val="99"/>
    <w:semiHidden/>
    <w:rPr>
      <w:rFonts w:ascii="Courier New" w:hAnsi="Courier New" w:cs="Courier New"/>
      <w:sz w:val="20"/>
      <w:szCs w:val="20"/>
    </w:rPr>
  </w:style>
  <w:style w:type="character" w:styleId="945" w:customStyle="1">
    <w:name w:val="Стандартный HTML Знак140"/>
    <w:uiPriority w:val="99"/>
    <w:semiHidden/>
    <w:rPr>
      <w:rFonts w:ascii="Courier New" w:hAnsi="Courier New" w:cs="Courier New"/>
      <w:sz w:val="20"/>
      <w:szCs w:val="20"/>
    </w:rPr>
  </w:style>
  <w:style w:type="character" w:styleId="946" w:customStyle="1">
    <w:name w:val="Стандартный HTML Знак139"/>
    <w:uiPriority w:val="99"/>
    <w:semiHidden/>
    <w:rPr>
      <w:rFonts w:ascii="Courier New" w:hAnsi="Courier New" w:cs="Courier New"/>
      <w:sz w:val="20"/>
      <w:szCs w:val="20"/>
    </w:rPr>
  </w:style>
  <w:style w:type="character" w:styleId="947" w:customStyle="1">
    <w:name w:val="Стандартный HTML Знак138"/>
    <w:uiPriority w:val="99"/>
    <w:semiHidden/>
    <w:rPr>
      <w:rFonts w:ascii="Courier New" w:hAnsi="Courier New" w:cs="Courier New"/>
      <w:sz w:val="20"/>
      <w:szCs w:val="20"/>
    </w:rPr>
  </w:style>
  <w:style w:type="character" w:styleId="948" w:customStyle="1">
    <w:name w:val="Стандартный HTML Знак137"/>
    <w:uiPriority w:val="99"/>
    <w:semiHidden/>
    <w:rPr>
      <w:rFonts w:ascii="Courier New" w:hAnsi="Courier New" w:cs="Courier New"/>
      <w:sz w:val="20"/>
      <w:szCs w:val="20"/>
    </w:rPr>
  </w:style>
  <w:style w:type="character" w:styleId="949" w:customStyle="1">
    <w:name w:val="Стандартный HTML Знак136"/>
    <w:uiPriority w:val="99"/>
    <w:semiHidden/>
    <w:rPr>
      <w:rFonts w:ascii="Courier New" w:hAnsi="Courier New" w:cs="Courier New"/>
      <w:sz w:val="20"/>
      <w:szCs w:val="20"/>
    </w:rPr>
  </w:style>
  <w:style w:type="character" w:styleId="950" w:customStyle="1">
    <w:name w:val="Стандартный HTML Знак135"/>
    <w:uiPriority w:val="99"/>
    <w:semiHidden/>
    <w:rPr>
      <w:rFonts w:ascii="Courier New" w:hAnsi="Courier New" w:cs="Courier New"/>
      <w:sz w:val="20"/>
      <w:szCs w:val="20"/>
    </w:rPr>
  </w:style>
  <w:style w:type="character" w:styleId="951" w:customStyle="1">
    <w:name w:val="Стандартный HTML Знак134"/>
    <w:uiPriority w:val="99"/>
    <w:semiHidden/>
    <w:rPr>
      <w:rFonts w:ascii="Courier New" w:hAnsi="Courier New" w:cs="Courier New"/>
      <w:sz w:val="20"/>
      <w:szCs w:val="20"/>
    </w:rPr>
  </w:style>
  <w:style w:type="character" w:styleId="952" w:customStyle="1">
    <w:name w:val="Стандартный HTML Знак133"/>
    <w:uiPriority w:val="99"/>
    <w:semiHidden/>
    <w:rPr>
      <w:rFonts w:ascii="Courier New" w:hAnsi="Courier New" w:cs="Courier New"/>
      <w:sz w:val="20"/>
      <w:szCs w:val="20"/>
    </w:rPr>
  </w:style>
  <w:style w:type="character" w:styleId="953" w:customStyle="1">
    <w:name w:val="Стандартный HTML Знак132"/>
    <w:uiPriority w:val="99"/>
    <w:semiHidden/>
    <w:rPr>
      <w:rFonts w:ascii="Courier New" w:hAnsi="Courier New" w:cs="Courier New"/>
      <w:sz w:val="20"/>
      <w:szCs w:val="20"/>
    </w:rPr>
  </w:style>
  <w:style w:type="character" w:styleId="954" w:customStyle="1">
    <w:name w:val="Стандартный HTML Знак131"/>
    <w:uiPriority w:val="99"/>
    <w:semiHidden/>
    <w:rPr>
      <w:rFonts w:ascii="Courier New" w:hAnsi="Courier New" w:cs="Courier New"/>
      <w:sz w:val="20"/>
      <w:szCs w:val="20"/>
    </w:rPr>
  </w:style>
  <w:style w:type="character" w:styleId="955" w:customStyle="1">
    <w:name w:val="Стандартный HTML Знак130"/>
    <w:uiPriority w:val="99"/>
    <w:semiHidden/>
    <w:rPr>
      <w:rFonts w:ascii="Courier New" w:hAnsi="Courier New" w:cs="Courier New"/>
      <w:sz w:val="20"/>
      <w:szCs w:val="20"/>
    </w:rPr>
  </w:style>
  <w:style w:type="character" w:styleId="956" w:customStyle="1">
    <w:name w:val="Стандартный HTML Знак129"/>
    <w:uiPriority w:val="99"/>
    <w:semiHidden/>
    <w:rPr>
      <w:rFonts w:ascii="Courier New" w:hAnsi="Courier New" w:cs="Courier New"/>
      <w:sz w:val="20"/>
      <w:szCs w:val="20"/>
    </w:rPr>
  </w:style>
  <w:style w:type="character" w:styleId="957" w:customStyle="1">
    <w:name w:val="Стандартный HTML Знак128"/>
    <w:uiPriority w:val="99"/>
    <w:semiHidden/>
    <w:rPr>
      <w:rFonts w:ascii="Courier New" w:hAnsi="Courier New" w:cs="Courier New"/>
      <w:sz w:val="20"/>
      <w:szCs w:val="20"/>
    </w:rPr>
  </w:style>
  <w:style w:type="character" w:styleId="958" w:customStyle="1">
    <w:name w:val="Стандартный HTML Знак127"/>
    <w:uiPriority w:val="99"/>
    <w:semiHidden/>
    <w:rPr>
      <w:rFonts w:ascii="Courier New" w:hAnsi="Courier New" w:cs="Courier New"/>
      <w:sz w:val="20"/>
      <w:szCs w:val="20"/>
    </w:rPr>
  </w:style>
  <w:style w:type="character" w:styleId="959" w:customStyle="1">
    <w:name w:val="Стандартный HTML Знак126"/>
    <w:uiPriority w:val="99"/>
    <w:semiHidden/>
    <w:rPr>
      <w:rFonts w:ascii="Courier New" w:hAnsi="Courier New" w:cs="Courier New"/>
      <w:sz w:val="20"/>
      <w:szCs w:val="20"/>
    </w:rPr>
  </w:style>
  <w:style w:type="character" w:styleId="960" w:customStyle="1">
    <w:name w:val="Стандартный HTML Знак125"/>
    <w:uiPriority w:val="99"/>
    <w:semiHidden/>
    <w:rPr>
      <w:rFonts w:ascii="Courier New" w:hAnsi="Courier New" w:cs="Courier New"/>
      <w:sz w:val="20"/>
      <w:szCs w:val="20"/>
    </w:rPr>
  </w:style>
  <w:style w:type="character" w:styleId="961" w:customStyle="1">
    <w:name w:val="Стандартный HTML Знак124"/>
    <w:uiPriority w:val="99"/>
    <w:semiHidden/>
    <w:rPr>
      <w:rFonts w:ascii="Courier New" w:hAnsi="Courier New" w:cs="Courier New"/>
      <w:sz w:val="20"/>
      <w:szCs w:val="20"/>
    </w:rPr>
  </w:style>
  <w:style w:type="character" w:styleId="962" w:customStyle="1">
    <w:name w:val="Стандартный HTML Знак123"/>
    <w:uiPriority w:val="99"/>
    <w:semiHidden/>
    <w:rPr>
      <w:rFonts w:ascii="Courier New" w:hAnsi="Courier New" w:cs="Courier New"/>
      <w:sz w:val="20"/>
      <w:szCs w:val="20"/>
    </w:rPr>
  </w:style>
  <w:style w:type="character" w:styleId="963" w:customStyle="1">
    <w:name w:val="Стандартный HTML Знак122"/>
    <w:uiPriority w:val="99"/>
    <w:semiHidden/>
    <w:rPr>
      <w:rFonts w:ascii="Courier New" w:hAnsi="Courier New" w:cs="Courier New"/>
      <w:sz w:val="20"/>
      <w:szCs w:val="20"/>
    </w:rPr>
  </w:style>
  <w:style w:type="character" w:styleId="964" w:customStyle="1">
    <w:name w:val="Стандартный HTML Знак121"/>
    <w:uiPriority w:val="99"/>
    <w:semiHidden/>
    <w:rPr>
      <w:rFonts w:ascii="Courier New" w:hAnsi="Courier New" w:cs="Courier New"/>
      <w:sz w:val="20"/>
      <w:szCs w:val="20"/>
    </w:rPr>
  </w:style>
  <w:style w:type="character" w:styleId="965" w:customStyle="1">
    <w:name w:val="Стандартный HTML Знак120"/>
    <w:uiPriority w:val="99"/>
    <w:semiHidden/>
    <w:rPr>
      <w:rFonts w:ascii="Courier New" w:hAnsi="Courier New" w:cs="Courier New"/>
      <w:sz w:val="20"/>
      <w:szCs w:val="20"/>
    </w:rPr>
  </w:style>
  <w:style w:type="character" w:styleId="966" w:customStyle="1">
    <w:name w:val="Стандартный HTML Знак119"/>
    <w:uiPriority w:val="99"/>
    <w:semiHidden/>
    <w:rPr>
      <w:rFonts w:ascii="Courier New" w:hAnsi="Courier New" w:cs="Courier New"/>
      <w:sz w:val="20"/>
      <w:szCs w:val="20"/>
    </w:rPr>
  </w:style>
  <w:style w:type="character" w:styleId="967" w:customStyle="1">
    <w:name w:val="Стандартный HTML Знак118"/>
    <w:uiPriority w:val="99"/>
    <w:semiHidden/>
    <w:rPr>
      <w:rFonts w:ascii="Courier New" w:hAnsi="Courier New" w:cs="Courier New"/>
      <w:sz w:val="20"/>
      <w:szCs w:val="20"/>
    </w:rPr>
  </w:style>
  <w:style w:type="character" w:styleId="968" w:customStyle="1">
    <w:name w:val="Стандартный HTML Знак117"/>
    <w:uiPriority w:val="99"/>
    <w:semiHidden/>
    <w:rPr>
      <w:rFonts w:ascii="Courier New" w:hAnsi="Courier New" w:cs="Courier New"/>
      <w:sz w:val="20"/>
      <w:szCs w:val="20"/>
    </w:rPr>
  </w:style>
  <w:style w:type="character" w:styleId="969" w:customStyle="1">
    <w:name w:val="Стандартный HTML Знак116"/>
    <w:uiPriority w:val="99"/>
    <w:semiHidden/>
    <w:rPr>
      <w:rFonts w:ascii="Courier New" w:hAnsi="Courier New" w:cs="Courier New"/>
      <w:sz w:val="20"/>
      <w:szCs w:val="20"/>
    </w:rPr>
  </w:style>
  <w:style w:type="character" w:styleId="970" w:customStyle="1">
    <w:name w:val="Стандартный HTML Знак115"/>
    <w:uiPriority w:val="99"/>
    <w:semiHidden/>
    <w:rPr>
      <w:rFonts w:ascii="Courier New" w:hAnsi="Courier New" w:cs="Courier New"/>
      <w:sz w:val="20"/>
      <w:szCs w:val="20"/>
    </w:rPr>
  </w:style>
  <w:style w:type="character" w:styleId="971" w:customStyle="1">
    <w:name w:val="Стандартный HTML Знак114"/>
    <w:uiPriority w:val="99"/>
    <w:semiHidden/>
    <w:rPr>
      <w:rFonts w:ascii="Courier New" w:hAnsi="Courier New" w:cs="Courier New"/>
      <w:sz w:val="20"/>
      <w:szCs w:val="20"/>
    </w:rPr>
  </w:style>
  <w:style w:type="character" w:styleId="972" w:customStyle="1">
    <w:name w:val="Стандартный HTML Знак113"/>
    <w:uiPriority w:val="99"/>
    <w:semiHidden/>
    <w:rPr>
      <w:rFonts w:ascii="Courier New" w:hAnsi="Courier New" w:cs="Courier New"/>
      <w:sz w:val="20"/>
      <w:szCs w:val="20"/>
    </w:rPr>
  </w:style>
  <w:style w:type="character" w:styleId="973" w:customStyle="1">
    <w:name w:val="Стандартный HTML Знак112"/>
    <w:uiPriority w:val="99"/>
    <w:semiHidden/>
    <w:rPr>
      <w:rFonts w:ascii="Courier New" w:hAnsi="Courier New" w:cs="Courier New"/>
      <w:sz w:val="20"/>
      <w:szCs w:val="20"/>
    </w:rPr>
  </w:style>
  <w:style w:type="character" w:styleId="974" w:customStyle="1">
    <w:name w:val="Стандартный HTML Знак111"/>
    <w:uiPriority w:val="99"/>
    <w:semiHidden/>
    <w:rPr>
      <w:rFonts w:ascii="Courier New" w:hAnsi="Courier New" w:cs="Courier New"/>
      <w:sz w:val="20"/>
      <w:szCs w:val="20"/>
    </w:rPr>
  </w:style>
  <w:style w:type="character" w:styleId="975" w:customStyle="1">
    <w:name w:val="Стандартный HTML Знак110"/>
    <w:uiPriority w:val="99"/>
    <w:semiHidden/>
    <w:rPr>
      <w:rFonts w:ascii="Courier New" w:hAnsi="Courier New" w:cs="Courier New"/>
      <w:sz w:val="20"/>
      <w:szCs w:val="20"/>
    </w:rPr>
  </w:style>
  <w:style w:type="character" w:styleId="976" w:customStyle="1">
    <w:name w:val="Стандартный HTML Знак19"/>
    <w:uiPriority w:val="99"/>
    <w:semiHidden/>
    <w:rPr>
      <w:rFonts w:ascii="Courier New" w:hAnsi="Courier New" w:cs="Courier New"/>
      <w:sz w:val="20"/>
      <w:szCs w:val="20"/>
    </w:rPr>
  </w:style>
  <w:style w:type="character" w:styleId="977" w:customStyle="1">
    <w:name w:val="Стандартный HTML Знак18"/>
    <w:uiPriority w:val="99"/>
    <w:semiHidden/>
    <w:rPr>
      <w:rFonts w:ascii="Courier New" w:hAnsi="Courier New" w:cs="Courier New"/>
      <w:sz w:val="20"/>
      <w:szCs w:val="20"/>
    </w:rPr>
  </w:style>
  <w:style w:type="character" w:styleId="978" w:customStyle="1">
    <w:name w:val="Стандартный HTML Знак17"/>
    <w:uiPriority w:val="99"/>
    <w:semiHidden/>
    <w:rPr>
      <w:rFonts w:ascii="Consolas" w:hAnsi="Consolas" w:cs="Consolas"/>
      <w:sz w:val="20"/>
      <w:szCs w:val="20"/>
    </w:rPr>
  </w:style>
  <w:style w:type="paragraph" w:styleId="979" w:customStyle="1">
    <w:name w:val="Абзац списка3"/>
    <w:basedOn w:val="719"/>
    <w:uiPriority w:val="99"/>
    <w:pPr>
      <w:contextualSpacing/>
      <w:ind w:left="720"/>
      <w:spacing w:after="0" w:line="240" w:lineRule="auto"/>
      <w:widowControl w:val="off"/>
    </w:pPr>
    <w:rPr>
      <w:rFonts w:ascii="Arial" w:hAnsi="Arial" w:cs="Arial"/>
      <w:sz w:val="20"/>
      <w:szCs w:val="20"/>
      <w:lang w:eastAsia="ru-RU"/>
    </w:rPr>
  </w:style>
  <w:style w:type="paragraph" w:styleId="980" w:customStyle="1">
    <w:name w:val="a"/>
    <w:basedOn w:val="719"/>
    <w:uiPriority w:val="9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981">
    <w:name w:val="page number"/>
    <w:uiPriority w:val="99"/>
    <w:rPr>
      <w:rFonts w:cs="Times New Roman"/>
    </w:rPr>
  </w:style>
  <w:style w:type="paragraph" w:styleId="982" w:customStyle="1">
    <w:name w:val="Основной текст;Основной текст1;bt"/>
    <w:basedOn w:val="719"/>
    <w:link w:val="983"/>
    <w:uiPriority w:val="99"/>
    <w:pPr>
      <w:spacing w:after="120"/>
    </w:pPr>
    <w:rPr>
      <w:lang w:eastAsia="ru-RU"/>
    </w:rPr>
  </w:style>
  <w:style w:type="character" w:styleId="983" w:customStyle="1">
    <w:name w:val="Основной текст Знак;Основной текст1 Знак;bt Знак"/>
    <w:link w:val="982"/>
    <w:uiPriority w:val="99"/>
    <w:rPr>
      <w:rFonts w:ascii="Calibri" w:hAnsi="Calibri" w:cs="Times New Roman"/>
      <w:lang w:val="en-US" w:eastAsia="ru-RU"/>
    </w:rPr>
  </w:style>
  <w:style w:type="paragraph" w:styleId="984" w:customStyle="1">
    <w:name w:val="ConsPlusCell"/>
    <w:pPr>
      <w:widowControl w:val="off"/>
    </w:pPr>
    <w:rPr>
      <w:rFonts w:ascii="Arial" w:hAnsi="Arial" w:cs="Arial"/>
      <w:lang w:eastAsia="ru-RU"/>
    </w:rPr>
  </w:style>
  <w:style w:type="character" w:styleId="985" w:customStyle="1">
    <w:name w:val="Верхний колонтитул Знак"/>
    <w:link w:val="763"/>
    <w:uiPriority w:val="99"/>
    <w:rPr>
      <w:rFonts w:ascii="Calibri" w:hAnsi="Calibri" w:cs="Times New Roman"/>
      <w:lang w:val="en-US" w:eastAsia="ru-RU"/>
    </w:rPr>
  </w:style>
  <w:style w:type="character" w:styleId="986" w:customStyle="1">
    <w:name w:val="Нижний колонтитул Знак"/>
    <w:link w:val="765"/>
    <w:uiPriority w:val="99"/>
    <w:rPr>
      <w:rFonts w:ascii="Calibri" w:hAnsi="Calibri" w:cs="Times New Roman"/>
    </w:rPr>
  </w:style>
  <w:style w:type="paragraph" w:styleId="987" w:customStyle="1">
    <w:name w:val="ConsPlusNonformat"/>
    <w:rPr>
      <w:rFonts w:ascii="Courier New" w:hAnsi="Courier New" w:cs="Courier New"/>
      <w:lang w:eastAsia="ru-RU"/>
    </w:rPr>
  </w:style>
  <w:style w:type="paragraph" w:styleId="988" w:customStyle="1">
    <w:name w:val="Абзац списка1"/>
    <w:basedOn w:val="719"/>
    <w:uiPriority w:val="99"/>
    <w:pPr>
      <w:contextualSpacing/>
      <w:ind w:left="720"/>
      <w:spacing w:after="0" w:line="240" w:lineRule="auto"/>
      <w:widowControl w:val="off"/>
    </w:pPr>
    <w:rPr>
      <w:rFonts w:ascii="Arial" w:hAnsi="Arial" w:cs="Arial"/>
      <w:sz w:val="20"/>
      <w:szCs w:val="20"/>
      <w:lang w:eastAsia="ru-RU"/>
    </w:rPr>
  </w:style>
  <w:style w:type="character" w:styleId="989" w:customStyle="1">
    <w:name w:val="Стандартный HTML Знак16"/>
    <w:uiPriority w:val="99"/>
    <w:semiHidden/>
    <w:rPr>
      <w:rFonts w:ascii="Courier New" w:hAnsi="Courier New" w:cs="Courier New"/>
      <w:sz w:val="20"/>
      <w:szCs w:val="20"/>
    </w:rPr>
  </w:style>
  <w:style w:type="character" w:styleId="990" w:customStyle="1">
    <w:name w:val="Стандартный HTML Знак15"/>
    <w:uiPriority w:val="99"/>
    <w:semiHidden/>
    <w:rPr>
      <w:rFonts w:ascii="Courier New" w:hAnsi="Courier New" w:cs="Courier New"/>
      <w:sz w:val="20"/>
      <w:szCs w:val="20"/>
    </w:rPr>
  </w:style>
  <w:style w:type="character" w:styleId="991" w:customStyle="1">
    <w:name w:val="Стандартный HTML Знак14"/>
    <w:uiPriority w:val="99"/>
    <w:semiHidden/>
    <w:rPr>
      <w:rFonts w:ascii="Courier New" w:hAnsi="Courier New" w:cs="Courier New"/>
      <w:sz w:val="20"/>
      <w:szCs w:val="20"/>
    </w:rPr>
  </w:style>
  <w:style w:type="character" w:styleId="992" w:customStyle="1">
    <w:name w:val="Стандартный HTML Знак13"/>
    <w:uiPriority w:val="99"/>
    <w:semiHidden/>
    <w:rPr>
      <w:rFonts w:ascii="Courier New" w:hAnsi="Courier New" w:cs="Courier New"/>
      <w:sz w:val="20"/>
      <w:szCs w:val="20"/>
    </w:rPr>
  </w:style>
  <w:style w:type="character" w:styleId="993" w:customStyle="1">
    <w:name w:val="Стандартный HTML Знак12"/>
    <w:uiPriority w:val="99"/>
    <w:semiHidden/>
    <w:rPr>
      <w:rFonts w:ascii="Courier New" w:hAnsi="Courier New" w:cs="Courier New"/>
      <w:sz w:val="20"/>
      <w:szCs w:val="20"/>
      <w:lang w:val="en-US" w:eastAsia="ru-RU"/>
    </w:rPr>
  </w:style>
  <w:style w:type="character" w:styleId="994" w:customStyle="1">
    <w:name w:val="Стандартный HTML Знак11"/>
    <w:uiPriority w:val="99"/>
    <w:semiHidden/>
    <w:rPr>
      <w:rFonts w:ascii="Consolas" w:hAnsi="Consolas" w:cs="Consolas"/>
      <w:sz w:val="20"/>
      <w:szCs w:val="20"/>
      <w:lang w:val="en-US" w:eastAsia="ru-RU"/>
    </w:rPr>
  </w:style>
  <w:style w:type="paragraph" w:styleId="995" w:customStyle="1">
    <w:name w:val="msonormalcxspmiddle"/>
    <w:basedOn w:val="719"/>
    <w:uiPriority w:val="9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996" w:customStyle="1">
    <w:name w:val="Абзац списка2"/>
    <w:basedOn w:val="719"/>
    <w:uiPriority w:val="99"/>
    <w:pPr>
      <w:contextualSpacing/>
      <w:ind w:left="720"/>
      <w:spacing w:after="0" w:line="240" w:lineRule="auto"/>
      <w:widowControl w:val="off"/>
    </w:pPr>
    <w:rPr>
      <w:rFonts w:ascii="Arial" w:hAnsi="Arial" w:cs="Arial"/>
      <w:sz w:val="20"/>
      <w:szCs w:val="20"/>
      <w:lang w:eastAsia="ru-RU"/>
    </w:rPr>
  </w:style>
  <w:style w:type="character" w:styleId="997">
    <w:name w:val="FollowedHyperlink"/>
    <w:uiPriority w:val="99"/>
    <w:rPr>
      <w:rFonts w:cs="Times New Roman"/>
      <w:color w:val="800080"/>
      <w:u w:val="single"/>
    </w:rPr>
  </w:style>
  <w:style w:type="character" w:styleId="998" w:customStyle="1">
    <w:name w:val="Текст сноски Знак"/>
    <w:link w:val="896"/>
    <w:uiPriority w:val="99"/>
    <w:semiHidden/>
    <w:rPr>
      <w:rFonts w:ascii="Times New Roman" w:hAnsi="Times New Roman" w:cs="Times New Roman"/>
      <w:sz w:val="20"/>
      <w:szCs w:val="20"/>
      <w:lang w:val="en-US" w:eastAsia="ru-RU"/>
    </w:rPr>
  </w:style>
  <w:style w:type="paragraph" w:styleId="999">
    <w:name w:val="Body Text 3"/>
    <w:basedOn w:val="719"/>
    <w:link w:val="1000"/>
    <w:uiPriority w:val="99"/>
    <w:pPr>
      <w:jc w:val="both"/>
      <w:spacing w:before="120" w:after="0" w:line="240" w:lineRule="auto"/>
    </w:pPr>
    <w:rPr>
      <w:rFonts w:ascii="Times New Roman" w:hAnsi="Times New Roman"/>
      <w:b/>
      <w:bCs/>
      <w:sz w:val="28"/>
      <w:szCs w:val="20"/>
      <w:lang w:eastAsia="ru-RU"/>
    </w:rPr>
  </w:style>
  <w:style w:type="character" w:styleId="1000" w:customStyle="1">
    <w:name w:val="Основной текст 3 Знак"/>
    <w:link w:val="999"/>
    <w:uiPriority w:val="99"/>
    <w:rPr>
      <w:rFonts w:ascii="Times New Roman" w:hAnsi="Times New Roman" w:cs="Times New Roman"/>
      <w:b/>
      <w:bCs/>
      <w:sz w:val="20"/>
      <w:szCs w:val="20"/>
      <w:lang w:val="en-US" w:eastAsia="ru-RU"/>
    </w:rPr>
  </w:style>
  <w:style w:type="paragraph" w:styleId="1001">
    <w:name w:val="Body Text Indent 2"/>
    <w:basedOn w:val="719"/>
    <w:link w:val="1002"/>
    <w:uiPriority w:val="99"/>
    <w:pPr>
      <w:ind w:firstLine="720"/>
      <w:jc w:val="both"/>
      <w:spacing w:after="0" w:line="240" w:lineRule="auto"/>
    </w:pPr>
    <w:rPr>
      <w:rFonts w:ascii="Times New Roman" w:hAnsi="Times New Roman"/>
      <w:sz w:val="28"/>
      <w:szCs w:val="20"/>
      <w:lang w:eastAsia="ru-RU"/>
    </w:rPr>
  </w:style>
  <w:style w:type="character" w:styleId="1002" w:customStyle="1">
    <w:name w:val="Основной текст с отступом 2 Знак"/>
    <w:link w:val="1001"/>
    <w:uiPriority w:val="99"/>
    <w:rPr>
      <w:rFonts w:ascii="Times New Roman" w:hAnsi="Times New Roman" w:cs="Times New Roman"/>
      <w:sz w:val="20"/>
      <w:szCs w:val="20"/>
      <w:lang w:val="en-US" w:eastAsia="ru-RU"/>
    </w:rPr>
  </w:style>
  <w:style w:type="paragraph" w:styleId="1003" w:customStyle="1">
    <w:name w:val="Название1"/>
    <w:basedOn w:val="719"/>
    <w:link w:val="1004"/>
    <w:uiPriority w:val="99"/>
    <w:qFormat/>
    <w:pPr>
      <w:jc w:val="center"/>
      <w:spacing w:after="0" w:line="240" w:lineRule="auto"/>
    </w:pPr>
    <w:rPr>
      <w:rFonts w:ascii="Times New Roman" w:hAnsi="Times New Roman"/>
      <w:b/>
      <w:bCs/>
      <w:sz w:val="28"/>
      <w:szCs w:val="20"/>
      <w:lang w:eastAsia="ru-RU"/>
    </w:rPr>
  </w:style>
  <w:style w:type="character" w:styleId="1004" w:customStyle="1">
    <w:name w:val="Название Знак"/>
    <w:link w:val="1003"/>
    <w:uiPriority w:val="99"/>
    <w:rPr>
      <w:rFonts w:ascii="Times New Roman" w:hAnsi="Times New Roman" w:cs="Times New Roman"/>
      <w:b/>
      <w:bCs/>
      <w:sz w:val="20"/>
      <w:szCs w:val="20"/>
      <w:lang w:val="en-US" w:eastAsia="ru-RU"/>
    </w:rPr>
  </w:style>
  <w:style w:type="paragraph" w:styleId="1005" w:customStyle="1">
    <w:name w:val="Основной текст с отступом;Мой Заголовок 1;Основной текст 1"/>
    <w:basedOn w:val="719"/>
    <w:link w:val="1006"/>
    <w:uiPriority w:val="99"/>
    <w:pPr>
      <w:ind w:firstLine="709"/>
      <w:jc w:val="both"/>
      <w:spacing w:after="0" w:line="240" w:lineRule="auto"/>
    </w:pPr>
    <w:rPr>
      <w:rFonts w:ascii="Times New Roman" w:hAnsi="Times New Roman"/>
      <w:color w:val="000000"/>
      <w:sz w:val="28"/>
      <w:szCs w:val="20"/>
      <w:lang w:eastAsia="ru-RU"/>
    </w:rPr>
  </w:style>
  <w:style w:type="character" w:styleId="1006" w:customStyle="1">
    <w:name w:val="Основной текст с отступом Знак;Мой Заголовок 1 Знак;Основной текст 1 Знак"/>
    <w:link w:val="1005"/>
    <w:uiPriority w:val="99"/>
    <w:rPr>
      <w:rFonts w:ascii="Times New Roman" w:hAnsi="Times New Roman" w:cs="Times New Roman"/>
      <w:color w:val="000000"/>
      <w:sz w:val="20"/>
      <w:szCs w:val="20"/>
      <w:lang w:val="en-US" w:eastAsia="ru-RU"/>
    </w:rPr>
  </w:style>
  <w:style w:type="character" w:styleId="1007" w:customStyle="1">
    <w:name w:val="apple-style-span"/>
    <w:uiPriority w:val="99"/>
  </w:style>
  <w:style w:type="character" w:styleId="1008" w:customStyle="1">
    <w:name w:val="apple-converted-space"/>
    <w:uiPriority w:val="99"/>
  </w:style>
  <w:style w:type="paragraph" w:styleId="1009">
    <w:name w:val="Normal (Web)"/>
    <w:basedOn w:val="719"/>
    <w:uiPriority w:val="9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1010" w:customStyle="1">
    <w:name w:val="ConsNormal"/>
    <w:uiPriority w:val="99"/>
    <w:pPr>
      <w:ind w:firstLine="720"/>
      <w:widowControl w:val="off"/>
    </w:pPr>
    <w:rPr>
      <w:rFonts w:ascii="Arial" w:hAnsi="Arial" w:cs="Arial"/>
      <w:lang w:eastAsia="ru-RU"/>
    </w:rPr>
  </w:style>
  <w:style w:type="character" w:styleId="1011">
    <w:name w:val="Strong"/>
    <w:uiPriority w:val="99"/>
    <w:qFormat/>
    <w:rPr>
      <w:rFonts w:cs="Times New Roman"/>
      <w:b/>
    </w:rPr>
  </w:style>
  <w:style w:type="paragraph" w:styleId="1012" w:customStyle="1">
    <w:name w:val="font5"/>
    <w:basedOn w:val="719"/>
    <w:uiPriority w:val="99"/>
    <w:pPr>
      <w:spacing w:before="100" w:beforeAutospacing="1" w:after="100" w:afterAutospacing="1" w:line="240" w:lineRule="auto"/>
    </w:pPr>
    <w:rPr>
      <w:rFonts w:ascii="Times New Roman" w:hAnsi="Times New Roman"/>
      <w:color w:val="000000"/>
      <w:sz w:val="24"/>
      <w:szCs w:val="24"/>
      <w:lang w:eastAsia="ru-RU"/>
    </w:rPr>
  </w:style>
  <w:style w:type="paragraph" w:styleId="1013" w:customStyle="1">
    <w:name w:val="font6"/>
    <w:basedOn w:val="719"/>
    <w:uiPriority w:val="99"/>
    <w:pPr>
      <w:spacing w:before="100" w:beforeAutospacing="1" w:after="100" w:afterAutospacing="1" w:line="240" w:lineRule="auto"/>
    </w:pPr>
    <w:rPr>
      <w:rFonts w:ascii="Times New Roman" w:hAnsi="Times New Roman"/>
      <w:color w:val="000000"/>
      <w:sz w:val="14"/>
      <w:szCs w:val="14"/>
      <w:lang w:eastAsia="ru-RU"/>
    </w:rPr>
  </w:style>
  <w:style w:type="paragraph" w:styleId="1014" w:customStyle="1">
    <w:name w:val="font7"/>
    <w:basedOn w:val="719"/>
    <w:uiPriority w:val="99"/>
    <w:pPr>
      <w:spacing w:before="100" w:beforeAutospacing="1" w:after="100" w:afterAutospacing="1" w:line="240" w:lineRule="auto"/>
    </w:pPr>
    <w:rPr>
      <w:rFonts w:ascii="Times New Roman" w:hAnsi="Times New Roman"/>
      <w:color w:val="ff0000"/>
      <w:sz w:val="24"/>
      <w:szCs w:val="24"/>
      <w:lang w:eastAsia="ru-RU"/>
    </w:rPr>
  </w:style>
  <w:style w:type="paragraph" w:styleId="1015" w:customStyle="1">
    <w:name w:val="font8"/>
    <w:basedOn w:val="719"/>
    <w:uiPriority w:val="9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1016" w:customStyle="1">
    <w:name w:val="font9"/>
    <w:basedOn w:val="719"/>
    <w:uiPriority w:val="99"/>
    <w:pPr>
      <w:spacing w:before="100" w:beforeAutospacing="1" w:after="100" w:afterAutospacing="1" w:line="240" w:lineRule="auto"/>
    </w:pPr>
    <w:rPr>
      <w:rFonts w:ascii="Times New Roman" w:hAnsi="Times New Roman"/>
      <w:color w:val="ff0000"/>
      <w:sz w:val="14"/>
      <w:szCs w:val="14"/>
      <w:lang w:eastAsia="ru-RU"/>
    </w:rPr>
  </w:style>
  <w:style w:type="paragraph" w:styleId="1017" w:customStyle="1">
    <w:name w:val="font10"/>
    <w:basedOn w:val="719"/>
    <w:uiPriority w:val="99"/>
    <w:pPr>
      <w:spacing w:before="100" w:beforeAutospacing="1" w:after="100" w:afterAutospacing="1" w:line="240" w:lineRule="auto"/>
    </w:pPr>
    <w:rPr>
      <w:rFonts w:ascii="Times New Roman" w:hAnsi="Times New Roman"/>
      <w:color w:val="00b050"/>
      <w:sz w:val="24"/>
      <w:szCs w:val="24"/>
      <w:lang w:eastAsia="ru-RU"/>
    </w:rPr>
  </w:style>
  <w:style w:type="paragraph" w:styleId="1018" w:customStyle="1">
    <w:name w:val="font11"/>
    <w:basedOn w:val="719"/>
    <w:uiPriority w:val="99"/>
    <w:pPr>
      <w:spacing w:before="100" w:beforeAutospacing="1" w:after="100" w:afterAutospacing="1" w:line="240" w:lineRule="auto"/>
    </w:pPr>
    <w:rPr>
      <w:rFonts w:ascii="Times New Roman" w:hAnsi="Times New Roman"/>
      <w:color w:val="00b050"/>
      <w:sz w:val="14"/>
      <w:szCs w:val="14"/>
      <w:lang w:eastAsia="ru-RU"/>
    </w:rPr>
  </w:style>
  <w:style w:type="paragraph" w:styleId="1019" w:customStyle="1">
    <w:name w:val="font12"/>
    <w:basedOn w:val="719"/>
    <w:uiPriority w:val="99"/>
    <w:pPr>
      <w:spacing w:before="100" w:beforeAutospacing="1" w:after="100" w:afterAutospacing="1" w:line="240" w:lineRule="auto"/>
    </w:pPr>
    <w:rPr>
      <w:rFonts w:ascii="Times New Roman" w:hAnsi="Times New Roman"/>
      <w:sz w:val="14"/>
      <w:szCs w:val="14"/>
      <w:lang w:eastAsia="ru-RU"/>
    </w:rPr>
  </w:style>
  <w:style w:type="paragraph" w:styleId="1020" w:customStyle="1">
    <w:name w:val="xl65"/>
    <w:basedOn w:val="719"/>
    <w:uiPriority w:val="99"/>
    <w:pPr>
      <w:jc w:val="both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bottom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21" w:customStyle="1">
    <w:name w:val="xl66"/>
    <w:basedOn w:val="719"/>
    <w:uiPriority w:val="99"/>
    <w:pPr>
      <w:jc w:val="center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22" w:customStyle="1">
    <w:name w:val="xl67"/>
    <w:basedOn w:val="719"/>
    <w:uiPriority w:val="99"/>
    <w:pPr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23" w:customStyle="1">
    <w:name w:val="xl68"/>
    <w:basedOn w:val="719"/>
    <w:uiPriority w:val="99"/>
    <w:pPr>
      <w:jc w:val="center"/>
      <w:spacing w:before="100" w:beforeAutospacing="1" w:after="100" w:afterAutospacing="1" w:line="240" w:lineRule="auto"/>
      <w:pBdr>
        <w:top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24" w:customStyle="1">
    <w:name w:val="xl69"/>
    <w:basedOn w:val="719"/>
    <w:uiPriority w:val="99"/>
    <w:pPr>
      <w:spacing w:before="100" w:beforeAutospacing="1" w:after="100" w:afterAutospacing="1" w:line="240" w:lineRule="auto"/>
      <w:pBdr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25" w:customStyle="1">
    <w:name w:val="xl70"/>
    <w:basedOn w:val="719"/>
    <w:uiPriority w:val="99"/>
    <w:pPr>
      <w:jc w:val="center"/>
      <w:spacing w:before="100" w:beforeAutospacing="1" w:after="100" w:afterAutospacing="1" w:line="240" w:lineRule="auto"/>
      <w:pBdr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26" w:customStyle="1">
    <w:name w:val="xl71"/>
    <w:basedOn w:val="719"/>
    <w:uiPriority w:val="99"/>
    <w:pPr>
      <w:jc w:val="center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b/>
      <w:bCs/>
      <w:sz w:val="20"/>
      <w:szCs w:val="20"/>
      <w:lang w:eastAsia="ru-RU"/>
    </w:rPr>
  </w:style>
  <w:style w:type="paragraph" w:styleId="1027" w:customStyle="1">
    <w:name w:val="xl72"/>
    <w:basedOn w:val="719"/>
    <w:uiPriority w:val="99"/>
    <w:pPr>
      <w:jc w:val="both"/>
      <w:spacing w:before="100" w:beforeAutospacing="1" w:after="100" w:afterAutospacing="1" w:line="240" w:lineRule="auto"/>
      <w:pBdr>
        <w:bottom w:val="single" w:color="000000" w:sz="8" w:space="0"/>
        <w:right w:val="single" w:color="000000" w:sz="8" w:space="0"/>
      </w:pBdr>
    </w:pPr>
    <w:rPr>
      <w:rFonts w:ascii="Times New Roman" w:hAnsi="Times New Roman"/>
      <w:b/>
      <w:bCs/>
      <w:sz w:val="20"/>
      <w:szCs w:val="20"/>
      <w:lang w:eastAsia="ru-RU"/>
    </w:rPr>
  </w:style>
  <w:style w:type="paragraph" w:styleId="1028" w:customStyle="1">
    <w:name w:val="xl73"/>
    <w:basedOn w:val="719"/>
    <w:uiPriority w:val="99"/>
    <w:pPr>
      <w:jc w:val="center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right w:val="single" w:color="000000" w:sz="8" w:space="0"/>
      </w:pBdr>
    </w:pPr>
    <w:rPr>
      <w:rFonts w:ascii="Times New Roman" w:hAnsi="Times New Roman"/>
      <w:b/>
      <w:bCs/>
      <w:sz w:val="20"/>
      <w:szCs w:val="20"/>
      <w:lang w:eastAsia="ru-RU"/>
    </w:rPr>
  </w:style>
  <w:style w:type="paragraph" w:styleId="1029" w:customStyle="1">
    <w:name w:val="xl74"/>
    <w:basedOn w:val="719"/>
    <w:uiPriority w:val="99"/>
    <w:pPr>
      <w:spacing w:before="100" w:beforeAutospacing="1" w:after="100" w:afterAutospacing="1" w:line="240" w:lineRule="auto"/>
      <w:pBdr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30" w:customStyle="1">
    <w:name w:val="xl75"/>
    <w:basedOn w:val="719"/>
    <w:uiPriority w:val="99"/>
    <w:pPr>
      <w:spacing w:before="100" w:beforeAutospacing="1" w:after="100" w:afterAutospacing="1" w:line="240" w:lineRule="auto"/>
      <w:pBdr>
        <w:bottom w:val="single" w:color="000000" w:sz="8" w:space="0"/>
        <w:right w:val="single" w:color="000000" w:sz="8" w:space="0"/>
      </w:pBdr>
    </w:pPr>
    <w:rPr>
      <w:rFonts w:ascii="Times New Roman" w:hAnsi="Times New Roman"/>
      <w:b/>
      <w:bCs/>
      <w:sz w:val="24"/>
      <w:szCs w:val="24"/>
      <w:lang w:eastAsia="ru-RU"/>
    </w:rPr>
  </w:style>
  <w:style w:type="paragraph" w:styleId="1031" w:customStyle="1">
    <w:name w:val="xl76"/>
    <w:basedOn w:val="719"/>
    <w:uiPriority w:val="99"/>
    <w:pPr>
      <w:spacing w:before="100" w:beforeAutospacing="1" w:after="100" w:afterAutospacing="1" w:line="240" w:lineRule="auto"/>
      <w:pBdr>
        <w:bottom w:val="single" w:color="000000" w:sz="8" w:space="0"/>
        <w:right w:val="single" w:color="000000" w:sz="8" w:space="0"/>
      </w:pBdr>
    </w:pPr>
    <w:rPr>
      <w:rFonts w:ascii="Times New Roman" w:hAnsi="Times New Roman"/>
      <w:b/>
      <w:bCs/>
      <w:sz w:val="20"/>
      <w:szCs w:val="20"/>
      <w:lang w:eastAsia="ru-RU"/>
    </w:rPr>
  </w:style>
  <w:style w:type="paragraph" w:styleId="1032" w:customStyle="1">
    <w:name w:val="xl77"/>
    <w:basedOn w:val="719"/>
    <w:uiPriority w:val="99"/>
    <w:pPr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bottom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33" w:customStyle="1">
    <w:name w:val="xl78"/>
    <w:basedOn w:val="719"/>
    <w:uiPriority w:val="99"/>
    <w:pPr>
      <w:jc w:val="both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34" w:customStyle="1">
    <w:name w:val="xl79"/>
    <w:basedOn w:val="719"/>
    <w:uiPriority w:val="99"/>
    <w:pPr>
      <w:jc w:val="center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35" w:customStyle="1">
    <w:name w:val="xl80"/>
    <w:basedOn w:val="719"/>
    <w:uiPriority w:val="99"/>
    <w:pPr>
      <w:jc w:val="both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36" w:customStyle="1">
    <w:name w:val="xl81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37" w:customStyle="1">
    <w:name w:val="xl82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38" w:customStyle="1">
    <w:name w:val="xl83"/>
    <w:basedOn w:val="719"/>
    <w:uiPriority w:val="99"/>
    <w:pPr>
      <w:jc w:val="right"/>
      <w:spacing w:before="100" w:beforeAutospacing="1" w:after="100" w:afterAutospacing="1" w:line="240" w:lineRule="auto"/>
      <w:pBdr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39" w:customStyle="1">
    <w:name w:val="xl84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40" w:customStyle="1">
    <w:name w:val="xl85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bottom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41" w:customStyle="1">
    <w:name w:val="xl86"/>
    <w:basedOn w:val="719"/>
    <w:uiPriority w:val="99"/>
    <w:pPr>
      <w:jc w:val="center"/>
      <w:spacing w:before="100" w:beforeAutospacing="1" w:after="100" w:afterAutospacing="1" w:line="240" w:lineRule="auto"/>
      <w:pBdr>
        <w:bottom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42" w:customStyle="1">
    <w:name w:val="xl87"/>
    <w:basedOn w:val="719"/>
    <w:uiPriority w:val="99"/>
    <w:pPr>
      <w:jc w:val="right"/>
      <w:spacing w:before="100" w:beforeAutospacing="1" w:after="100" w:afterAutospacing="1" w:line="240" w:lineRule="auto"/>
      <w:pBdr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43" w:customStyle="1">
    <w:name w:val="xl88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44" w:customStyle="1">
    <w:name w:val="xl89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45" w:customStyle="1">
    <w:name w:val="xl90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46" w:customStyle="1">
    <w:name w:val="xl91"/>
    <w:basedOn w:val="719"/>
    <w:uiPriority w:val="99"/>
    <w:pPr>
      <w:jc w:val="right"/>
      <w:spacing w:before="100" w:beforeAutospacing="1" w:after="100" w:afterAutospacing="1" w:line="240" w:lineRule="auto"/>
      <w:pBdr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47" w:customStyle="1">
    <w:name w:val="xl92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48" w:customStyle="1">
    <w:name w:val="xl93"/>
    <w:basedOn w:val="719"/>
    <w:uiPriority w:val="99"/>
    <w:pPr>
      <w:jc w:val="center"/>
      <w:spacing w:before="100" w:beforeAutospacing="1" w:after="100" w:afterAutospacing="1" w:line="240" w:lineRule="auto"/>
      <w:pBdr>
        <w:top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49" w:customStyle="1">
    <w:name w:val="xl94"/>
    <w:basedOn w:val="719"/>
    <w:uiPriority w:val="99"/>
    <w:pPr>
      <w:jc w:val="both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b/>
      <w:bCs/>
      <w:sz w:val="20"/>
      <w:szCs w:val="20"/>
      <w:lang w:eastAsia="ru-RU"/>
    </w:rPr>
  </w:style>
  <w:style w:type="paragraph" w:styleId="1050" w:customStyle="1">
    <w:name w:val="xl95"/>
    <w:basedOn w:val="719"/>
    <w:uiPriority w:val="99"/>
    <w:pPr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b/>
      <w:bCs/>
      <w:sz w:val="24"/>
      <w:szCs w:val="24"/>
      <w:lang w:eastAsia="ru-RU"/>
    </w:rPr>
  </w:style>
  <w:style w:type="paragraph" w:styleId="1051" w:customStyle="1">
    <w:name w:val="xl96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52" w:customStyle="1">
    <w:name w:val="xl97"/>
    <w:basedOn w:val="719"/>
    <w:uiPriority w:val="99"/>
    <w:pPr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b/>
      <w:bCs/>
      <w:sz w:val="20"/>
      <w:szCs w:val="20"/>
      <w:lang w:eastAsia="ru-RU"/>
    </w:rPr>
  </w:style>
  <w:style w:type="paragraph" w:styleId="1053" w:customStyle="1">
    <w:name w:val="xl98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54" w:customStyle="1">
    <w:name w:val="xl99"/>
    <w:basedOn w:val="719"/>
    <w:uiPriority w:val="9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1055" w:customStyle="1">
    <w:name w:val="xl100"/>
    <w:basedOn w:val="719"/>
    <w:uiPriority w:val="99"/>
    <w:pPr>
      <w:spacing w:before="100" w:beforeAutospacing="1" w:after="100" w:afterAutospacing="1" w:line="240" w:lineRule="auto"/>
      <w:pBdr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56" w:customStyle="1">
    <w:name w:val="xl101"/>
    <w:basedOn w:val="719"/>
    <w:uiPriority w:val="99"/>
    <w:pPr>
      <w:spacing w:before="100" w:beforeAutospacing="1" w:after="100" w:afterAutospacing="1" w:line="240" w:lineRule="auto"/>
      <w:pBdr>
        <w:bottom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57" w:customStyle="1">
    <w:name w:val="xl102"/>
    <w:basedOn w:val="719"/>
    <w:uiPriority w:val="99"/>
    <w:pPr>
      <w:jc w:val="center"/>
      <w:spacing w:before="100" w:beforeAutospacing="1" w:after="100" w:afterAutospacing="1" w:line="240" w:lineRule="auto"/>
      <w:pBdr>
        <w:top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58" w:customStyle="1">
    <w:name w:val="xl103"/>
    <w:basedOn w:val="719"/>
    <w:uiPriority w:val="99"/>
    <w:pPr>
      <w:jc w:val="both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59" w:customStyle="1">
    <w:name w:val="xl104"/>
    <w:basedOn w:val="719"/>
    <w:uiPriority w:val="99"/>
    <w:pPr>
      <w:jc w:val="center"/>
      <w:spacing w:before="100" w:beforeAutospacing="1" w:after="100" w:afterAutospacing="1" w:line="240" w:lineRule="auto"/>
      <w:pBdr>
        <w:top w:val="single" w:color="000000" w:sz="8" w:space="0"/>
        <w:bottom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60" w:customStyle="1">
    <w:name w:val="xl105"/>
    <w:basedOn w:val="719"/>
    <w:uiPriority w:val="9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1061" w:customStyle="1">
    <w:name w:val="xl106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62" w:customStyle="1">
    <w:name w:val="xl107"/>
    <w:basedOn w:val="719"/>
    <w:uiPriority w:val="99"/>
    <w:pPr>
      <w:jc w:val="right"/>
      <w:spacing w:before="100" w:beforeAutospacing="1" w:after="100" w:afterAutospacing="1" w:line="240" w:lineRule="auto"/>
      <w:pBdr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63" w:customStyle="1">
    <w:name w:val="xl108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64" w:customStyle="1">
    <w:name w:val="xl109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65" w:customStyle="1">
    <w:name w:val="xl110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66" w:customStyle="1">
    <w:name w:val="xl111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bottom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67" w:customStyle="1">
    <w:name w:val="xl112"/>
    <w:basedOn w:val="719"/>
    <w:uiPriority w:val="99"/>
    <w:pPr>
      <w:jc w:val="right"/>
      <w:spacing w:before="100" w:beforeAutospacing="1" w:after="100" w:afterAutospacing="1" w:line="240" w:lineRule="auto"/>
      <w:pBdr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68" w:customStyle="1">
    <w:name w:val="xl113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b/>
      <w:bCs/>
      <w:sz w:val="18"/>
      <w:szCs w:val="18"/>
      <w:lang w:eastAsia="ru-RU"/>
    </w:rPr>
  </w:style>
  <w:style w:type="paragraph" w:styleId="1069" w:customStyle="1">
    <w:name w:val="xl114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right w:val="single" w:color="000000" w:sz="8" w:space="0"/>
      </w:pBdr>
    </w:pPr>
    <w:rPr>
      <w:rFonts w:ascii="Times New Roman" w:hAnsi="Times New Roman"/>
      <w:b/>
      <w:bCs/>
      <w:sz w:val="18"/>
      <w:szCs w:val="18"/>
      <w:lang w:eastAsia="ru-RU"/>
    </w:rPr>
  </w:style>
  <w:style w:type="paragraph" w:styleId="1070" w:customStyle="1">
    <w:name w:val="xl115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71" w:customStyle="1">
    <w:name w:val="xl116"/>
    <w:basedOn w:val="719"/>
    <w:uiPriority w:val="99"/>
    <w:pPr>
      <w:jc w:val="center"/>
      <w:spacing w:before="100" w:beforeAutospacing="1" w:after="100" w:afterAutospacing="1" w:line="240" w:lineRule="auto"/>
      <w:pBdr>
        <w:top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72" w:customStyle="1">
    <w:name w:val="xl117"/>
    <w:basedOn w:val="719"/>
    <w:uiPriority w:val="99"/>
    <w:pPr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73" w:customStyle="1">
    <w:name w:val="xl118"/>
    <w:basedOn w:val="719"/>
    <w:uiPriority w:val="99"/>
    <w:pPr>
      <w:spacing w:before="100" w:beforeAutospacing="1" w:after="100" w:afterAutospacing="1" w:line="240" w:lineRule="auto"/>
      <w:pBdr>
        <w:left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74" w:customStyle="1">
    <w:name w:val="xl119"/>
    <w:basedOn w:val="719"/>
    <w:uiPriority w:val="99"/>
    <w:pPr>
      <w:spacing w:before="100" w:beforeAutospacing="1" w:after="100" w:afterAutospacing="1" w:line="240" w:lineRule="auto"/>
      <w:pBdr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75" w:customStyle="1">
    <w:name w:val="xl120"/>
    <w:basedOn w:val="719"/>
    <w:uiPriority w:val="99"/>
    <w:pPr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76" w:customStyle="1">
    <w:name w:val="xl121"/>
    <w:basedOn w:val="719"/>
    <w:uiPriority w:val="99"/>
    <w:pPr>
      <w:spacing w:before="100" w:beforeAutospacing="1" w:after="100" w:afterAutospacing="1" w:line="240" w:lineRule="auto"/>
      <w:pBdr>
        <w:lef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77" w:customStyle="1">
    <w:name w:val="xl122"/>
    <w:basedOn w:val="719"/>
    <w:uiPriority w:val="99"/>
    <w:pPr>
      <w:spacing w:before="100" w:beforeAutospacing="1" w:after="100" w:afterAutospacing="1" w:line="240" w:lineRule="auto"/>
      <w:pBdr>
        <w:left w:val="single" w:color="000000" w:sz="8" w:space="0"/>
        <w:bottom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78" w:customStyle="1">
    <w:name w:val="xl123"/>
    <w:basedOn w:val="719"/>
    <w:uiPriority w:val="99"/>
    <w:pPr>
      <w:jc w:val="both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79" w:customStyle="1">
    <w:name w:val="xl124"/>
    <w:basedOn w:val="719"/>
    <w:uiPriority w:val="99"/>
    <w:pPr>
      <w:jc w:val="both"/>
      <w:spacing w:before="100" w:beforeAutospacing="1" w:after="100" w:afterAutospacing="1" w:line="240" w:lineRule="auto"/>
      <w:pBdr>
        <w:left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80" w:customStyle="1">
    <w:name w:val="xl125"/>
    <w:basedOn w:val="719"/>
    <w:uiPriority w:val="99"/>
    <w:pPr>
      <w:jc w:val="both"/>
      <w:spacing w:before="100" w:beforeAutospacing="1" w:after="100" w:afterAutospacing="1" w:line="240" w:lineRule="auto"/>
      <w:pBdr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81" w:customStyle="1">
    <w:name w:val="xl126"/>
    <w:basedOn w:val="719"/>
    <w:uiPriority w:val="99"/>
    <w:pPr>
      <w:jc w:val="both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bottom w:val="single" w:color="000000" w:sz="8" w:space="0"/>
      </w:pBdr>
    </w:pPr>
    <w:rPr>
      <w:rFonts w:ascii="Times New Roman" w:hAnsi="Times New Roman"/>
      <w:b/>
      <w:bCs/>
      <w:sz w:val="24"/>
      <w:szCs w:val="24"/>
      <w:lang w:eastAsia="ru-RU"/>
    </w:rPr>
  </w:style>
  <w:style w:type="paragraph" w:styleId="1082" w:customStyle="1">
    <w:name w:val="xl127"/>
    <w:basedOn w:val="719"/>
    <w:uiPriority w:val="99"/>
    <w:pPr>
      <w:jc w:val="both"/>
      <w:spacing w:before="100" w:beforeAutospacing="1" w:after="100" w:afterAutospacing="1" w:line="240" w:lineRule="auto"/>
      <w:pBdr>
        <w:top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b/>
      <w:bCs/>
      <w:sz w:val="24"/>
      <w:szCs w:val="24"/>
      <w:lang w:eastAsia="ru-RU"/>
    </w:rPr>
  </w:style>
  <w:style w:type="paragraph" w:styleId="1083" w:customStyle="1">
    <w:name w:val="xl128"/>
    <w:basedOn w:val="719"/>
    <w:uiPriority w:val="99"/>
    <w:pPr>
      <w:jc w:val="both"/>
      <w:spacing w:before="100" w:beforeAutospacing="1" w:after="100" w:afterAutospacing="1" w:line="240" w:lineRule="auto"/>
      <w:pBdr>
        <w:top w:val="single" w:color="000000" w:sz="8" w:space="0"/>
        <w:bottom w:val="single" w:color="000000" w:sz="8" w:space="0"/>
      </w:pBdr>
    </w:pPr>
    <w:rPr>
      <w:rFonts w:ascii="Times New Roman" w:hAnsi="Times New Roman"/>
      <w:b/>
      <w:bCs/>
      <w:sz w:val="24"/>
      <w:szCs w:val="24"/>
      <w:lang w:eastAsia="ru-RU"/>
    </w:rPr>
  </w:style>
  <w:style w:type="paragraph" w:styleId="1084" w:customStyle="1">
    <w:name w:val="xl129"/>
    <w:basedOn w:val="719"/>
    <w:uiPriority w:val="99"/>
    <w:pPr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85" w:customStyle="1">
    <w:name w:val="xl130"/>
    <w:basedOn w:val="719"/>
    <w:uiPriority w:val="99"/>
    <w:pPr>
      <w:spacing w:before="100" w:beforeAutospacing="1" w:after="100" w:afterAutospacing="1" w:line="240" w:lineRule="auto"/>
      <w:pBdr>
        <w:left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86" w:customStyle="1">
    <w:name w:val="xl131"/>
    <w:basedOn w:val="719"/>
    <w:uiPriority w:val="99"/>
    <w:pPr>
      <w:spacing w:before="100" w:beforeAutospacing="1" w:after="100" w:afterAutospacing="1" w:line="240" w:lineRule="auto"/>
      <w:pBdr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87" w:customStyle="1">
    <w:name w:val="xl132"/>
    <w:basedOn w:val="719"/>
    <w:uiPriority w:val="99"/>
    <w:pPr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right w:val="single" w:color="000000" w:sz="8" w:space="0"/>
      </w:pBdr>
    </w:pPr>
    <w:rPr>
      <w:rFonts w:ascii="Times New Roman" w:hAnsi="Times New Roman"/>
      <w:color w:val="00b050"/>
      <w:sz w:val="24"/>
      <w:szCs w:val="24"/>
      <w:lang w:eastAsia="ru-RU"/>
    </w:rPr>
  </w:style>
  <w:style w:type="paragraph" w:styleId="1088" w:customStyle="1">
    <w:name w:val="xl133"/>
    <w:basedOn w:val="719"/>
    <w:uiPriority w:val="99"/>
    <w:pPr>
      <w:spacing w:before="100" w:beforeAutospacing="1" w:after="100" w:afterAutospacing="1" w:line="240" w:lineRule="auto"/>
      <w:pBdr>
        <w:left w:val="single" w:color="000000" w:sz="8" w:space="0"/>
        <w:right w:val="single" w:color="000000" w:sz="8" w:space="0"/>
      </w:pBdr>
    </w:pPr>
    <w:rPr>
      <w:rFonts w:ascii="Times New Roman" w:hAnsi="Times New Roman"/>
      <w:color w:val="00b050"/>
      <w:sz w:val="24"/>
      <w:szCs w:val="24"/>
      <w:lang w:eastAsia="ru-RU"/>
    </w:rPr>
  </w:style>
  <w:style w:type="paragraph" w:styleId="1089" w:customStyle="1">
    <w:name w:val="xl134"/>
    <w:basedOn w:val="719"/>
    <w:uiPriority w:val="99"/>
    <w:pPr>
      <w:spacing w:before="100" w:beforeAutospacing="1" w:after="100" w:afterAutospacing="1" w:line="240" w:lineRule="auto"/>
      <w:pBdr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color w:val="00b050"/>
      <w:sz w:val="24"/>
      <w:szCs w:val="24"/>
      <w:lang w:eastAsia="ru-RU"/>
    </w:rPr>
  </w:style>
  <w:style w:type="paragraph" w:styleId="1090" w:customStyle="1">
    <w:name w:val="xl135"/>
    <w:basedOn w:val="719"/>
    <w:uiPriority w:val="99"/>
    <w:pPr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91" w:customStyle="1">
    <w:name w:val="xl136"/>
    <w:basedOn w:val="719"/>
    <w:uiPriority w:val="99"/>
    <w:pPr>
      <w:spacing w:before="100" w:beforeAutospacing="1" w:after="100" w:afterAutospacing="1" w:line="240" w:lineRule="auto"/>
      <w:pBdr>
        <w:left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92" w:customStyle="1">
    <w:name w:val="xl137"/>
    <w:basedOn w:val="719"/>
    <w:uiPriority w:val="99"/>
    <w:pPr>
      <w:spacing w:before="100" w:beforeAutospacing="1" w:after="100" w:afterAutospacing="1" w:line="240" w:lineRule="auto"/>
      <w:pBdr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93" w:customStyle="1">
    <w:name w:val="xl138"/>
    <w:basedOn w:val="719"/>
    <w:uiPriority w:val="99"/>
    <w:pPr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94" w:customStyle="1">
    <w:name w:val="xl139"/>
    <w:basedOn w:val="719"/>
    <w:uiPriority w:val="99"/>
    <w:pPr>
      <w:spacing w:before="100" w:beforeAutospacing="1" w:after="100" w:afterAutospacing="1" w:line="240" w:lineRule="auto"/>
      <w:pBdr>
        <w:lef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95" w:customStyle="1">
    <w:name w:val="xl140"/>
    <w:basedOn w:val="719"/>
    <w:uiPriority w:val="99"/>
    <w:pPr>
      <w:spacing w:before="100" w:beforeAutospacing="1" w:after="100" w:afterAutospacing="1" w:line="240" w:lineRule="auto"/>
      <w:pBdr>
        <w:left w:val="single" w:color="000000" w:sz="8" w:space="0"/>
        <w:bottom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96" w:customStyle="1">
    <w:name w:val="xl141"/>
    <w:basedOn w:val="719"/>
    <w:uiPriority w:val="99"/>
    <w:pPr>
      <w:jc w:val="both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</w:pBdr>
    </w:pPr>
    <w:rPr>
      <w:rFonts w:ascii="Times New Roman" w:hAnsi="Times New Roman"/>
      <w:b/>
      <w:bCs/>
      <w:sz w:val="24"/>
      <w:szCs w:val="24"/>
      <w:lang w:eastAsia="ru-RU"/>
    </w:rPr>
  </w:style>
  <w:style w:type="paragraph" w:styleId="1097" w:customStyle="1">
    <w:name w:val="xl142"/>
    <w:basedOn w:val="719"/>
    <w:uiPriority w:val="99"/>
    <w:pPr>
      <w:jc w:val="both"/>
      <w:spacing w:before="100" w:beforeAutospacing="1" w:after="100" w:afterAutospacing="1" w:line="240" w:lineRule="auto"/>
      <w:pBdr>
        <w:top w:val="single" w:color="000000" w:sz="8" w:space="0"/>
      </w:pBdr>
    </w:pPr>
    <w:rPr>
      <w:rFonts w:ascii="Times New Roman" w:hAnsi="Times New Roman"/>
      <w:b/>
      <w:bCs/>
      <w:sz w:val="24"/>
      <w:szCs w:val="24"/>
      <w:lang w:eastAsia="ru-RU"/>
    </w:rPr>
  </w:style>
  <w:style w:type="paragraph" w:styleId="1098" w:customStyle="1">
    <w:name w:val="xl143"/>
    <w:basedOn w:val="719"/>
    <w:uiPriority w:val="99"/>
    <w:pPr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99" w:customStyle="1">
    <w:name w:val="xl144"/>
    <w:basedOn w:val="719"/>
    <w:uiPriority w:val="99"/>
    <w:pPr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100" w:customStyle="1">
    <w:name w:val="xl145"/>
    <w:basedOn w:val="719"/>
    <w:uiPriority w:val="99"/>
    <w:pPr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right w:val="single" w:color="000000" w:sz="8" w:space="0"/>
      </w:pBdr>
    </w:pPr>
    <w:rPr>
      <w:rFonts w:ascii="Times New Roman" w:hAnsi="Times New Roman"/>
      <w:color w:val="ff0000"/>
      <w:sz w:val="24"/>
      <w:szCs w:val="24"/>
      <w:lang w:eastAsia="ru-RU"/>
    </w:rPr>
  </w:style>
  <w:style w:type="paragraph" w:styleId="1101" w:customStyle="1">
    <w:name w:val="xl146"/>
    <w:basedOn w:val="719"/>
    <w:uiPriority w:val="99"/>
    <w:pPr>
      <w:spacing w:before="100" w:beforeAutospacing="1" w:after="100" w:afterAutospacing="1" w:line="240" w:lineRule="auto"/>
      <w:pBdr>
        <w:left w:val="single" w:color="000000" w:sz="8" w:space="0"/>
        <w:right w:val="single" w:color="000000" w:sz="8" w:space="0"/>
      </w:pBdr>
    </w:pPr>
    <w:rPr>
      <w:rFonts w:ascii="Times New Roman" w:hAnsi="Times New Roman"/>
      <w:color w:val="ff0000"/>
      <w:sz w:val="24"/>
      <w:szCs w:val="24"/>
      <w:lang w:eastAsia="ru-RU"/>
    </w:rPr>
  </w:style>
  <w:style w:type="paragraph" w:styleId="1102" w:customStyle="1">
    <w:name w:val="xl147"/>
    <w:basedOn w:val="719"/>
    <w:uiPriority w:val="99"/>
    <w:pPr>
      <w:spacing w:before="100" w:beforeAutospacing="1" w:after="100" w:afterAutospacing="1" w:line="240" w:lineRule="auto"/>
      <w:pBdr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color w:val="ff0000"/>
      <w:sz w:val="24"/>
      <w:szCs w:val="24"/>
      <w:lang w:eastAsia="ru-RU"/>
    </w:rPr>
  </w:style>
  <w:style w:type="paragraph" w:styleId="1103" w:customStyle="1">
    <w:name w:val="xl148"/>
    <w:basedOn w:val="719"/>
    <w:uiPriority w:val="99"/>
    <w:pPr>
      <w:jc w:val="center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104" w:customStyle="1">
    <w:name w:val="xl149"/>
    <w:basedOn w:val="719"/>
    <w:uiPriority w:val="99"/>
    <w:pPr>
      <w:jc w:val="center"/>
      <w:spacing w:before="100" w:beforeAutospacing="1" w:after="100" w:afterAutospacing="1" w:line="240" w:lineRule="auto"/>
      <w:pBdr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105" w:customStyle="1">
    <w:name w:val="xl150"/>
    <w:basedOn w:val="719"/>
    <w:uiPriority w:val="99"/>
    <w:pPr>
      <w:jc w:val="center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106" w:customStyle="1">
    <w:name w:val="xl151"/>
    <w:basedOn w:val="719"/>
    <w:uiPriority w:val="99"/>
    <w:pPr>
      <w:jc w:val="center"/>
      <w:spacing w:before="100" w:beforeAutospacing="1" w:after="100" w:afterAutospacing="1" w:line="240" w:lineRule="auto"/>
      <w:pBdr>
        <w:left w:val="single" w:color="000000" w:sz="8" w:space="0"/>
        <w:bottom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107" w:customStyle="1">
    <w:name w:val="xl152"/>
    <w:basedOn w:val="719"/>
    <w:uiPriority w:val="99"/>
    <w:pPr>
      <w:jc w:val="center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bottom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108" w:customStyle="1">
    <w:name w:val="xl153"/>
    <w:basedOn w:val="719"/>
    <w:uiPriority w:val="99"/>
    <w:pPr>
      <w:jc w:val="center"/>
      <w:spacing w:before="100" w:beforeAutospacing="1" w:after="100" w:afterAutospacing="1" w:line="240" w:lineRule="auto"/>
      <w:pBdr>
        <w:top w:val="single" w:color="000000" w:sz="8" w:space="0"/>
        <w:bottom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109" w:customStyle="1">
    <w:name w:val="xl63"/>
    <w:basedOn w:val="719"/>
    <w:uiPriority w:val="9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1110" w:customStyle="1">
    <w:name w:val="xl64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111">
    <w:name w:val="Body Text Indent"/>
    <w:basedOn w:val="719"/>
    <w:pPr>
      <w:ind w:firstLine="709"/>
      <w:jc w:val="both"/>
      <w:spacing w:after="0" w:line="240" w:lineRule="auto"/>
    </w:pPr>
    <w:rPr>
      <w:rFonts w:ascii="Times New Roman" w:hAnsi="Times New Roman"/>
      <w:sz w:val="28"/>
      <w:szCs w:val="28"/>
      <w:lang w:eastAsia="ru-RU"/>
    </w:rPr>
  </w:style>
  <w:style w:type="table" w:styleId="1112" w:customStyle="1">
    <w:name w:val="Сетка таблицы11"/>
    <w:basedOn w:val="730"/>
    <w:next w:val="769"/>
    <w:uiPriority w:val="59"/>
    <w:rPr>
      <w:rFonts w:eastAsia="Calibri" w:cs="Times New Roman"/>
      <w:sz w:val="22"/>
      <w:szCs w:val="22"/>
      <w:lang w:eastAsia="en-US"/>
    </w:rPr>
    <w:tblPr/>
  </w:style>
  <w:style w:type="paragraph" w:styleId="1113" w:customStyle="1">
    <w:name w:val="ConsPlusTitle"/>
    <w:pPr>
      <w:widowControl w:val="off"/>
    </w:pPr>
    <w:rPr>
      <w:rFonts w:ascii="Arial" w:hAnsi="Arial" w:cs="Arial"/>
      <w:b/>
      <w:bCs/>
      <w:lang w:eastAsia="ru-RU"/>
    </w:rPr>
  </w:style>
  <w:style w:type="paragraph" w:styleId="1114" w:customStyle="1">
    <w:name w:val="ConsPlusDocList"/>
    <w:pPr>
      <w:widowControl w:val="off"/>
    </w:pPr>
    <w:rPr>
      <w:sz w:val="22"/>
      <w:szCs w:val="22"/>
      <w:lang w:eastAsia="ru-RU"/>
    </w:rPr>
  </w:style>
  <w:style w:type="paragraph" w:styleId="1115" w:customStyle="1">
    <w:name w:val="ConsPlusTitlePage"/>
    <w:pPr>
      <w:widowControl w:val="off"/>
    </w:pPr>
    <w:rPr>
      <w:rFonts w:ascii="Tahoma" w:hAnsi="Tahoma" w:cs="Tahoma"/>
      <w:szCs w:val="22"/>
      <w:lang w:eastAsia="ru-RU"/>
    </w:rPr>
  </w:style>
  <w:style w:type="paragraph" w:styleId="1116" w:customStyle="1">
    <w:name w:val="ConsPlusJurTerm"/>
    <w:pPr>
      <w:widowControl w:val="off"/>
    </w:pPr>
    <w:rPr>
      <w:rFonts w:ascii="Tahoma" w:hAnsi="Tahoma" w:cs="Tahoma"/>
      <w:sz w:val="26"/>
      <w:szCs w:val="22"/>
      <w:lang w:eastAsia="ru-RU"/>
    </w:rPr>
  </w:style>
  <w:style w:type="paragraph" w:styleId="1117" w:customStyle="1">
    <w:name w:val="ConsPlusTextList"/>
    <w:pPr>
      <w:widowControl w:val="off"/>
    </w:pPr>
    <w:rPr>
      <w:rFonts w:ascii="Arial" w:hAnsi="Arial" w:cs="Arial"/>
      <w:szCs w:val="22"/>
      <w:lang w:eastAsia="ru-RU"/>
    </w:rPr>
  </w:style>
  <w:style w:type="paragraph" w:styleId="1118" w:customStyle="1">
    <w:name w:val="Default"/>
    <w:rPr>
      <w:rFonts w:ascii="Times New Roman" w:hAnsi="Times New Roman" w:cs="Times New Roman"/>
      <w:color w:val="000000"/>
      <w:sz w:val="24"/>
      <w:szCs w:val="24"/>
    </w:rPr>
  </w:style>
  <w:style w:type="character" w:styleId="1119" w:customStyle="1">
    <w:name w:val="docdata"/>
    <w:basedOn w:val="729"/>
  </w:style>
  <w:style w:type="paragraph" w:styleId="1120" w:customStyle="1">
    <w:name w:val="ConsPlusNormal"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Arial" w:hAnsi="Arial" w:eastAsia="Arial" w:cs="Arial"/>
      <w:sz w:val="16"/>
      <w:lang w:val="en-US"/>
    </w:rPr>
  </w:style>
  <w:style w:type="character" w:styleId="1121">
    <w:name w:val="Placeholder Text"/>
    <w:basedOn w:val="729"/>
    <w:uiPriority w:val="99"/>
    <w:semiHidden/>
    <w:rPr>
      <w:color w:val="80808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hyperlink" Target="https://login.consultant.ru/link/?req=doc&amp;base=LAW&amp;n=464177&amp;dst=47" TargetMode="External"/><Relationship Id="rId14" Type="http://schemas.openxmlformats.org/officeDocument/2006/relationships/hyperlink" Target="https://login.consultant.ru/link/?req=doc&amp;base=LAW&amp;n=507524&amp;dst=2505" TargetMode="External"/><Relationship Id="rId15" Type="http://schemas.openxmlformats.org/officeDocument/2006/relationships/hyperlink" Target="https://login.consultant.ru/link/?req=doc&amp;base=LAW&amp;n=504336&amp;dst=100009" TargetMode="External"/><Relationship Id="rId16" Type="http://schemas.openxmlformats.org/officeDocument/2006/relationships/hyperlink" Target="https://login.consultant.ru/link/?req=doc&amp;base=LAW&amp;n=509735" TargetMode="External"/><Relationship Id="rId17" Type="http://schemas.openxmlformats.org/officeDocument/2006/relationships/hyperlink" Target="https://login.consultant.ru/link/?req=doc&amp;base=LAW&amp;n=522032" TargetMode="External"/><Relationship Id="rId18" Type="http://schemas.openxmlformats.org/officeDocument/2006/relationships/hyperlink" Target="https://login.consultant.ru/link/?req=doc&amp;base=LAW&amp;n=515587&amp;dst=460" TargetMode="External"/><Relationship Id="rId19" Type="http://schemas.openxmlformats.org/officeDocument/2006/relationships/hyperlink" Target="https://login.consultant.ru/link/?req=doc&amp;base=LAW&amp;n=515587&amp;dst=462" TargetMode="External"/><Relationship Id="rId20" Type="http://schemas.openxmlformats.org/officeDocument/2006/relationships/hyperlink" Target="https://login.consultant.ru/link/?req=doc&amp;base=LAW&amp;n=516411&amp;dst=100029" TargetMode="External"/><Relationship Id="rId21" Type="http://schemas.openxmlformats.org/officeDocument/2006/relationships/hyperlink" Target="https://login.consultant.ru/link/?req=doc&amp;base=LAW&amp;n=515587&amp;dst=48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4272A-50F3-4DC8-BAE7-8AC1538F71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mineconom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Олеговна Савельева</dc:creator>
  <cp:lastModifiedBy>zoni@NSO.LOC</cp:lastModifiedBy>
  <cp:revision>59</cp:revision>
  <dcterms:created xsi:type="dcterms:W3CDTF">2025-02-19T10:55:00Z</dcterms:created>
  <dcterms:modified xsi:type="dcterms:W3CDTF">2026-02-25T11:33:26Z</dcterms:modified>
  <cp:version>1048576</cp:version>
</cp:coreProperties>
</file>