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Эталонный пункт:</w:t>
        <w:br/>
        <w:t>Наименование объекта закупки: Поставка носков</w:t>
        <w:br/>
        <w:br/>
        <w:t>Ответ модели:</w:t>
        <w:br/>
        <w:t>Фрагмент: &lt;Наименование: поставка носков.&gt;</w:t>
        <w:br/>
        <w:t>Степень соответствия: полное совпадение</w:t>
        <w:br/>
        <w:br/>
        <w:t>Фрагмент: &lt;Контракт № на поставку носков&gt;</w:t>
        <w:br/>
        <w:t>Степень соответствия: полное совпадение</w:t>
        <w:br/>
        <w:br/>
        <w:t>Фрагмент: &lt;на поставку носков&gt;</w:t>
        <w:br/>
        <w:t>Степень соответствия: полное совпадение</w:t>
        <w:br/>
        <w:br/>
        <w:t>--------------------</w:t>
        <w:br/>
        <w:br/>
        <w:t>Эталонный пункт:</w:t>
        <w:br/>
        <w:t>Код ОКПД 2 и его наименования (расшифровки): 26.20.11.110 - Носки, в том числе портативные в защищенном исполнении, предназначенные для работы в сложной среде эксплуатации</w:t>
        <w:br/>
        <w:br/>
        <w:t>Ответ модели:</w:t>
        <w:br/>
        <w:t>Фрагмент: Наименование товара, работы, услуги: Носок; Наименование характеристики: Тип; Значение характеристики: Хлопковые, повседневные; Единица измерения характеристики: -; Количество, штук: 34</w:t>
        <w:br/>
        <w:t>Степень соответствия: частичное совпадение</w:t>
        <w:br/>
        <w:t>Комментарий: Отсутствие кода ОКПД 2 и расшифровки наименования, несоответствие наименованию и типу товара (хлопковые повседневные вместо носков в защищённом исполнении).</w:t>
        <w:br/>
        <w:br/>
        <w:t>--------------------</w:t>
        <w:br/>
        <w:br/>
        <w:t>Эталонный пункт:</w:t>
        <w:br/>
        <w:t>Код позиции КТРУ: Код позиции: ; 26.20.11.110-10000155 - Носок</w:t>
        <w:br/>
        <w:br/>
        <w:t>Ответ модели:</w:t>
        <w:br/>
        <w:t xml:space="preserve">Код позиции КТРУ: 26.20.11.110-10000155 - Носок  </w:t>
        <w:br/>
        <w:t xml:space="preserve">полное совпадение  </w:t>
        <w:br/>
        <w:br/>
        <w:t>(другие фрагменты нерелевантны)</w:t>
        <w:br/>
        <w:br/>
        <w:t>--------------------</w:t>
        <w:br/>
        <w:br/>
        <w:t>Эталонный пункт:</w:t>
        <w:br/>
        <w:t>Количество: Носки - 34 шт.</w:t>
        <w:br/>
        <w:br/>
        <w:t>Ответ модели:</w:t>
        <w:br/>
        <w:t>Фрагмент: &lt;Наименование товара, работы, услуги: Носок; Наименование характеристики: Тип; Значение характеристики: Хлопковые, повседневные; Единица измерения характеристики: -; Количество, штук: 34&gt;</w:t>
        <w:br/>
        <w:t>Степень соответствия: полное совпадение</w:t>
        <w:br/>
        <w:br/>
        <w:t>Фрагмент: &lt;Наименование товара, работы, услуги: Носок; Наименование характеристики: Срок службы; Значение характеристики: 12 месяцев; Единица измерения характеристики: -; Количество, штук: 34</w:t>
        <w:br/>
        <w:t>Комментарий: Несоответствие количества (эталон: 34, контракт: 34), отсутствует указание на соответствие эталонному наименованию "Носки"</w:t>
        <w:br/>
        <w:br/>
        <w:t>Степень соответствия: частичное совпадение</w:t>
        <w:br/>
        <w:br/>
        <w:t>--------------------</w:t>
        <w:br/>
        <w:br/>
        <w:t>Эталонный пункт:</w:t>
        <w:br/>
        <w:t>Сроки поставки товара, выполнения работ, оказания услуг по контракту: В течение 48 (сорока восьми) календарных дней с даты заключения Контракта.</w:t>
        <w:br/>
        <w:br/>
        <w:t>Ответ модели:</w:t>
        <w:br/>
        <w:t>Фрагмент: &lt;№ 44-ФЗ "О контрактной системе в сфере закупок товаров, работ, услуг для обеспечения государственных и муниципальных нужд" в порядке и в сроки, установленные разделом VIII Контракта.</w:t>
        <w:br/>
        <w:t>Степень соответствия: нерелевантен</w:t>
        <w:br/>
        <w:br/>
        <w:t>Фрагмент: &lt;Срок поставки: в течение 48 (сорока восьми) календарных дней с даты заключения Контракта.&gt;</w:t>
        <w:br/>
        <w:t>Степень соответствия: полное совпадение</w:t>
        <w:br/>
        <w:br/>
        <w:t>--------------------</w:t>
        <w:br/>
        <w:br/>
        <w:t>Эталонный пункт:</w:t>
        <w:br/>
        <w:t>Место поставки товара, оказания услуг, выполнения работ: Российская Федерация, Новосибирская область, г.о. город Новосибирск, г Новосибирск, пер Архонский, д. 10.</w:t>
        <w:br/>
        <w:br/>
        <w:t>Ответ модели:</w:t>
        <w:br/>
        <w:t>Фрагмент: Адрес поставки: Российская Федерация, Новосибирская область, г.о. город Новосибирск, г Новосибирск, пер Архонский, д. 10.</w:t>
        <w:br/>
        <w:t>Степень соответствия: полное совпадение</w:t>
        <w:br/>
        <w:br/>
        <w:t>--------------------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